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C7CF53">
      <w:pPr>
        <w:jc w:val="center"/>
        <w:rPr>
          <w:rFonts w:eastAsia="方正小标宋_GBK"/>
          <w:sz w:val="48"/>
          <w:szCs w:val="48"/>
        </w:rPr>
      </w:pPr>
    </w:p>
    <w:p w14:paraId="75BF170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小标宋简体" w:cs="Times New Roman"/>
          <w:color w:val="000000"/>
          <w:kern w:val="0"/>
          <w:sz w:val="44"/>
          <w:szCs w:val="44"/>
          <w:lang w:eastAsia="zh-CN"/>
        </w:rPr>
      </w:pPr>
      <w:r>
        <w:rPr>
          <w:rFonts w:hint="default" w:ascii="Times New Roman" w:hAnsi="Times New Roman" w:eastAsia="方正小标宋简体" w:cs="Times New Roman"/>
          <w:color w:val="000000"/>
          <w:kern w:val="0"/>
          <w:sz w:val="44"/>
          <w:szCs w:val="44"/>
          <w:lang w:eastAsia="zh-CN"/>
        </w:rPr>
        <w:t>202</w:t>
      </w:r>
      <w:r>
        <w:rPr>
          <w:rFonts w:hint="eastAsia" w:ascii="Times New Roman" w:hAnsi="Times New Roman" w:eastAsia="方正小标宋简体" w:cs="Times New Roman"/>
          <w:color w:val="000000"/>
          <w:kern w:val="0"/>
          <w:sz w:val="44"/>
          <w:szCs w:val="44"/>
          <w:lang w:eastAsia="zh-CN"/>
        </w:rPr>
        <w:t>4</w:t>
      </w:r>
      <w:r>
        <w:rPr>
          <w:rFonts w:hint="default" w:ascii="Times New Roman" w:hAnsi="Times New Roman" w:eastAsia="方正小标宋简体" w:cs="Times New Roman"/>
          <w:color w:val="000000"/>
          <w:kern w:val="0"/>
          <w:sz w:val="44"/>
          <w:szCs w:val="44"/>
          <w:lang w:eastAsia="zh-CN"/>
        </w:rPr>
        <w:t>年度</w:t>
      </w:r>
      <w:r>
        <w:rPr>
          <w:rFonts w:hint="eastAsia" w:ascii="Times New Roman" w:hAnsi="Times New Roman" w:eastAsia="方正小标宋简体" w:cs="Times New Roman"/>
          <w:color w:val="000000"/>
          <w:kern w:val="0"/>
          <w:sz w:val="44"/>
          <w:szCs w:val="44"/>
          <w:lang w:val="en-US" w:eastAsia="zh-CN"/>
        </w:rPr>
        <w:t>秀峰公园（二期）、中心城区中高杆灯、工人路、青年路、会龙山公园、茶文化工程资金</w:t>
      </w:r>
      <w:r>
        <w:rPr>
          <w:rFonts w:hint="eastAsia" w:ascii="Times New Roman" w:hAnsi="Times New Roman" w:eastAsia="方正小标宋简体" w:cs="Times New Roman"/>
          <w:color w:val="000000"/>
          <w:kern w:val="0"/>
          <w:sz w:val="44"/>
          <w:szCs w:val="44"/>
          <w:lang w:eastAsia="zh-CN"/>
        </w:rPr>
        <w:t>项目资金部门评价</w:t>
      </w:r>
      <w:r>
        <w:rPr>
          <w:rFonts w:hint="default" w:ascii="Times New Roman" w:hAnsi="Times New Roman" w:eastAsia="方正小标宋简体" w:cs="Times New Roman"/>
          <w:color w:val="000000"/>
          <w:kern w:val="0"/>
          <w:sz w:val="44"/>
          <w:szCs w:val="44"/>
          <w:lang w:eastAsia="zh-CN"/>
        </w:rPr>
        <w:t>报告</w:t>
      </w:r>
    </w:p>
    <w:p w14:paraId="0ED69E30">
      <w:pPr>
        <w:tabs>
          <w:tab w:val="left" w:pos="1603"/>
        </w:tabs>
        <w:jc w:val="left"/>
      </w:pPr>
      <w:r>
        <w:t> </w:t>
      </w:r>
    </w:p>
    <w:p w14:paraId="2E706525">
      <w:pPr>
        <w:tabs>
          <w:tab w:val="left" w:pos="1603"/>
        </w:tabs>
        <w:jc w:val="left"/>
      </w:pPr>
      <w:r>
        <w:t> </w:t>
      </w:r>
    </w:p>
    <w:p w14:paraId="48368832">
      <w:pPr>
        <w:tabs>
          <w:tab w:val="left" w:pos="1603"/>
        </w:tabs>
        <w:jc w:val="left"/>
      </w:pPr>
    </w:p>
    <w:p w14:paraId="6A397250">
      <w:pPr>
        <w:tabs>
          <w:tab w:val="left" w:pos="1603"/>
        </w:tabs>
        <w:jc w:val="left"/>
      </w:pPr>
    </w:p>
    <w:p w14:paraId="64500D90">
      <w:pPr>
        <w:ind w:firstLine="720" w:firstLineChars="200"/>
        <w:rPr>
          <w:rFonts w:eastAsia="黑体"/>
          <w:sz w:val="36"/>
          <w:szCs w:val="36"/>
        </w:rPr>
      </w:pPr>
    </w:p>
    <w:p w14:paraId="71766F70">
      <w:pPr>
        <w:ind w:firstLine="720" w:firstLineChars="200"/>
        <w:rPr>
          <w:rFonts w:eastAsia="黑体"/>
          <w:sz w:val="36"/>
          <w:szCs w:val="36"/>
        </w:rPr>
      </w:pPr>
    </w:p>
    <w:p w14:paraId="1A30D209">
      <w:pPr>
        <w:ind w:firstLine="720" w:firstLineChars="200"/>
        <w:rPr>
          <w:rFonts w:eastAsia="黑体"/>
          <w:sz w:val="36"/>
          <w:szCs w:val="36"/>
        </w:rPr>
      </w:pPr>
    </w:p>
    <w:p w14:paraId="54C3D0E1">
      <w:pPr>
        <w:ind w:firstLine="720" w:firstLineChars="200"/>
        <w:rPr>
          <w:rFonts w:eastAsia="黑体"/>
          <w:sz w:val="36"/>
          <w:szCs w:val="36"/>
        </w:rPr>
      </w:pPr>
    </w:p>
    <w:p w14:paraId="45DD29B5">
      <w:pPr>
        <w:ind w:firstLine="720" w:firstLineChars="200"/>
        <w:rPr>
          <w:rFonts w:eastAsia="黑体"/>
          <w:sz w:val="36"/>
          <w:szCs w:val="36"/>
        </w:rPr>
      </w:pPr>
    </w:p>
    <w:p w14:paraId="2D0A168D">
      <w:pPr>
        <w:rPr>
          <w:rFonts w:eastAsia="黑体"/>
          <w:sz w:val="36"/>
          <w:szCs w:val="36"/>
        </w:rPr>
      </w:pPr>
    </w:p>
    <w:p w14:paraId="40B7A9A4">
      <w:pPr>
        <w:rPr>
          <w:rFonts w:eastAsia="黑体"/>
          <w:sz w:val="36"/>
          <w:szCs w:val="36"/>
        </w:rPr>
      </w:pPr>
    </w:p>
    <w:p w14:paraId="6C246D3B">
      <w:pPr>
        <w:ind w:firstLine="720" w:firstLineChars="200"/>
        <w:jc w:val="center"/>
        <w:rPr>
          <w:rFonts w:eastAsia="黑体"/>
          <w:sz w:val="36"/>
          <w:szCs w:val="36"/>
        </w:rPr>
      </w:pPr>
      <w:r>
        <w:rPr>
          <w:rFonts w:hint="eastAsia" w:eastAsia="黑体"/>
          <w:sz w:val="36"/>
          <w:szCs w:val="36"/>
        </w:rPr>
        <w:t xml:space="preserve">  </w:t>
      </w:r>
      <w:r>
        <w:rPr>
          <w:rFonts w:hint="eastAsia" w:eastAsia="黑体"/>
          <w:sz w:val="36"/>
          <w:szCs w:val="36"/>
          <w:lang w:val="en-US" w:eastAsia="zh-CN"/>
        </w:rPr>
        <w:t>单位</w:t>
      </w:r>
      <w:r>
        <w:rPr>
          <w:rFonts w:eastAsia="黑体"/>
          <w:sz w:val="36"/>
          <w:szCs w:val="36"/>
        </w:rPr>
        <w:t>名称：</w:t>
      </w:r>
      <w:r>
        <w:rPr>
          <w:rFonts w:hint="eastAsia" w:eastAsia="黑体"/>
          <w:sz w:val="36"/>
          <w:szCs w:val="36"/>
          <w:u w:val="single"/>
          <w:lang w:val="en-US" w:eastAsia="zh-CN"/>
        </w:rPr>
        <w:t>益阳市路灯灯饰服务中心</w:t>
      </w:r>
      <w:bookmarkStart w:id="0" w:name="_GoBack"/>
      <w:bookmarkEnd w:id="0"/>
    </w:p>
    <w:p w14:paraId="15B75396">
      <w:pPr>
        <w:ind w:firstLine="3240" w:firstLineChars="900"/>
        <w:rPr>
          <w:rFonts w:eastAsia="黑体"/>
          <w:sz w:val="36"/>
          <w:szCs w:val="36"/>
        </w:rPr>
      </w:pPr>
      <w:r>
        <w:rPr>
          <w:rFonts w:hint="eastAsia" w:eastAsia="黑体"/>
          <w:sz w:val="36"/>
          <w:szCs w:val="36"/>
          <w:lang w:val="en-US" w:eastAsia="zh-CN"/>
        </w:rPr>
        <w:t>2025</w:t>
      </w:r>
      <w:r>
        <w:rPr>
          <w:rFonts w:eastAsia="黑体"/>
          <w:sz w:val="36"/>
          <w:szCs w:val="36"/>
        </w:rPr>
        <w:t xml:space="preserve">年 </w:t>
      </w:r>
      <w:r>
        <w:rPr>
          <w:rFonts w:hint="eastAsia" w:eastAsia="黑体"/>
          <w:sz w:val="36"/>
          <w:szCs w:val="36"/>
          <w:lang w:val="en-US" w:eastAsia="zh-CN"/>
        </w:rPr>
        <w:t>4</w:t>
      </w:r>
      <w:r>
        <w:rPr>
          <w:rFonts w:eastAsia="黑体"/>
          <w:sz w:val="36"/>
          <w:szCs w:val="36"/>
        </w:rPr>
        <w:t xml:space="preserve"> 月 </w:t>
      </w:r>
      <w:r>
        <w:rPr>
          <w:rFonts w:hint="eastAsia" w:eastAsia="黑体"/>
          <w:sz w:val="36"/>
          <w:szCs w:val="36"/>
          <w:lang w:val="en-US" w:eastAsia="zh-CN"/>
        </w:rPr>
        <w:t>21</w:t>
      </w:r>
      <w:r>
        <w:rPr>
          <w:rFonts w:eastAsia="黑体"/>
          <w:sz w:val="36"/>
          <w:szCs w:val="36"/>
        </w:rPr>
        <w:t>日</w:t>
      </w:r>
    </w:p>
    <w:p w14:paraId="1BB74749">
      <w:pPr>
        <w:jc w:val="center"/>
        <w:rPr>
          <w:szCs w:val="32"/>
        </w:rPr>
      </w:pPr>
    </w:p>
    <w:p w14:paraId="16B9BE06">
      <w:pPr>
        <w:jc w:val="center"/>
        <w:rPr>
          <w:szCs w:val="32"/>
        </w:rPr>
      </w:pPr>
    </w:p>
    <w:p w14:paraId="0D2DE62B">
      <w:pPr>
        <w:spacing w:line="560" w:lineRule="exact"/>
        <w:jc w:val="center"/>
        <w:rPr>
          <w:rFonts w:hint="eastAsia" w:ascii="Times New Roman" w:hAnsi="Times New Roman" w:eastAsia="方正小标宋_GBK"/>
          <w:sz w:val="36"/>
          <w:szCs w:val="36"/>
        </w:rPr>
      </w:pPr>
    </w:p>
    <w:p w14:paraId="50E8B624">
      <w:pPr>
        <w:spacing w:line="560" w:lineRule="exact"/>
        <w:jc w:val="center"/>
        <w:rPr>
          <w:rFonts w:hint="eastAsia" w:ascii="Times New Roman" w:hAnsi="Times New Roman" w:eastAsia="方正小标宋_GBK"/>
          <w:sz w:val="36"/>
          <w:szCs w:val="36"/>
        </w:rPr>
      </w:pPr>
    </w:p>
    <w:p w14:paraId="6915175C">
      <w:pPr>
        <w:spacing w:line="560" w:lineRule="exact"/>
        <w:jc w:val="both"/>
        <w:rPr>
          <w:rFonts w:hint="eastAsia" w:ascii="Times New Roman" w:hAnsi="Times New Roman" w:eastAsia="方正小标宋_GBK"/>
          <w:sz w:val="36"/>
          <w:szCs w:val="36"/>
        </w:rPr>
      </w:pPr>
    </w:p>
    <w:p w14:paraId="60BB1502">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color w:val="000000"/>
          <w:kern w:val="0"/>
          <w:sz w:val="44"/>
          <w:szCs w:val="44"/>
          <w:lang w:eastAsia="zh-CN"/>
        </w:rPr>
      </w:pPr>
      <w:r>
        <w:rPr>
          <w:rFonts w:hint="eastAsia" w:ascii="Times New Roman" w:hAnsi="Times New Roman" w:eastAsia="方正小标宋简体" w:cs="Times New Roman"/>
          <w:color w:val="000000"/>
          <w:kern w:val="0"/>
          <w:sz w:val="44"/>
          <w:szCs w:val="44"/>
          <w:lang w:eastAsia="zh-CN"/>
        </w:rPr>
        <w:t>2024年度</w:t>
      </w:r>
      <w:r>
        <w:rPr>
          <w:rFonts w:hint="eastAsia" w:ascii="Times New Roman" w:hAnsi="Times New Roman" w:eastAsia="方正小标宋简体" w:cs="Times New Roman"/>
          <w:color w:val="000000"/>
          <w:kern w:val="0"/>
          <w:sz w:val="44"/>
          <w:szCs w:val="44"/>
          <w:lang w:val="en-US" w:eastAsia="zh-CN"/>
        </w:rPr>
        <w:t>秀峰公园（二期）、中心城区中高杆灯、工人路、青年路、会龙山公园、茶文化工程资金</w:t>
      </w:r>
      <w:r>
        <w:rPr>
          <w:rFonts w:hint="eastAsia" w:ascii="Times New Roman" w:hAnsi="Times New Roman" w:eastAsia="方正小标宋简体" w:cs="Times New Roman"/>
          <w:color w:val="000000"/>
          <w:kern w:val="0"/>
          <w:sz w:val="44"/>
          <w:szCs w:val="44"/>
          <w:lang w:eastAsia="zh-CN"/>
        </w:rPr>
        <w:t>项目资金部门评价报告</w:t>
      </w:r>
    </w:p>
    <w:p w14:paraId="587A9818">
      <w:pPr>
        <w:adjustRightInd w:val="0"/>
        <w:spacing w:line="600" w:lineRule="exact"/>
        <w:ind w:right="641"/>
        <w:rPr>
          <w:rFonts w:ascii="Times New Roman" w:hAnsi="Times New Roman"/>
          <w:szCs w:val="32"/>
        </w:rPr>
      </w:pPr>
    </w:p>
    <w:p w14:paraId="38B998BC">
      <w:pPr>
        <w:keepNext w:val="0"/>
        <w:keepLines w:val="0"/>
        <w:pageBreakBefore w:val="0"/>
        <w:widowControl w:val="0"/>
        <w:tabs>
          <w:tab w:val="left" w:pos="550"/>
        </w:tabs>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一、项目基本情况</w:t>
      </w:r>
    </w:p>
    <w:p w14:paraId="5C3D175E">
      <w:pPr>
        <w:spacing w:line="600" w:lineRule="exact"/>
        <w:ind w:firstLine="643" w:firstLineChars="200"/>
        <w:rPr>
          <w:rFonts w:eastAsia="楷体_GB2312"/>
          <w:b/>
          <w:szCs w:val="32"/>
        </w:rPr>
      </w:pPr>
      <w:r>
        <w:rPr>
          <w:rFonts w:eastAsia="楷体_GB2312"/>
          <w:b/>
          <w:szCs w:val="32"/>
        </w:rPr>
        <w:t>（一）</w:t>
      </w:r>
      <w:r>
        <w:rPr>
          <w:rFonts w:hint="eastAsia" w:eastAsia="楷体_GB2312"/>
          <w:b/>
          <w:szCs w:val="32"/>
        </w:rPr>
        <w:t>项目</w:t>
      </w:r>
      <w:r>
        <w:rPr>
          <w:rFonts w:eastAsia="楷体_GB2312"/>
          <w:b/>
          <w:szCs w:val="32"/>
        </w:rPr>
        <w:t>概况</w:t>
      </w:r>
    </w:p>
    <w:p w14:paraId="064A74F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lang w:val="en-US" w:eastAsia="zh-CN"/>
        </w:rPr>
        <w:t>随着城市的发展与居民生活品质需求的提升，城市公共空间的照明设施及景观建设愈发重要。秀峰公园（二期）旨在进一步完善公园的景观与服务功能，为市民提供更优质的休闲场所。中心城区中高杆灯关乎城市主要区域的夜间照明亮度与覆盖范围。工人路、青年路作为城市交通与商业的重要干道，其照明设施直接影响交通安全与商业氛围。会龙山公园的照明及景观打造有助于挖掘公园的夜间游览价值。茶文化工程则致力于通过景观照明等手段，弘扬城市的茶文化特色。为确保这些项目的顺利推进与设施的正常维护，特安排专项资金进行建设与管理。</w:t>
      </w:r>
    </w:p>
    <w:p w14:paraId="44F8E20C">
      <w:pPr>
        <w:numPr>
          <w:ilvl w:val="0"/>
          <w:numId w:val="1"/>
        </w:numPr>
        <w:spacing w:line="600" w:lineRule="exact"/>
        <w:ind w:firstLine="643" w:firstLineChars="200"/>
        <w:rPr>
          <w:rFonts w:eastAsia="楷体_GB2312"/>
          <w:b/>
          <w:szCs w:val="32"/>
        </w:rPr>
      </w:pPr>
      <w:r>
        <w:rPr>
          <w:rFonts w:eastAsia="楷体_GB2312"/>
          <w:b/>
          <w:szCs w:val="32"/>
        </w:rPr>
        <w:t>资金使用管理情况</w:t>
      </w:r>
    </w:p>
    <w:p w14:paraId="7DD4E28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szCs w:val="32"/>
        </w:rPr>
      </w:pPr>
      <w:r>
        <w:rPr>
          <w:rFonts w:hint="eastAsia"/>
          <w:szCs w:val="32"/>
          <w:lang w:val="en-US" w:eastAsia="zh-CN"/>
        </w:rPr>
        <w:t>1.</w:t>
      </w:r>
      <w:r>
        <w:rPr>
          <w:rFonts w:hint="default"/>
          <w:szCs w:val="32"/>
          <w:lang w:val="en-US" w:eastAsia="zh-CN"/>
        </w:rPr>
        <w:t>资金</w:t>
      </w:r>
      <w:r>
        <w:rPr>
          <w:rFonts w:hint="eastAsia"/>
          <w:szCs w:val="32"/>
          <w:lang w:val="en-US" w:eastAsia="zh-CN"/>
        </w:rPr>
        <w:t>使用</w:t>
      </w:r>
      <w:r>
        <w:rPr>
          <w:rFonts w:hint="default"/>
          <w:szCs w:val="32"/>
          <w:lang w:val="en-US" w:eastAsia="zh-CN"/>
        </w:rPr>
        <w:t>情况​</w:t>
      </w:r>
    </w:p>
    <w:p w14:paraId="2444A3C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2024年度秀峰公园（二期）、中心城区中高杆灯、工人路、青年路、会龙山公园、茶文化工程项目预算安排资金</w:t>
      </w:r>
      <w:r>
        <w:rPr>
          <w:rFonts w:hint="eastAsia" w:ascii="Times New Roman" w:hAnsi="Times New Roman" w:eastAsia="仿宋" w:cs="Times New Roman"/>
          <w:sz w:val="32"/>
          <w:szCs w:val="32"/>
          <w:lang w:val="en-US" w:eastAsia="zh-CN"/>
        </w:rPr>
        <w:t>217.45</w:t>
      </w:r>
      <w:r>
        <w:rPr>
          <w:rFonts w:hint="default" w:ascii="Times New Roman" w:hAnsi="Times New Roman" w:eastAsia="仿宋" w:cs="Times New Roman"/>
          <w:sz w:val="32"/>
          <w:szCs w:val="32"/>
          <w:lang w:val="en-US" w:eastAsia="zh-CN"/>
        </w:rPr>
        <w:t>万元</w:t>
      </w:r>
      <w:r>
        <w:rPr>
          <w:rFonts w:hint="eastAsia" w:ascii="Times New Roman" w:hAnsi="Times New Roman" w:eastAsia="仿宋" w:cs="Times New Roman"/>
          <w:sz w:val="32"/>
          <w:szCs w:val="32"/>
          <w:lang w:val="en-US" w:eastAsia="zh-CN"/>
        </w:rPr>
        <w:t>，</w:t>
      </w:r>
      <w:r>
        <w:rPr>
          <w:rFonts w:hint="default" w:ascii="Times New Roman" w:hAnsi="Times New Roman" w:eastAsia="仿宋" w:cs="Times New Roman"/>
          <w:sz w:val="32"/>
          <w:szCs w:val="32"/>
          <w:lang w:val="en-US" w:eastAsia="zh-CN"/>
        </w:rPr>
        <w:t>资金已全部足额到位，到位率达到100%，为项目的顺利开展提供了坚实的资金保障</w:t>
      </w:r>
      <w:r>
        <w:rPr>
          <w:rFonts w:hint="eastAsia" w:ascii="Times New Roman" w:hAnsi="Times New Roman" w:eastAsia="仿宋" w:cs="Times New Roman"/>
          <w:sz w:val="32"/>
          <w:szCs w:val="32"/>
          <w:lang w:val="en-US" w:eastAsia="zh-CN"/>
        </w:rPr>
        <w:t>。资金现已全部使用，执行率达到100%。</w:t>
      </w:r>
    </w:p>
    <w:p w14:paraId="6467797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szCs w:val="32"/>
          <w:lang w:val="en-US" w:eastAsia="zh-CN"/>
        </w:rPr>
      </w:pPr>
      <w:r>
        <w:rPr>
          <w:rFonts w:hint="eastAsia"/>
          <w:szCs w:val="32"/>
          <w:lang w:val="en-US" w:eastAsia="zh-CN"/>
        </w:rPr>
        <w:t>2.</w:t>
      </w:r>
      <w:r>
        <w:rPr>
          <w:rFonts w:hint="default"/>
          <w:szCs w:val="32"/>
          <w:lang w:val="en-US" w:eastAsia="zh-CN"/>
        </w:rPr>
        <w:t>资金管理情况</w:t>
      </w:r>
    </w:p>
    <w:p w14:paraId="4229EFB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制定了详细且针对性强的项目资金管理办法，明确了各项目资金的使用范围、审批流程及监管要求。不同项目的资金严格按照其用途进行分配与使用，杜绝资金挪用现象。​</w:t>
      </w:r>
    </w:p>
    <w:p w14:paraId="7606B59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资金拨付严格依照项目进度及合同约定执行。在项目实施过程中，对项目进度进行严格把控，根据实际完成进度分阶段拨付资金，确保资金使用安全、规范且高效。​</w:t>
      </w:r>
    </w:p>
    <w:p w14:paraId="2635E90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定期组织专业财务人员对资金使用情况进行财务审计与监督。通过内部审计与外部审计相结合的方式，及时发现并纠正资金使用过程中存在的问题，确保每一笔资金都用在刀刃上。​</w:t>
      </w:r>
    </w:p>
    <w:p w14:paraId="631D9798">
      <w:pPr>
        <w:numPr>
          <w:ilvl w:val="0"/>
          <w:numId w:val="1"/>
        </w:numPr>
        <w:adjustRightInd w:val="0"/>
        <w:snapToGrid w:val="0"/>
        <w:spacing w:line="600" w:lineRule="exact"/>
        <w:ind w:left="0" w:leftChars="0" w:firstLine="643" w:firstLineChars="200"/>
        <w:rPr>
          <w:rFonts w:eastAsia="楷体_GB2312"/>
          <w:b/>
          <w:szCs w:val="32"/>
        </w:rPr>
      </w:pPr>
      <w:r>
        <w:rPr>
          <w:rFonts w:eastAsia="楷体_GB2312"/>
          <w:b/>
          <w:szCs w:val="32"/>
        </w:rPr>
        <w:t>绩效目标完成程度</w:t>
      </w:r>
    </w:p>
    <w:p w14:paraId="3E478F1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完成公园内景观照明设施的安装与调试，打造独特的夜间景观，吸引更多市民前来休闲游览，提升市民的满意度至 90%以上</w:t>
      </w:r>
      <w:r>
        <w:rPr>
          <w:rFonts w:hint="eastAsia" w:ascii="Times New Roman" w:hAnsi="Times New Roman" w:eastAsia="仿宋" w:cs="Times New Roman"/>
          <w:sz w:val="32"/>
          <w:szCs w:val="32"/>
          <w:lang w:val="en-US" w:eastAsia="zh-CN"/>
        </w:rPr>
        <w:t>；</w:t>
      </w:r>
      <w:r>
        <w:rPr>
          <w:rFonts w:hint="default" w:ascii="Times New Roman" w:hAnsi="Times New Roman" w:eastAsia="仿宋" w:cs="Times New Roman"/>
          <w:sz w:val="32"/>
          <w:szCs w:val="32"/>
          <w:lang w:val="en-US" w:eastAsia="zh-CN"/>
        </w:rPr>
        <w:t>保障中高杆灯的正常运行，确保照明亮度达到相关标准，照明覆盖率达到100%，提升中心城区夜间整体照明效果。</w:t>
      </w:r>
      <w:r>
        <w:rPr>
          <w:rFonts w:hint="eastAsia" w:ascii="Times New Roman" w:hAnsi="Times New Roman" w:eastAsia="仿宋" w:cs="Times New Roman"/>
          <w:sz w:val="32"/>
          <w:szCs w:val="32"/>
          <w:lang w:val="en-US" w:eastAsia="zh-CN"/>
        </w:rPr>
        <w:t>绩效总目标已完成，阶段性完成情况良好。具体效益情况在下文说明。</w:t>
      </w:r>
    </w:p>
    <w:p w14:paraId="5A87B1C6">
      <w:pPr>
        <w:keepNext w:val="0"/>
        <w:keepLines w:val="0"/>
        <w:pageBreakBefore w:val="0"/>
        <w:widowControl w:val="0"/>
        <w:tabs>
          <w:tab w:val="left" w:pos="550"/>
        </w:tabs>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二、部门评价工作开展情况</w:t>
      </w:r>
    </w:p>
    <w:p w14:paraId="225852A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我单位建立</w:t>
      </w:r>
      <w:r>
        <w:rPr>
          <w:rFonts w:hint="default" w:ascii="Times New Roman" w:hAnsi="Times New Roman" w:eastAsia="仿宋" w:cs="Times New Roman"/>
          <w:sz w:val="32"/>
          <w:szCs w:val="32"/>
          <w:lang w:val="en-US" w:eastAsia="zh-CN"/>
        </w:rPr>
        <w:t>秀峰公园（二期）、中心城区中高杆灯、工人路、青年路、会龙山公园、茶文化工程专项经费</w:t>
      </w:r>
      <w:r>
        <w:rPr>
          <w:rFonts w:hint="eastAsia" w:ascii="Times New Roman" w:hAnsi="Times New Roman" w:eastAsia="仿宋" w:cs="Times New Roman"/>
          <w:sz w:val="32"/>
          <w:szCs w:val="32"/>
          <w:lang w:val="en-US" w:eastAsia="zh-CN"/>
        </w:rPr>
        <w:t>绩效评价常态化机制，加强绩效评价结果运用，以科学评价促规范管理。</w:t>
      </w:r>
    </w:p>
    <w:p w14:paraId="75C0BFA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szCs w:val="32"/>
          <w:lang w:val="en-US"/>
        </w:rPr>
      </w:pPr>
      <w:r>
        <w:rPr>
          <w:rFonts w:hint="eastAsia" w:ascii="Times New Roman" w:hAnsi="Times New Roman" w:eastAsia="仿宋" w:cs="Times New Roman"/>
          <w:sz w:val="32"/>
          <w:szCs w:val="32"/>
          <w:lang w:val="en-US" w:eastAsia="zh-CN"/>
        </w:rPr>
        <w:t>在探索秀</w:t>
      </w:r>
      <w:r>
        <w:rPr>
          <w:rFonts w:hint="default" w:ascii="Times New Roman" w:hAnsi="Times New Roman" w:eastAsia="仿宋" w:cs="Times New Roman"/>
          <w:sz w:val="32"/>
          <w:szCs w:val="32"/>
          <w:lang w:val="en-US" w:eastAsia="zh-CN"/>
        </w:rPr>
        <w:t>峰公园（二期）、中心城区中高杆灯、工人路、青年路、会龙山公园、茶文化工程经费</w:t>
      </w:r>
      <w:r>
        <w:rPr>
          <w:rFonts w:hint="eastAsia" w:ascii="Times New Roman" w:hAnsi="Times New Roman" w:eastAsia="仿宋" w:cs="Times New Roman"/>
          <w:sz w:val="32"/>
          <w:szCs w:val="32"/>
          <w:lang w:val="en-US" w:eastAsia="zh-CN"/>
        </w:rPr>
        <w:t>评价基础上，将其</w:t>
      </w:r>
      <w:r>
        <w:rPr>
          <w:rFonts w:hint="default" w:ascii="Times New Roman" w:hAnsi="Times New Roman" w:eastAsia="仿宋" w:cs="Times New Roman"/>
          <w:sz w:val="32"/>
          <w:szCs w:val="32"/>
          <w:lang w:val="en-US" w:eastAsia="zh-CN"/>
        </w:rPr>
        <w:t>专项经费</w:t>
      </w:r>
      <w:r>
        <w:rPr>
          <w:rFonts w:hint="eastAsia" w:ascii="Times New Roman" w:hAnsi="Times New Roman" w:eastAsia="仿宋" w:cs="Times New Roman"/>
          <w:sz w:val="32"/>
          <w:szCs w:val="32"/>
          <w:lang w:val="en-US" w:eastAsia="zh-CN"/>
        </w:rPr>
        <w:t>纳入整体运行绩效评价范围。</w:t>
      </w:r>
    </w:p>
    <w:p w14:paraId="01D56DE0">
      <w:pPr>
        <w:keepNext w:val="0"/>
        <w:keepLines w:val="0"/>
        <w:pageBreakBefore w:val="0"/>
        <w:widowControl w:val="0"/>
        <w:tabs>
          <w:tab w:val="left" w:pos="550"/>
        </w:tabs>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三、综合评价结论</w:t>
      </w:r>
    </w:p>
    <w:p w14:paraId="5B4597D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202</w:t>
      </w:r>
      <w:r>
        <w:rPr>
          <w:rFonts w:hint="eastAsia" w:ascii="Times New Roman" w:hAnsi="Times New Roman" w:eastAsia="仿宋" w:cs="Times New Roman"/>
          <w:sz w:val="32"/>
          <w:szCs w:val="32"/>
          <w:lang w:val="en-US" w:eastAsia="zh-CN"/>
        </w:rPr>
        <w:t>4</w:t>
      </w:r>
      <w:r>
        <w:rPr>
          <w:rFonts w:hint="default" w:ascii="Times New Roman" w:hAnsi="Times New Roman" w:eastAsia="仿宋" w:cs="Times New Roman"/>
          <w:sz w:val="32"/>
          <w:szCs w:val="32"/>
          <w:lang w:val="en-US" w:eastAsia="zh-CN"/>
        </w:rPr>
        <w:t>年度</w:t>
      </w:r>
      <w:r>
        <w:rPr>
          <w:rFonts w:hint="eastAsia" w:ascii="Times New Roman" w:hAnsi="Times New Roman" w:eastAsia="仿宋" w:cs="Times New Roman"/>
          <w:sz w:val="32"/>
          <w:szCs w:val="32"/>
          <w:lang w:val="en-US" w:eastAsia="zh-CN"/>
        </w:rPr>
        <w:t>秀</w:t>
      </w:r>
      <w:r>
        <w:rPr>
          <w:rFonts w:hint="default" w:ascii="Times New Roman" w:hAnsi="Times New Roman" w:eastAsia="仿宋" w:cs="Times New Roman"/>
          <w:sz w:val="32"/>
          <w:szCs w:val="32"/>
          <w:lang w:val="en-US" w:eastAsia="zh-CN"/>
        </w:rPr>
        <w:t>峰公园（二期）、中心城区中高杆灯、工人路、青年路、会龙山公园、茶文化工程项目</w:t>
      </w:r>
      <w:r>
        <w:rPr>
          <w:rFonts w:hint="eastAsia" w:ascii="Times New Roman" w:hAnsi="Times New Roman" w:eastAsia="仿宋" w:cs="Times New Roman"/>
          <w:sz w:val="32"/>
          <w:szCs w:val="32"/>
          <w:lang w:val="en-US" w:eastAsia="zh-CN"/>
        </w:rPr>
        <w:t>综合得分为96分，评价结论为优秀。</w:t>
      </w:r>
    </w:p>
    <w:p w14:paraId="14C02084">
      <w:pPr>
        <w:keepNext w:val="0"/>
        <w:keepLines w:val="0"/>
        <w:pageBreakBefore w:val="0"/>
        <w:widowControl w:val="0"/>
        <w:tabs>
          <w:tab w:val="left" w:pos="550"/>
        </w:tabs>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四、绩效评价指标分析</w:t>
      </w:r>
    </w:p>
    <w:p w14:paraId="0EDB62F2">
      <w:pPr>
        <w:spacing w:line="600" w:lineRule="exact"/>
        <w:ind w:firstLine="643" w:firstLineChars="200"/>
        <w:rPr>
          <w:rFonts w:eastAsia="楷体_GB2312"/>
          <w:b/>
          <w:szCs w:val="32"/>
        </w:rPr>
      </w:pPr>
      <w:r>
        <w:rPr>
          <w:rFonts w:eastAsia="楷体_GB2312"/>
          <w:b/>
          <w:szCs w:val="32"/>
        </w:rPr>
        <w:t>（一）预算支出决策情况</w:t>
      </w:r>
    </w:p>
    <w:p w14:paraId="33BB618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预算支出按照规定的程序申请设立；审批文件、材料符合相关要求；事前已经过必要的可行性研究、专家论证、风险评估、绩效评估、集体决策。情况良好。</w:t>
      </w:r>
    </w:p>
    <w:p w14:paraId="419B9D61">
      <w:pPr>
        <w:numPr>
          <w:ilvl w:val="0"/>
          <w:numId w:val="2"/>
        </w:numPr>
        <w:spacing w:line="600" w:lineRule="exact"/>
        <w:ind w:firstLine="643" w:firstLineChars="200"/>
        <w:rPr>
          <w:rFonts w:eastAsia="楷体_GB2312"/>
          <w:b/>
          <w:szCs w:val="32"/>
        </w:rPr>
      </w:pPr>
      <w:r>
        <w:rPr>
          <w:rFonts w:eastAsia="楷体_GB2312"/>
          <w:b/>
          <w:szCs w:val="32"/>
        </w:rPr>
        <w:t>预算执行过程情况</w:t>
      </w:r>
    </w:p>
    <w:p w14:paraId="65A5BB5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符合国家财经法规和财务管理制度以及有关专项资金管理办法的规定；资金的拨付有完整的审批程序和手续；符合预算支出预算批复或合同规定的用途；不存在截留、挤占、挪用、虐列支出等情况。情况良好。</w:t>
      </w:r>
    </w:p>
    <w:p w14:paraId="68488D15">
      <w:pPr>
        <w:spacing w:line="600" w:lineRule="exact"/>
        <w:ind w:firstLine="643" w:firstLineChars="200"/>
        <w:rPr>
          <w:rFonts w:eastAsia="楷体_GB2312"/>
          <w:b/>
          <w:szCs w:val="32"/>
        </w:rPr>
      </w:pPr>
      <w:r>
        <w:rPr>
          <w:rFonts w:eastAsia="楷体_GB2312"/>
          <w:b/>
          <w:szCs w:val="32"/>
        </w:rPr>
        <w:t>（三）预算支出产出情况</w:t>
      </w:r>
    </w:p>
    <w:p w14:paraId="1438457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预算支出实施产生了良好的经济效益，日常根据预算支出实际情况有选择地设置和细化。情况良好。</w:t>
      </w:r>
    </w:p>
    <w:p w14:paraId="7C778D36">
      <w:pPr>
        <w:spacing w:line="600" w:lineRule="exact"/>
        <w:ind w:firstLine="643" w:firstLineChars="200"/>
        <w:rPr>
          <w:rFonts w:eastAsia="楷体_GB2312"/>
          <w:b/>
          <w:szCs w:val="32"/>
        </w:rPr>
      </w:pPr>
      <w:r>
        <w:rPr>
          <w:rFonts w:eastAsia="楷体_GB2312"/>
          <w:b/>
          <w:szCs w:val="32"/>
        </w:rPr>
        <w:t>（四）预算支出效益情况</w:t>
      </w:r>
    </w:p>
    <w:p w14:paraId="0FB7359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通过本项目的实施，</w:t>
      </w:r>
      <w:r>
        <w:rPr>
          <w:rFonts w:hint="eastAsia" w:ascii="Times New Roman" w:hAnsi="Times New Roman" w:eastAsia="仿宋" w:cs="Times New Roman"/>
          <w:sz w:val="32"/>
          <w:szCs w:val="32"/>
          <w:lang w:val="en-US" w:eastAsia="zh-CN"/>
        </w:rPr>
        <w:t>照明环境有所改善</w:t>
      </w:r>
      <w:r>
        <w:rPr>
          <w:rFonts w:hint="default" w:ascii="Times New Roman" w:hAnsi="Times New Roman" w:eastAsia="仿宋" w:cs="Times New Roman"/>
          <w:sz w:val="32"/>
          <w:szCs w:val="32"/>
          <w:lang w:val="en-US" w:eastAsia="zh-CN"/>
        </w:rPr>
        <w:t>，项目资金的使用具有较好的经济效益。同时，在</w:t>
      </w:r>
      <w:r>
        <w:rPr>
          <w:rFonts w:hint="eastAsia" w:ascii="Times New Roman" w:hAnsi="Times New Roman" w:eastAsia="仿宋" w:cs="Times New Roman"/>
          <w:sz w:val="32"/>
          <w:szCs w:val="32"/>
          <w:lang w:val="en-US" w:eastAsia="zh-CN"/>
        </w:rPr>
        <w:t>项目</w:t>
      </w:r>
      <w:r>
        <w:rPr>
          <w:rFonts w:hint="default" w:ascii="Times New Roman" w:hAnsi="Times New Roman" w:eastAsia="仿宋" w:cs="Times New Roman"/>
          <w:sz w:val="32"/>
          <w:szCs w:val="32"/>
          <w:lang w:val="en-US" w:eastAsia="zh-CN"/>
        </w:rPr>
        <w:t>拓展过程中，通过优化成本结构、加强成本控制，进一步提高了项目的经济效益。</w:t>
      </w:r>
      <w:r>
        <w:rPr>
          <w:rFonts w:hint="eastAsia" w:ascii="Times New Roman" w:hAnsi="Times New Roman" w:eastAsia="仿宋" w:cs="Times New Roman"/>
          <w:sz w:val="32"/>
          <w:szCs w:val="32"/>
          <w:lang w:val="en-US" w:eastAsia="zh-CN"/>
        </w:rPr>
        <w:t>情况良好。</w:t>
      </w:r>
    </w:p>
    <w:p w14:paraId="6B40546A">
      <w:pPr>
        <w:keepNext w:val="0"/>
        <w:keepLines w:val="0"/>
        <w:pageBreakBefore w:val="0"/>
        <w:widowControl w:val="0"/>
        <w:tabs>
          <w:tab w:val="left" w:pos="550"/>
        </w:tabs>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五、存在的问题和改进措施</w:t>
      </w:r>
    </w:p>
    <w:p w14:paraId="26CE142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执行情况良好，暂未发现问题</w:t>
      </w:r>
    </w:p>
    <w:p w14:paraId="6A758000">
      <w:pPr>
        <w:keepNext w:val="0"/>
        <w:keepLines w:val="0"/>
        <w:pageBreakBefore w:val="0"/>
        <w:widowControl w:val="0"/>
        <w:tabs>
          <w:tab w:val="left" w:pos="550"/>
        </w:tabs>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六、部门评价结果拟应用和公开情况</w:t>
      </w:r>
    </w:p>
    <w:p w14:paraId="3F4C241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将部门评价结果拟应用于日后项目开展的依据，使项目更好的执行。秉持真实性原则公开发布评价情况。</w:t>
      </w:r>
    </w:p>
    <w:p w14:paraId="62204D4A">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textAlignment w:val="auto"/>
        <w:rPr>
          <w:rFonts w:hint="eastAsia" w:ascii="Times New Roman" w:hAnsi="Times New Roman" w:eastAsia="黑体"/>
          <w:szCs w:val="32"/>
        </w:rPr>
      </w:pPr>
      <w:r>
        <w:rPr>
          <w:rFonts w:hint="eastAsia" w:ascii="Times New Roman" w:hAnsi="Times New Roman" w:eastAsia="黑体"/>
          <w:szCs w:val="32"/>
          <w:lang w:val="en-US" w:eastAsia="zh-CN"/>
        </w:rPr>
        <w:t>七、</w:t>
      </w:r>
      <w:r>
        <w:rPr>
          <w:rFonts w:hint="eastAsia" w:ascii="Times New Roman" w:hAnsi="Times New Roman" w:eastAsia="黑体"/>
          <w:szCs w:val="32"/>
        </w:rPr>
        <w:t>其他需要说明的问题</w:t>
      </w:r>
    </w:p>
    <w:p w14:paraId="56A6369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无</w:t>
      </w:r>
    </w:p>
    <w:p w14:paraId="3223E56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 w:cs="Times New Roman"/>
          <w:sz w:val="32"/>
          <w:szCs w:val="32"/>
          <w:lang w:val="en-US" w:eastAsia="zh-CN"/>
        </w:rPr>
      </w:pPr>
    </w:p>
    <w:p w14:paraId="6A0210B4">
      <w:pPr>
        <w:keepNext w:val="0"/>
        <w:keepLines w:val="0"/>
        <w:pageBreakBefore w:val="0"/>
        <w:widowControl w:val="0"/>
        <w:kinsoku/>
        <w:wordWrap/>
        <w:overflowPunct/>
        <w:topLinePunct w:val="0"/>
        <w:autoSpaceDE/>
        <w:autoSpaceDN/>
        <w:bidi w:val="0"/>
        <w:adjustRightInd/>
        <w:snapToGrid/>
        <w:spacing w:line="600" w:lineRule="exact"/>
        <w:ind w:left="960" w:hanging="960" w:hangingChars="300"/>
        <w:textAlignment w:val="auto"/>
        <w:rPr>
          <w:rFonts w:hint="default"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附件</w:t>
      </w:r>
      <w:r>
        <w:rPr>
          <w:rFonts w:hint="default" w:ascii="Times New Roman" w:hAnsi="Times New Roman" w:eastAsia="仿宋" w:cs="Times New Roman"/>
          <w:sz w:val="32"/>
          <w:szCs w:val="32"/>
          <w:lang w:val="en-US" w:eastAsia="zh-CN"/>
        </w:rPr>
        <w:t>：2024年度秀峰公园（二期）、中心城区中高杆灯、工人路、青年路、会龙山公园、茶文化工程项目资金部门评价指标体系评分表</w:t>
      </w:r>
    </w:p>
    <w:p w14:paraId="45279DDC">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仿宋" w:cs="Times New Roman"/>
          <w:sz w:val="32"/>
          <w:szCs w:val="32"/>
          <w:lang w:val="en-US" w:eastAsia="zh-CN"/>
        </w:rPr>
      </w:pPr>
    </w:p>
    <w:p w14:paraId="3B10DAA9">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仿宋" w:cs="Times New Roman"/>
          <w:sz w:val="32"/>
          <w:szCs w:val="32"/>
          <w:lang w:val="en-US" w:eastAsia="zh-CN"/>
        </w:rPr>
      </w:pPr>
    </w:p>
    <w:p w14:paraId="026DFDB6">
      <w:pPr>
        <w:jc w:val="right"/>
        <w:rPr>
          <w:rFonts w:hint="eastAsia" w:ascii="Times New Roman" w:hAnsi="Times New Roman"/>
          <w:szCs w:val="32"/>
          <w:lang w:val="en-US" w:eastAsia="zh-CN"/>
        </w:rPr>
      </w:pPr>
    </w:p>
    <w:p w14:paraId="5D33B85D">
      <w:pPr>
        <w:jc w:val="right"/>
        <w:rPr>
          <w:rFonts w:hint="eastAsia" w:ascii="Times New Roman" w:hAnsi="Times New Roman"/>
          <w:szCs w:val="32"/>
          <w:lang w:val="en-US" w:eastAsia="zh-CN"/>
        </w:rPr>
      </w:pPr>
    </w:p>
    <w:p w14:paraId="7174EFF1">
      <w:pPr>
        <w:jc w:val="right"/>
        <w:rPr>
          <w:rFonts w:hint="eastAsia" w:ascii="Times New Roman" w:hAnsi="Times New Roman"/>
          <w:szCs w:val="32"/>
          <w:lang w:val="en-US" w:eastAsia="zh-CN"/>
        </w:rPr>
      </w:pPr>
      <w:r>
        <w:rPr>
          <w:rFonts w:hint="eastAsia" w:ascii="Times New Roman" w:hAnsi="Times New Roman"/>
          <w:szCs w:val="32"/>
          <w:lang w:val="en-US" w:eastAsia="zh-CN"/>
        </w:rPr>
        <w:t>益阳市路灯灯饰服务中心</w:t>
      </w:r>
    </w:p>
    <w:p w14:paraId="4D8B331D">
      <w:pPr>
        <w:pStyle w:val="2"/>
        <w:jc w:val="center"/>
        <w:rPr>
          <w:rFonts w:hint="eastAsia" w:ascii="Times New Roman" w:hAnsi="Times New Roman"/>
          <w:szCs w:val="32"/>
          <w:lang w:val="en-US" w:eastAsia="zh-CN"/>
        </w:rPr>
      </w:pPr>
      <w:r>
        <w:rPr>
          <w:rFonts w:hint="eastAsia" w:ascii="Times New Roman" w:hAnsi="Times New Roman"/>
          <w:szCs w:val="32"/>
          <w:lang w:val="en-US" w:eastAsia="zh-CN"/>
        </w:rPr>
        <w:t xml:space="preserve">                              2025年4月21日</w:t>
      </w:r>
    </w:p>
    <w:p w14:paraId="31D49449">
      <w:pPr>
        <w:rPr>
          <w:rFonts w:hint="eastAsia" w:ascii="Times New Roman" w:hAnsi="Times New Roman"/>
          <w:szCs w:val="32"/>
          <w:lang w:val="en-US" w:eastAsia="zh-CN"/>
        </w:rPr>
      </w:pPr>
    </w:p>
    <w:p w14:paraId="558E19E4">
      <w:pPr>
        <w:rPr>
          <w:rFonts w:hint="eastAsia" w:ascii="Times New Roman" w:hAnsi="Times New Roman"/>
          <w:szCs w:val="32"/>
          <w:lang w:val="en-US" w:eastAsia="zh-CN"/>
        </w:rPr>
      </w:pPr>
    </w:p>
    <w:p w14:paraId="78BEE423">
      <w:pPr>
        <w:rPr>
          <w:rFonts w:hint="eastAsia" w:ascii="Times New Roman" w:hAnsi="Times New Roman"/>
          <w:szCs w:val="32"/>
          <w:lang w:val="en-US" w:eastAsia="zh-CN"/>
        </w:rPr>
      </w:pPr>
    </w:p>
    <w:p w14:paraId="08D6E321">
      <w:pPr>
        <w:jc w:val="center"/>
        <w:rPr>
          <w:rFonts w:hint="eastAsia" w:ascii="仿宋_GB2312"/>
          <w:b/>
          <w:bCs/>
          <w:szCs w:val="32"/>
          <w:lang w:val="en-US" w:eastAsia="zh-CN"/>
        </w:rPr>
      </w:pPr>
      <w:r>
        <w:rPr>
          <w:rFonts w:hint="eastAsia" w:ascii="仿宋_GB2312"/>
          <w:b/>
          <w:bCs/>
          <w:szCs w:val="32"/>
          <w:lang w:val="en-US" w:eastAsia="zh-CN"/>
        </w:rPr>
        <w:t>2024 年度秀峰公园（二期）、中心城区中高杆灯、工人路、青年路、会龙山公园、茶文化工程项目</w:t>
      </w:r>
    </w:p>
    <w:p w14:paraId="7E600075">
      <w:pPr>
        <w:jc w:val="center"/>
        <w:rPr>
          <w:rFonts w:hint="eastAsia" w:ascii="仿宋_GB2312"/>
          <w:b/>
          <w:bCs/>
          <w:szCs w:val="32"/>
        </w:rPr>
      </w:pPr>
      <w:r>
        <w:rPr>
          <w:rFonts w:hint="eastAsia" w:ascii="仿宋_GB2312"/>
          <w:b/>
          <w:bCs/>
          <w:szCs w:val="32"/>
        </w:rPr>
        <w:t>资金部门评价指标体系评分表</w:t>
      </w:r>
    </w:p>
    <w:tbl>
      <w:tblPr>
        <w:tblStyle w:val="3"/>
        <w:tblW w:w="88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01"/>
        <w:gridCol w:w="748"/>
        <w:gridCol w:w="998"/>
        <w:gridCol w:w="655"/>
        <w:gridCol w:w="2080"/>
        <w:gridCol w:w="2947"/>
        <w:gridCol w:w="633"/>
      </w:tblGrid>
      <w:tr w14:paraId="4708A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blHeader/>
          <w:jc w:val="center"/>
        </w:trPr>
        <w:tc>
          <w:tcPr>
            <w:tcW w:w="801" w:type="dxa"/>
            <w:noWrap w:val="0"/>
            <w:tcMar>
              <w:top w:w="10" w:type="dxa"/>
              <w:left w:w="10" w:type="dxa"/>
              <w:bottom w:w="0" w:type="dxa"/>
              <w:right w:w="10" w:type="dxa"/>
            </w:tcMar>
            <w:vAlign w:val="center"/>
          </w:tcPr>
          <w:p w14:paraId="1B6830B0">
            <w:pPr>
              <w:jc w:val="center"/>
              <w:rPr>
                <w:rFonts w:hint="eastAsia" w:ascii="仿宋_GB2312"/>
                <w:b/>
                <w:bCs/>
                <w:sz w:val="21"/>
                <w:szCs w:val="21"/>
              </w:rPr>
            </w:pPr>
            <w:r>
              <w:rPr>
                <w:rFonts w:hint="eastAsia" w:ascii="仿宋_GB2312"/>
                <w:b/>
                <w:bCs/>
                <w:sz w:val="21"/>
                <w:szCs w:val="21"/>
              </w:rPr>
              <w:t>一级</w:t>
            </w:r>
            <w:r>
              <w:rPr>
                <w:rFonts w:hint="eastAsia" w:ascii="仿宋_GB2312"/>
                <w:b/>
                <w:bCs/>
                <w:sz w:val="21"/>
                <w:szCs w:val="21"/>
              </w:rPr>
              <w:br w:type="textWrapping"/>
            </w:r>
            <w:r>
              <w:rPr>
                <w:rFonts w:hint="eastAsia" w:ascii="仿宋_GB2312"/>
                <w:b/>
                <w:bCs/>
                <w:sz w:val="21"/>
                <w:szCs w:val="21"/>
              </w:rPr>
              <w:t>指标</w:t>
            </w:r>
          </w:p>
        </w:tc>
        <w:tc>
          <w:tcPr>
            <w:tcW w:w="749" w:type="dxa"/>
            <w:noWrap w:val="0"/>
            <w:tcMar>
              <w:top w:w="10" w:type="dxa"/>
              <w:left w:w="10" w:type="dxa"/>
              <w:bottom w:w="0" w:type="dxa"/>
              <w:right w:w="10" w:type="dxa"/>
            </w:tcMar>
            <w:vAlign w:val="center"/>
          </w:tcPr>
          <w:p w14:paraId="4D01867A">
            <w:pPr>
              <w:jc w:val="center"/>
              <w:rPr>
                <w:rFonts w:hint="eastAsia" w:ascii="仿宋_GB2312"/>
                <w:b/>
                <w:bCs/>
                <w:sz w:val="21"/>
                <w:szCs w:val="21"/>
              </w:rPr>
            </w:pPr>
            <w:r>
              <w:rPr>
                <w:rFonts w:hint="eastAsia" w:ascii="仿宋_GB2312"/>
                <w:b/>
                <w:bCs/>
                <w:sz w:val="21"/>
                <w:szCs w:val="21"/>
              </w:rPr>
              <w:t>二级</w:t>
            </w:r>
            <w:r>
              <w:rPr>
                <w:rFonts w:hint="eastAsia" w:ascii="仿宋_GB2312"/>
                <w:b/>
                <w:bCs/>
                <w:sz w:val="21"/>
                <w:szCs w:val="21"/>
              </w:rPr>
              <w:br w:type="textWrapping"/>
            </w:r>
            <w:r>
              <w:rPr>
                <w:rFonts w:hint="eastAsia" w:ascii="仿宋_GB2312"/>
                <w:b/>
                <w:bCs/>
                <w:sz w:val="21"/>
                <w:szCs w:val="21"/>
              </w:rPr>
              <w:t>指标</w:t>
            </w:r>
          </w:p>
        </w:tc>
        <w:tc>
          <w:tcPr>
            <w:tcW w:w="999" w:type="dxa"/>
            <w:noWrap w:val="0"/>
            <w:tcMar>
              <w:top w:w="10" w:type="dxa"/>
              <w:left w:w="10" w:type="dxa"/>
              <w:bottom w:w="0" w:type="dxa"/>
              <w:right w:w="10" w:type="dxa"/>
            </w:tcMar>
            <w:vAlign w:val="center"/>
          </w:tcPr>
          <w:p w14:paraId="2566D09C">
            <w:pPr>
              <w:jc w:val="center"/>
              <w:rPr>
                <w:rFonts w:hint="eastAsia" w:ascii="仿宋_GB2312"/>
                <w:b/>
                <w:bCs/>
                <w:sz w:val="21"/>
                <w:szCs w:val="21"/>
              </w:rPr>
            </w:pPr>
            <w:r>
              <w:rPr>
                <w:rFonts w:hint="eastAsia" w:ascii="仿宋_GB2312"/>
                <w:b/>
                <w:bCs/>
                <w:sz w:val="21"/>
                <w:szCs w:val="21"/>
              </w:rPr>
              <w:t>三级指标</w:t>
            </w:r>
          </w:p>
        </w:tc>
        <w:tc>
          <w:tcPr>
            <w:tcW w:w="645" w:type="dxa"/>
            <w:noWrap w:val="0"/>
            <w:tcMar>
              <w:top w:w="10" w:type="dxa"/>
              <w:left w:w="10" w:type="dxa"/>
              <w:bottom w:w="0" w:type="dxa"/>
              <w:right w:w="10" w:type="dxa"/>
            </w:tcMar>
            <w:vAlign w:val="center"/>
          </w:tcPr>
          <w:p w14:paraId="555B8DF7">
            <w:pPr>
              <w:jc w:val="center"/>
              <w:rPr>
                <w:rFonts w:hint="eastAsia" w:ascii="仿宋_GB2312"/>
                <w:b/>
                <w:bCs/>
                <w:sz w:val="21"/>
                <w:szCs w:val="21"/>
              </w:rPr>
            </w:pPr>
            <w:r>
              <w:rPr>
                <w:rFonts w:hint="eastAsia" w:ascii="仿宋_GB2312"/>
                <w:b/>
                <w:bCs/>
                <w:sz w:val="21"/>
                <w:szCs w:val="21"/>
              </w:rPr>
              <w:t>分值</w:t>
            </w:r>
          </w:p>
        </w:tc>
        <w:tc>
          <w:tcPr>
            <w:tcW w:w="2084" w:type="dxa"/>
            <w:noWrap w:val="0"/>
            <w:tcMar>
              <w:top w:w="10" w:type="dxa"/>
              <w:left w:w="10" w:type="dxa"/>
              <w:bottom w:w="0" w:type="dxa"/>
              <w:right w:w="10" w:type="dxa"/>
            </w:tcMar>
            <w:vAlign w:val="center"/>
          </w:tcPr>
          <w:p w14:paraId="4AF84F63">
            <w:pPr>
              <w:jc w:val="center"/>
              <w:rPr>
                <w:rFonts w:hint="eastAsia" w:ascii="仿宋_GB2312"/>
                <w:b/>
                <w:bCs/>
                <w:sz w:val="21"/>
                <w:szCs w:val="21"/>
              </w:rPr>
            </w:pPr>
            <w:r>
              <w:rPr>
                <w:rFonts w:hint="eastAsia" w:ascii="仿宋_GB2312"/>
                <w:b/>
                <w:bCs/>
                <w:sz w:val="21"/>
                <w:szCs w:val="21"/>
              </w:rPr>
              <w:t>指标解释</w:t>
            </w:r>
          </w:p>
        </w:tc>
        <w:tc>
          <w:tcPr>
            <w:tcW w:w="2951" w:type="dxa"/>
            <w:noWrap w:val="0"/>
            <w:tcMar>
              <w:top w:w="10" w:type="dxa"/>
              <w:left w:w="10" w:type="dxa"/>
              <w:bottom w:w="0" w:type="dxa"/>
              <w:right w:w="10" w:type="dxa"/>
            </w:tcMar>
            <w:vAlign w:val="center"/>
          </w:tcPr>
          <w:p w14:paraId="1B63428C">
            <w:pPr>
              <w:jc w:val="center"/>
              <w:rPr>
                <w:rFonts w:hint="eastAsia" w:ascii="仿宋_GB2312"/>
                <w:b/>
                <w:bCs/>
                <w:sz w:val="21"/>
                <w:szCs w:val="21"/>
              </w:rPr>
            </w:pPr>
            <w:r>
              <w:rPr>
                <w:rFonts w:hint="eastAsia" w:ascii="仿宋_GB2312"/>
                <w:b/>
                <w:bCs/>
                <w:sz w:val="21"/>
                <w:szCs w:val="21"/>
              </w:rPr>
              <w:t>指标说明</w:t>
            </w:r>
          </w:p>
        </w:tc>
        <w:tc>
          <w:tcPr>
            <w:tcW w:w="633" w:type="dxa"/>
            <w:noWrap w:val="0"/>
            <w:tcMar>
              <w:top w:w="10" w:type="dxa"/>
              <w:left w:w="10" w:type="dxa"/>
              <w:bottom w:w="0" w:type="dxa"/>
              <w:right w:w="10" w:type="dxa"/>
            </w:tcMar>
            <w:vAlign w:val="center"/>
          </w:tcPr>
          <w:p w14:paraId="2DC39C00">
            <w:pPr>
              <w:jc w:val="center"/>
              <w:rPr>
                <w:rFonts w:hint="eastAsia" w:ascii="仿宋_GB2312"/>
                <w:b/>
                <w:bCs/>
                <w:sz w:val="21"/>
                <w:szCs w:val="21"/>
              </w:rPr>
            </w:pPr>
            <w:r>
              <w:rPr>
                <w:rFonts w:hint="eastAsia" w:ascii="仿宋_GB2312"/>
                <w:b/>
                <w:bCs/>
                <w:sz w:val="21"/>
                <w:szCs w:val="21"/>
              </w:rPr>
              <w:t>得分</w:t>
            </w:r>
          </w:p>
        </w:tc>
      </w:tr>
      <w:tr w14:paraId="75E3E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801" w:type="dxa"/>
            <w:vMerge w:val="restart"/>
            <w:noWrap/>
            <w:tcMar>
              <w:top w:w="10" w:type="dxa"/>
              <w:left w:w="10" w:type="dxa"/>
              <w:bottom w:w="0" w:type="dxa"/>
              <w:right w:w="10" w:type="dxa"/>
            </w:tcMar>
            <w:textDirection w:val="tbRlV"/>
            <w:vAlign w:val="center"/>
          </w:tcPr>
          <w:p w14:paraId="5FE9F33C">
            <w:pPr>
              <w:jc w:val="center"/>
              <w:rPr>
                <w:rFonts w:hint="eastAsia" w:ascii="仿宋_GB2312"/>
                <w:sz w:val="21"/>
                <w:szCs w:val="21"/>
              </w:rPr>
            </w:pPr>
            <w:r>
              <w:rPr>
                <w:rFonts w:hint="eastAsia" w:ascii="仿宋_GB2312"/>
                <w:sz w:val="21"/>
                <w:szCs w:val="21"/>
              </w:rPr>
              <w:t>决  策</w:t>
            </w:r>
          </w:p>
        </w:tc>
        <w:tc>
          <w:tcPr>
            <w:tcW w:w="749" w:type="dxa"/>
            <w:vMerge w:val="restart"/>
            <w:noWrap w:val="0"/>
            <w:tcMar>
              <w:top w:w="10" w:type="dxa"/>
              <w:left w:w="10" w:type="dxa"/>
              <w:bottom w:w="0" w:type="dxa"/>
              <w:right w:w="10" w:type="dxa"/>
            </w:tcMar>
            <w:vAlign w:val="center"/>
          </w:tcPr>
          <w:p w14:paraId="7A8A48E5">
            <w:pPr>
              <w:jc w:val="center"/>
              <w:rPr>
                <w:rFonts w:hint="eastAsia" w:ascii="仿宋_GB2312"/>
                <w:sz w:val="21"/>
                <w:szCs w:val="21"/>
              </w:rPr>
            </w:pPr>
            <w:r>
              <w:rPr>
                <w:rFonts w:hint="eastAsia" w:ascii="仿宋_GB2312"/>
                <w:sz w:val="21"/>
                <w:szCs w:val="21"/>
              </w:rPr>
              <w:t>预算支出决策</w:t>
            </w:r>
          </w:p>
          <w:p w14:paraId="3C59C207">
            <w:pPr>
              <w:jc w:val="center"/>
              <w:rPr>
                <w:rFonts w:hint="eastAsia" w:ascii="仿宋_GB2312"/>
                <w:sz w:val="21"/>
                <w:szCs w:val="21"/>
              </w:rPr>
            </w:pPr>
            <w:r>
              <w:rPr>
                <w:rFonts w:hint="eastAsia" w:ascii="仿宋_GB2312"/>
                <w:sz w:val="21"/>
                <w:szCs w:val="21"/>
              </w:rPr>
              <w:t>（项目立项）</w:t>
            </w:r>
          </w:p>
        </w:tc>
        <w:tc>
          <w:tcPr>
            <w:tcW w:w="999" w:type="dxa"/>
            <w:noWrap w:val="0"/>
            <w:tcMar>
              <w:top w:w="10" w:type="dxa"/>
              <w:left w:w="10" w:type="dxa"/>
              <w:bottom w:w="0" w:type="dxa"/>
              <w:right w:w="10" w:type="dxa"/>
            </w:tcMar>
            <w:vAlign w:val="center"/>
          </w:tcPr>
          <w:p w14:paraId="4CC53633">
            <w:pPr>
              <w:spacing w:line="260" w:lineRule="exact"/>
              <w:ind w:left="160" w:leftChars="50" w:right="160" w:rightChars="50"/>
              <w:jc w:val="center"/>
              <w:rPr>
                <w:rFonts w:hint="eastAsia" w:ascii="仿宋_GB2312"/>
                <w:sz w:val="21"/>
                <w:szCs w:val="21"/>
              </w:rPr>
            </w:pPr>
            <w:r>
              <w:rPr>
                <w:rFonts w:hint="eastAsia" w:ascii="仿宋_GB2312"/>
                <w:sz w:val="21"/>
                <w:szCs w:val="21"/>
              </w:rPr>
              <w:t>预算支出决策（项目立项）依据</w:t>
            </w:r>
          </w:p>
          <w:p w14:paraId="271C3DA9">
            <w:pPr>
              <w:spacing w:line="260" w:lineRule="exact"/>
              <w:ind w:left="160" w:leftChars="50" w:right="160" w:rightChars="50"/>
              <w:jc w:val="center"/>
              <w:rPr>
                <w:rFonts w:hint="eastAsia" w:ascii="仿宋_GB2312"/>
                <w:sz w:val="21"/>
                <w:szCs w:val="21"/>
              </w:rPr>
            </w:pPr>
            <w:r>
              <w:rPr>
                <w:rFonts w:hint="eastAsia" w:ascii="仿宋_GB2312"/>
                <w:sz w:val="21"/>
                <w:szCs w:val="21"/>
              </w:rPr>
              <w:t>充分性</w:t>
            </w:r>
          </w:p>
        </w:tc>
        <w:tc>
          <w:tcPr>
            <w:tcW w:w="645" w:type="dxa"/>
            <w:noWrap w:val="0"/>
            <w:tcMar>
              <w:top w:w="10" w:type="dxa"/>
              <w:left w:w="10" w:type="dxa"/>
              <w:bottom w:w="0" w:type="dxa"/>
              <w:right w:w="10" w:type="dxa"/>
            </w:tcMar>
            <w:vAlign w:val="center"/>
          </w:tcPr>
          <w:p w14:paraId="702B49E7">
            <w:pPr>
              <w:spacing w:line="260" w:lineRule="exact"/>
              <w:ind w:left="160" w:leftChars="50" w:right="160" w:rightChars="50"/>
              <w:rPr>
                <w:rFonts w:hint="eastAsia" w:ascii="仿宋_GB2312"/>
                <w:sz w:val="21"/>
                <w:szCs w:val="21"/>
              </w:rPr>
            </w:pPr>
            <w:r>
              <w:rPr>
                <w:rFonts w:hint="eastAsia" w:ascii="仿宋_GB2312"/>
                <w:sz w:val="21"/>
                <w:szCs w:val="21"/>
              </w:rPr>
              <w:t>2</w:t>
            </w:r>
          </w:p>
        </w:tc>
        <w:tc>
          <w:tcPr>
            <w:tcW w:w="2084" w:type="dxa"/>
            <w:noWrap w:val="0"/>
            <w:tcMar>
              <w:top w:w="10" w:type="dxa"/>
              <w:left w:w="10" w:type="dxa"/>
              <w:bottom w:w="0" w:type="dxa"/>
              <w:right w:w="10" w:type="dxa"/>
            </w:tcMar>
            <w:vAlign w:val="center"/>
          </w:tcPr>
          <w:p w14:paraId="57F83622">
            <w:pPr>
              <w:spacing w:line="260" w:lineRule="exact"/>
              <w:ind w:left="160" w:leftChars="50" w:right="160" w:rightChars="50"/>
              <w:rPr>
                <w:rFonts w:hint="eastAsia" w:ascii="仿宋_GB2312"/>
                <w:sz w:val="21"/>
                <w:szCs w:val="21"/>
              </w:rPr>
            </w:pPr>
            <w:r>
              <w:rPr>
                <w:rFonts w:hint="eastAsia" w:ascii="仿宋_GB2312"/>
                <w:sz w:val="21"/>
                <w:szCs w:val="21"/>
              </w:rPr>
              <w:t>预算支出决策（项目立项）是否符合法律法规、相关政策、发展规划以及部门职责，用以反映和考核决策（立项）的依据情况。</w:t>
            </w:r>
          </w:p>
        </w:tc>
        <w:tc>
          <w:tcPr>
            <w:tcW w:w="2951" w:type="dxa"/>
            <w:noWrap w:val="0"/>
            <w:tcMar>
              <w:top w:w="10" w:type="dxa"/>
              <w:left w:w="10" w:type="dxa"/>
              <w:bottom w:w="0" w:type="dxa"/>
              <w:right w:w="10" w:type="dxa"/>
            </w:tcMar>
            <w:vAlign w:val="center"/>
          </w:tcPr>
          <w:p w14:paraId="47714182">
            <w:pPr>
              <w:spacing w:line="260" w:lineRule="exact"/>
              <w:ind w:left="160" w:leftChars="50" w:right="160" w:rightChars="50"/>
              <w:rPr>
                <w:rFonts w:hint="eastAsia" w:ascii="仿宋_GB2312"/>
                <w:sz w:val="21"/>
                <w:szCs w:val="21"/>
              </w:rPr>
            </w:pPr>
            <w:r>
              <w:rPr>
                <w:rFonts w:hint="eastAsia" w:ascii="仿宋_GB2312"/>
                <w:sz w:val="21"/>
                <w:szCs w:val="21"/>
              </w:rPr>
              <w:t>评价要点：</w:t>
            </w:r>
            <w:r>
              <w:rPr>
                <w:rFonts w:hint="eastAsia" w:ascii="仿宋_GB2312"/>
                <w:sz w:val="21"/>
                <w:szCs w:val="21"/>
              </w:rPr>
              <w:br w:type="textWrapping"/>
            </w:r>
            <w:r>
              <w:rPr>
                <w:rFonts w:hint="eastAsia" w:ascii="仿宋_GB2312" w:hAnsi="宋体" w:cs="宋体"/>
                <w:sz w:val="21"/>
                <w:szCs w:val="21"/>
              </w:rPr>
              <w:t>①</w:t>
            </w:r>
            <w:r>
              <w:rPr>
                <w:rFonts w:hint="eastAsia" w:ascii="仿宋_GB2312"/>
                <w:sz w:val="21"/>
                <w:szCs w:val="21"/>
              </w:rPr>
              <w:t>决策（立项）是否符合国家相关法律法规、国民经济发展规划和相关政策；</w:t>
            </w:r>
            <w:r>
              <w:rPr>
                <w:rFonts w:hint="eastAsia" w:ascii="仿宋_GB2312"/>
                <w:sz w:val="21"/>
                <w:szCs w:val="21"/>
              </w:rPr>
              <w:br w:type="textWrapping"/>
            </w:r>
            <w:r>
              <w:rPr>
                <w:rFonts w:hint="eastAsia" w:ascii="仿宋_GB2312" w:hAnsi="宋体" w:cs="宋体"/>
                <w:sz w:val="21"/>
                <w:szCs w:val="21"/>
              </w:rPr>
              <w:t>②</w:t>
            </w:r>
            <w:r>
              <w:rPr>
                <w:rFonts w:hint="eastAsia" w:ascii="仿宋_GB2312"/>
                <w:sz w:val="21"/>
                <w:szCs w:val="21"/>
              </w:rPr>
              <w:t>决策（立项）是否符合行业发展规划和政策要求；</w:t>
            </w:r>
            <w:r>
              <w:rPr>
                <w:rFonts w:hint="eastAsia" w:ascii="仿宋_GB2312"/>
                <w:sz w:val="21"/>
                <w:szCs w:val="21"/>
              </w:rPr>
              <w:br w:type="textWrapping"/>
            </w:r>
            <w:r>
              <w:rPr>
                <w:rFonts w:hint="eastAsia" w:ascii="仿宋_GB2312" w:hAnsi="宋体" w:cs="宋体"/>
                <w:sz w:val="21"/>
                <w:szCs w:val="21"/>
              </w:rPr>
              <w:t>③</w:t>
            </w:r>
            <w:r>
              <w:rPr>
                <w:rFonts w:hint="eastAsia" w:ascii="仿宋_GB2312"/>
                <w:sz w:val="21"/>
                <w:szCs w:val="21"/>
              </w:rPr>
              <w:t>决策（立项）是否与部门职责范围相符，属于部门履职所需；</w:t>
            </w:r>
            <w:r>
              <w:rPr>
                <w:rFonts w:hint="eastAsia" w:ascii="仿宋_GB2312"/>
                <w:sz w:val="21"/>
                <w:szCs w:val="21"/>
              </w:rPr>
              <w:br w:type="textWrapping"/>
            </w:r>
            <w:r>
              <w:rPr>
                <w:rFonts w:hint="eastAsia" w:ascii="仿宋_GB2312" w:hAnsi="宋体" w:cs="宋体"/>
                <w:sz w:val="21"/>
                <w:szCs w:val="21"/>
              </w:rPr>
              <w:t>④</w:t>
            </w:r>
            <w:r>
              <w:rPr>
                <w:rFonts w:hint="eastAsia" w:ascii="仿宋_GB2312"/>
                <w:sz w:val="21"/>
                <w:szCs w:val="21"/>
              </w:rPr>
              <w:t>预算支出是否属于公共财政支持范围，是否符合中央、地方事权支出责任划分原则；</w:t>
            </w:r>
          </w:p>
          <w:p w14:paraId="0CE39D54">
            <w:pPr>
              <w:spacing w:line="260" w:lineRule="exact"/>
              <w:ind w:left="160" w:leftChars="50" w:right="160" w:rightChars="50"/>
              <w:rPr>
                <w:rFonts w:hint="eastAsia" w:ascii="仿宋_GB2312"/>
                <w:sz w:val="21"/>
                <w:szCs w:val="21"/>
              </w:rPr>
            </w:pPr>
            <w:r>
              <w:rPr>
                <w:rFonts w:hint="eastAsia" w:ascii="仿宋_GB2312" w:hAnsi="宋体" w:cs="宋体"/>
                <w:sz w:val="21"/>
                <w:szCs w:val="21"/>
              </w:rPr>
              <w:t>⑤</w:t>
            </w:r>
            <w:r>
              <w:rPr>
                <w:rFonts w:hint="eastAsia" w:ascii="仿宋_GB2312"/>
                <w:sz w:val="21"/>
                <w:szCs w:val="21"/>
              </w:rPr>
              <w:t>预算支出是否与相关部门同类预算支出或部门内部相关预算支出重复。</w:t>
            </w:r>
          </w:p>
        </w:tc>
        <w:tc>
          <w:tcPr>
            <w:tcW w:w="633" w:type="dxa"/>
            <w:noWrap w:val="0"/>
            <w:tcMar>
              <w:top w:w="10" w:type="dxa"/>
              <w:left w:w="10" w:type="dxa"/>
              <w:bottom w:w="0" w:type="dxa"/>
              <w:right w:w="10" w:type="dxa"/>
            </w:tcMar>
            <w:vAlign w:val="center"/>
          </w:tcPr>
          <w:p w14:paraId="07355060">
            <w:pPr>
              <w:spacing w:line="260" w:lineRule="exact"/>
              <w:ind w:right="160" w:rightChars="50"/>
              <w:rPr>
                <w:rFonts w:hint="default" w:ascii="仿宋_GB2312" w:hAnsi="宋体" w:eastAsia="仿宋_GB2312" w:cs="宋体"/>
                <w:sz w:val="21"/>
                <w:szCs w:val="21"/>
                <w:lang w:val="en-US" w:eastAsia="zh-CN"/>
              </w:rPr>
            </w:pPr>
            <w:r>
              <w:rPr>
                <w:rFonts w:hint="eastAsia" w:ascii="仿宋_GB2312" w:hAnsi="宋体" w:cs="宋体"/>
                <w:sz w:val="21"/>
                <w:szCs w:val="21"/>
                <w:lang w:val="en-US" w:eastAsia="zh-CN"/>
              </w:rPr>
              <w:t xml:space="preserve">  2</w:t>
            </w:r>
          </w:p>
        </w:tc>
      </w:tr>
      <w:tr w14:paraId="73E32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801" w:type="dxa"/>
            <w:vMerge w:val="continue"/>
            <w:noWrap/>
            <w:tcMar>
              <w:top w:w="10" w:type="dxa"/>
              <w:left w:w="10" w:type="dxa"/>
              <w:bottom w:w="0" w:type="dxa"/>
              <w:right w:w="10" w:type="dxa"/>
            </w:tcMar>
            <w:textDirection w:val="tbRlV"/>
            <w:vAlign w:val="center"/>
          </w:tcPr>
          <w:p w14:paraId="4F0F4990">
            <w:pPr>
              <w:jc w:val="center"/>
              <w:rPr>
                <w:rFonts w:hint="eastAsia" w:ascii="仿宋_GB2312"/>
                <w:sz w:val="21"/>
                <w:szCs w:val="21"/>
              </w:rPr>
            </w:pPr>
          </w:p>
        </w:tc>
        <w:tc>
          <w:tcPr>
            <w:tcW w:w="749" w:type="dxa"/>
            <w:vMerge w:val="continue"/>
            <w:noWrap w:val="0"/>
            <w:tcMar>
              <w:top w:w="10" w:type="dxa"/>
              <w:left w:w="10" w:type="dxa"/>
              <w:bottom w:w="0" w:type="dxa"/>
              <w:right w:w="10" w:type="dxa"/>
            </w:tcMar>
            <w:vAlign w:val="center"/>
          </w:tcPr>
          <w:p w14:paraId="5E0A94BF">
            <w:pPr>
              <w:jc w:val="center"/>
              <w:rPr>
                <w:rFonts w:hint="eastAsia" w:ascii="仿宋_GB2312"/>
                <w:sz w:val="21"/>
                <w:szCs w:val="21"/>
              </w:rPr>
            </w:pPr>
          </w:p>
        </w:tc>
        <w:tc>
          <w:tcPr>
            <w:tcW w:w="999" w:type="dxa"/>
            <w:noWrap w:val="0"/>
            <w:tcMar>
              <w:top w:w="10" w:type="dxa"/>
              <w:left w:w="10" w:type="dxa"/>
              <w:bottom w:w="0" w:type="dxa"/>
              <w:right w:w="10" w:type="dxa"/>
            </w:tcMar>
            <w:vAlign w:val="center"/>
          </w:tcPr>
          <w:p w14:paraId="539C4C30">
            <w:pPr>
              <w:spacing w:line="260" w:lineRule="exact"/>
              <w:ind w:left="160" w:leftChars="50" w:right="160" w:rightChars="50"/>
              <w:jc w:val="center"/>
              <w:rPr>
                <w:rFonts w:hint="eastAsia" w:ascii="仿宋_GB2312"/>
                <w:sz w:val="21"/>
                <w:szCs w:val="21"/>
              </w:rPr>
            </w:pPr>
            <w:r>
              <w:rPr>
                <w:rFonts w:hint="eastAsia" w:ascii="仿宋_GB2312"/>
                <w:sz w:val="21"/>
                <w:szCs w:val="21"/>
              </w:rPr>
              <w:t>决策（立项）程序规范性</w:t>
            </w:r>
          </w:p>
        </w:tc>
        <w:tc>
          <w:tcPr>
            <w:tcW w:w="645" w:type="dxa"/>
            <w:noWrap w:val="0"/>
            <w:tcMar>
              <w:top w:w="10" w:type="dxa"/>
              <w:left w:w="10" w:type="dxa"/>
              <w:bottom w:w="0" w:type="dxa"/>
              <w:right w:w="10" w:type="dxa"/>
            </w:tcMar>
            <w:vAlign w:val="center"/>
          </w:tcPr>
          <w:p w14:paraId="29DDA62B">
            <w:pPr>
              <w:spacing w:line="260" w:lineRule="exact"/>
              <w:ind w:left="160" w:leftChars="50" w:right="160" w:rightChars="50"/>
              <w:rPr>
                <w:rFonts w:hint="eastAsia" w:ascii="仿宋_GB2312"/>
                <w:sz w:val="21"/>
                <w:szCs w:val="21"/>
              </w:rPr>
            </w:pPr>
            <w:r>
              <w:rPr>
                <w:rFonts w:hint="eastAsia" w:ascii="仿宋_GB2312"/>
                <w:sz w:val="21"/>
                <w:szCs w:val="21"/>
              </w:rPr>
              <w:t>2</w:t>
            </w:r>
          </w:p>
        </w:tc>
        <w:tc>
          <w:tcPr>
            <w:tcW w:w="2084" w:type="dxa"/>
            <w:noWrap w:val="0"/>
            <w:tcMar>
              <w:top w:w="10" w:type="dxa"/>
              <w:left w:w="10" w:type="dxa"/>
              <w:bottom w:w="0" w:type="dxa"/>
              <w:right w:w="10" w:type="dxa"/>
            </w:tcMar>
            <w:vAlign w:val="center"/>
          </w:tcPr>
          <w:p w14:paraId="5CBA532F">
            <w:pPr>
              <w:spacing w:line="260" w:lineRule="exact"/>
              <w:ind w:left="160" w:leftChars="50" w:right="160" w:rightChars="50"/>
              <w:rPr>
                <w:rFonts w:hint="eastAsia" w:ascii="仿宋_GB2312"/>
                <w:sz w:val="21"/>
                <w:szCs w:val="21"/>
              </w:rPr>
            </w:pPr>
            <w:r>
              <w:rPr>
                <w:rFonts w:hint="eastAsia" w:ascii="仿宋_GB2312"/>
                <w:sz w:val="21"/>
                <w:szCs w:val="21"/>
              </w:rPr>
              <w:t>预算支出申请、设立过程是否符合相关要求，用以反映和考核决策（立项）的规范情况。</w:t>
            </w:r>
          </w:p>
        </w:tc>
        <w:tc>
          <w:tcPr>
            <w:tcW w:w="2951" w:type="dxa"/>
            <w:noWrap w:val="0"/>
            <w:tcMar>
              <w:top w:w="10" w:type="dxa"/>
              <w:left w:w="10" w:type="dxa"/>
              <w:bottom w:w="0" w:type="dxa"/>
              <w:right w:w="10" w:type="dxa"/>
            </w:tcMar>
            <w:vAlign w:val="center"/>
          </w:tcPr>
          <w:p w14:paraId="407F203F">
            <w:pPr>
              <w:spacing w:line="260" w:lineRule="exact"/>
              <w:ind w:left="160" w:leftChars="50" w:right="160" w:rightChars="50"/>
              <w:rPr>
                <w:rFonts w:hint="eastAsia" w:ascii="仿宋_GB2312"/>
                <w:sz w:val="21"/>
                <w:szCs w:val="21"/>
              </w:rPr>
            </w:pPr>
            <w:r>
              <w:rPr>
                <w:rFonts w:hint="eastAsia" w:ascii="仿宋_GB2312"/>
                <w:sz w:val="21"/>
                <w:szCs w:val="21"/>
              </w:rPr>
              <w:t>评价要点：</w:t>
            </w:r>
          </w:p>
          <w:p w14:paraId="69FA43C9">
            <w:pPr>
              <w:spacing w:line="260" w:lineRule="exact"/>
              <w:ind w:left="160" w:leftChars="50"/>
              <w:rPr>
                <w:rFonts w:hint="eastAsia" w:ascii="仿宋_GB2312"/>
                <w:sz w:val="21"/>
                <w:szCs w:val="21"/>
              </w:rPr>
            </w:pPr>
            <w:r>
              <w:rPr>
                <w:rFonts w:hint="eastAsia" w:ascii="仿宋_GB2312" w:hAnsi="宋体" w:cs="宋体"/>
                <w:sz w:val="21"/>
                <w:szCs w:val="21"/>
              </w:rPr>
              <w:t>①</w:t>
            </w:r>
            <w:r>
              <w:rPr>
                <w:rFonts w:hint="eastAsia" w:ascii="仿宋_GB2312"/>
                <w:sz w:val="21"/>
                <w:szCs w:val="21"/>
              </w:rPr>
              <w:t>预算支出是否按照规定的程序申请设立；</w:t>
            </w:r>
          </w:p>
          <w:p w14:paraId="2F6F0C7B">
            <w:pPr>
              <w:spacing w:line="260" w:lineRule="exact"/>
              <w:ind w:left="160" w:leftChars="50"/>
              <w:rPr>
                <w:rFonts w:hint="eastAsia" w:ascii="仿宋_GB2312"/>
                <w:sz w:val="21"/>
                <w:szCs w:val="21"/>
              </w:rPr>
            </w:pPr>
            <w:r>
              <w:rPr>
                <w:rFonts w:hint="eastAsia" w:ascii="仿宋_GB2312" w:hAnsi="宋体" w:cs="宋体"/>
                <w:sz w:val="21"/>
                <w:szCs w:val="21"/>
              </w:rPr>
              <w:t>②</w:t>
            </w:r>
            <w:r>
              <w:rPr>
                <w:rFonts w:hint="eastAsia" w:ascii="仿宋_GB2312"/>
                <w:sz w:val="21"/>
                <w:szCs w:val="21"/>
              </w:rPr>
              <w:t>审批文件、材料是否符合相关要求；</w:t>
            </w:r>
          </w:p>
          <w:p w14:paraId="6B24F6FF">
            <w:pPr>
              <w:spacing w:line="260" w:lineRule="exact"/>
              <w:ind w:left="160" w:leftChars="50"/>
              <w:rPr>
                <w:rFonts w:ascii="仿宋_GB2312"/>
                <w:sz w:val="21"/>
                <w:szCs w:val="21"/>
              </w:rPr>
            </w:pPr>
            <w:r>
              <w:rPr>
                <w:rFonts w:hint="eastAsia" w:ascii="仿宋_GB2312" w:hAnsi="宋体" w:cs="宋体"/>
                <w:sz w:val="21"/>
                <w:szCs w:val="21"/>
              </w:rPr>
              <w:t>③</w:t>
            </w:r>
            <w:r>
              <w:rPr>
                <w:rFonts w:hint="eastAsia" w:ascii="仿宋_GB2312"/>
                <w:sz w:val="21"/>
                <w:szCs w:val="21"/>
              </w:rPr>
              <w:t>事前是否已经过必要的可行性研究、专家论证、风险评估、绩效评估、集体决策。</w:t>
            </w:r>
          </w:p>
        </w:tc>
        <w:tc>
          <w:tcPr>
            <w:tcW w:w="633" w:type="dxa"/>
            <w:noWrap w:val="0"/>
            <w:tcMar>
              <w:top w:w="10" w:type="dxa"/>
              <w:left w:w="10" w:type="dxa"/>
              <w:bottom w:w="0" w:type="dxa"/>
              <w:right w:w="10" w:type="dxa"/>
            </w:tcMar>
            <w:vAlign w:val="center"/>
          </w:tcPr>
          <w:p w14:paraId="520B9E81">
            <w:pPr>
              <w:spacing w:line="260" w:lineRule="exact"/>
              <w:ind w:left="160" w:leftChars="50"/>
              <w:rPr>
                <w:rFonts w:hint="default" w:ascii="仿宋_GB2312" w:hAnsi="宋体" w:eastAsia="仿宋_GB2312" w:cs="宋体"/>
                <w:sz w:val="21"/>
                <w:szCs w:val="21"/>
                <w:lang w:val="en-US" w:eastAsia="zh-CN"/>
              </w:rPr>
            </w:pPr>
            <w:r>
              <w:rPr>
                <w:rFonts w:hint="eastAsia" w:ascii="仿宋_GB2312" w:hAnsi="宋体" w:cs="宋体"/>
                <w:sz w:val="21"/>
                <w:szCs w:val="21"/>
                <w:lang w:val="en-US" w:eastAsia="zh-CN"/>
              </w:rPr>
              <w:t xml:space="preserve"> 2</w:t>
            </w:r>
          </w:p>
        </w:tc>
      </w:tr>
      <w:tr w14:paraId="292DC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73" w:hRule="atLeast"/>
          <w:jc w:val="center"/>
        </w:trPr>
        <w:tc>
          <w:tcPr>
            <w:tcW w:w="801" w:type="dxa"/>
            <w:vMerge w:val="continue"/>
            <w:noWrap w:val="0"/>
            <w:vAlign w:val="center"/>
          </w:tcPr>
          <w:p w14:paraId="0B88F18C">
            <w:pPr>
              <w:rPr>
                <w:rFonts w:hint="eastAsia" w:ascii="仿宋_GB2312"/>
                <w:sz w:val="21"/>
                <w:szCs w:val="21"/>
              </w:rPr>
            </w:pPr>
          </w:p>
        </w:tc>
        <w:tc>
          <w:tcPr>
            <w:tcW w:w="749" w:type="dxa"/>
            <w:vMerge w:val="restart"/>
            <w:noWrap w:val="0"/>
            <w:vAlign w:val="center"/>
          </w:tcPr>
          <w:p w14:paraId="1CDFEED5">
            <w:pPr>
              <w:jc w:val="center"/>
              <w:rPr>
                <w:rFonts w:hint="eastAsia" w:ascii="仿宋_GB2312"/>
                <w:sz w:val="21"/>
                <w:szCs w:val="21"/>
              </w:rPr>
            </w:pPr>
            <w:r>
              <w:rPr>
                <w:rFonts w:hint="eastAsia" w:ascii="仿宋_GB2312"/>
                <w:sz w:val="21"/>
                <w:szCs w:val="21"/>
              </w:rPr>
              <w:t>绩效</w:t>
            </w:r>
          </w:p>
          <w:p w14:paraId="070743C4">
            <w:pPr>
              <w:jc w:val="center"/>
              <w:rPr>
                <w:rFonts w:hint="eastAsia" w:ascii="仿宋_GB2312"/>
                <w:sz w:val="21"/>
                <w:szCs w:val="21"/>
              </w:rPr>
            </w:pPr>
            <w:r>
              <w:rPr>
                <w:rFonts w:hint="eastAsia" w:ascii="仿宋_GB2312"/>
                <w:sz w:val="21"/>
                <w:szCs w:val="21"/>
              </w:rPr>
              <w:t>目标</w:t>
            </w:r>
          </w:p>
        </w:tc>
        <w:tc>
          <w:tcPr>
            <w:tcW w:w="999" w:type="dxa"/>
            <w:noWrap w:val="0"/>
            <w:tcMar>
              <w:top w:w="10" w:type="dxa"/>
              <w:left w:w="10" w:type="dxa"/>
              <w:bottom w:w="0" w:type="dxa"/>
              <w:right w:w="10" w:type="dxa"/>
            </w:tcMar>
            <w:vAlign w:val="center"/>
          </w:tcPr>
          <w:p w14:paraId="394F6CF1">
            <w:pPr>
              <w:spacing w:line="260" w:lineRule="exact"/>
              <w:ind w:left="160" w:leftChars="50" w:right="160" w:rightChars="50"/>
              <w:jc w:val="center"/>
              <w:rPr>
                <w:rFonts w:hint="eastAsia" w:ascii="仿宋_GB2312"/>
                <w:sz w:val="21"/>
                <w:szCs w:val="21"/>
              </w:rPr>
            </w:pPr>
            <w:r>
              <w:rPr>
                <w:rFonts w:hint="eastAsia" w:ascii="仿宋_GB2312"/>
                <w:sz w:val="21"/>
                <w:szCs w:val="21"/>
              </w:rPr>
              <w:t>绩效目标</w:t>
            </w:r>
          </w:p>
          <w:p w14:paraId="0583E80E">
            <w:pPr>
              <w:spacing w:line="260" w:lineRule="exact"/>
              <w:ind w:left="160" w:leftChars="50" w:right="160" w:rightChars="50"/>
              <w:jc w:val="center"/>
              <w:rPr>
                <w:rFonts w:hint="eastAsia" w:ascii="仿宋_GB2312"/>
                <w:sz w:val="21"/>
                <w:szCs w:val="21"/>
              </w:rPr>
            </w:pPr>
            <w:r>
              <w:rPr>
                <w:rFonts w:hint="eastAsia" w:ascii="仿宋_GB2312"/>
                <w:sz w:val="21"/>
                <w:szCs w:val="21"/>
              </w:rPr>
              <w:t>合理性</w:t>
            </w:r>
          </w:p>
        </w:tc>
        <w:tc>
          <w:tcPr>
            <w:tcW w:w="645" w:type="dxa"/>
            <w:noWrap w:val="0"/>
            <w:tcMar>
              <w:top w:w="10" w:type="dxa"/>
              <w:left w:w="10" w:type="dxa"/>
              <w:bottom w:w="0" w:type="dxa"/>
              <w:right w:w="10" w:type="dxa"/>
            </w:tcMar>
            <w:vAlign w:val="center"/>
          </w:tcPr>
          <w:p w14:paraId="010EF71F">
            <w:pPr>
              <w:spacing w:line="260" w:lineRule="exact"/>
              <w:ind w:left="160" w:leftChars="50" w:right="160" w:rightChars="50"/>
              <w:rPr>
                <w:rFonts w:hint="eastAsia" w:ascii="仿宋_GB2312"/>
                <w:sz w:val="21"/>
                <w:szCs w:val="21"/>
              </w:rPr>
            </w:pPr>
            <w:r>
              <w:rPr>
                <w:rFonts w:hint="eastAsia" w:ascii="仿宋_GB2312"/>
                <w:sz w:val="21"/>
                <w:szCs w:val="21"/>
              </w:rPr>
              <w:t>2</w:t>
            </w:r>
          </w:p>
        </w:tc>
        <w:tc>
          <w:tcPr>
            <w:tcW w:w="2084" w:type="dxa"/>
            <w:noWrap w:val="0"/>
            <w:tcMar>
              <w:top w:w="10" w:type="dxa"/>
              <w:left w:w="10" w:type="dxa"/>
              <w:bottom w:w="0" w:type="dxa"/>
              <w:right w:w="10" w:type="dxa"/>
            </w:tcMar>
            <w:vAlign w:val="center"/>
          </w:tcPr>
          <w:p w14:paraId="1BBB91A8">
            <w:pPr>
              <w:spacing w:line="260" w:lineRule="exact"/>
              <w:ind w:left="160" w:leftChars="50" w:right="160" w:rightChars="50"/>
              <w:rPr>
                <w:rFonts w:hint="eastAsia" w:ascii="仿宋_GB2312"/>
                <w:sz w:val="21"/>
                <w:szCs w:val="21"/>
              </w:rPr>
            </w:pPr>
            <w:r>
              <w:rPr>
                <w:rFonts w:hint="eastAsia" w:ascii="仿宋_GB2312"/>
                <w:sz w:val="21"/>
                <w:szCs w:val="21"/>
              </w:rPr>
              <w:t>预算支出所设定的绩效目标是否依据充分，是否符合客观实际，用以反映和考核预算支出绩效目标与预算支出实施的相符情况。</w:t>
            </w:r>
          </w:p>
        </w:tc>
        <w:tc>
          <w:tcPr>
            <w:tcW w:w="2951" w:type="dxa"/>
            <w:noWrap w:val="0"/>
            <w:tcMar>
              <w:top w:w="10" w:type="dxa"/>
              <w:left w:w="10" w:type="dxa"/>
              <w:bottom w:w="0" w:type="dxa"/>
              <w:right w:w="10" w:type="dxa"/>
            </w:tcMar>
            <w:vAlign w:val="center"/>
          </w:tcPr>
          <w:p w14:paraId="5360321E">
            <w:pPr>
              <w:spacing w:line="260" w:lineRule="exact"/>
              <w:ind w:left="160" w:leftChars="50" w:right="160" w:rightChars="50"/>
              <w:rPr>
                <w:rFonts w:hint="eastAsia" w:ascii="仿宋_GB2312"/>
                <w:sz w:val="21"/>
                <w:szCs w:val="21"/>
              </w:rPr>
            </w:pPr>
            <w:r>
              <w:rPr>
                <w:rFonts w:hint="eastAsia" w:ascii="仿宋_GB2312"/>
                <w:sz w:val="21"/>
                <w:szCs w:val="21"/>
              </w:rPr>
              <w:t>评价要点：</w:t>
            </w:r>
          </w:p>
          <w:p w14:paraId="30968500">
            <w:pPr>
              <w:spacing w:line="260" w:lineRule="exact"/>
              <w:ind w:left="160" w:leftChars="50" w:right="160" w:rightChars="50"/>
              <w:rPr>
                <w:rFonts w:hint="eastAsia" w:ascii="仿宋_GB2312"/>
                <w:sz w:val="21"/>
                <w:szCs w:val="21"/>
              </w:rPr>
            </w:pPr>
            <w:r>
              <w:rPr>
                <w:rFonts w:hint="eastAsia" w:ascii="仿宋_GB2312"/>
                <w:sz w:val="21"/>
                <w:szCs w:val="21"/>
              </w:rPr>
              <w:t>（如未设定预算绩效目标，也可考核其他工作任务目标）</w:t>
            </w:r>
          </w:p>
          <w:p w14:paraId="7AAD2BA5">
            <w:pPr>
              <w:spacing w:line="260" w:lineRule="exact"/>
              <w:ind w:left="160" w:leftChars="50" w:right="160" w:rightChars="50"/>
              <w:rPr>
                <w:rFonts w:hint="eastAsia" w:ascii="仿宋_GB2312"/>
                <w:sz w:val="21"/>
                <w:szCs w:val="21"/>
              </w:rPr>
            </w:pPr>
            <w:r>
              <w:rPr>
                <w:rFonts w:hint="eastAsia" w:ascii="仿宋_GB2312" w:hAnsi="宋体" w:cs="宋体"/>
                <w:sz w:val="21"/>
                <w:szCs w:val="21"/>
              </w:rPr>
              <w:t>①</w:t>
            </w:r>
            <w:r>
              <w:rPr>
                <w:rFonts w:hint="eastAsia" w:ascii="仿宋_GB2312"/>
                <w:sz w:val="21"/>
                <w:szCs w:val="21"/>
              </w:rPr>
              <w:t>预算支出是否有绩效目标；</w:t>
            </w:r>
          </w:p>
          <w:p w14:paraId="49B2C234">
            <w:pPr>
              <w:spacing w:line="260" w:lineRule="exact"/>
              <w:ind w:left="160" w:leftChars="50" w:right="160" w:rightChars="50"/>
              <w:rPr>
                <w:rFonts w:hint="eastAsia" w:ascii="仿宋_GB2312"/>
                <w:sz w:val="21"/>
                <w:szCs w:val="21"/>
              </w:rPr>
            </w:pPr>
            <w:r>
              <w:rPr>
                <w:rFonts w:hint="eastAsia" w:ascii="仿宋_GB2312" w:hAnsi="宋体" w:cs="宋体"/>
                <w:sz w:val="21"/>
                <w:szCs w:val="21"/>
              </w:rPr>
              <w:t>②</w:t>
            </w:r>
            <w:r>
              <w:rPr>
                <w:rFonts w:hint="eastAsia" w:ascii="仿宋_GB2312"/>
                <w:sz w:val="21"/>
                <w:szCs w:val="21"/>
              </w:rPr>
              <w:t>预算支出绩效目标与实际工作内容是否具有相关性；</w:t>
            </w:r>
          </w:p>
          <w:p w14:paraId="6F2FC9FB">
            <w:pPr>
              <w:spacing w:line="260" w:lineRule="exact"/>
              <w:ind w:left="160" w:leftChars="50" w:right="160" w:rightChars="50"/>
              <w:rPr>
                <w:rFonts w:hint="eastAsia" w:ascii="仿宋_GB2312"/>
                <w:sz w:val="21"/>
                <w:szCs w:val="21"/>
              </w:rPr>
            </w:pPr>
            <w:r>
              <w:rPr>
                <w:rFonts w:hint="eastAsia" w:ascii="仿宋_GB2312" w:hAnsi="宋体" w:cs="宋体"/>
                <w:sz w:val="21"/>
                <w:szCs w:val="21"/>
              </w:rPr>
              <w:t>③</w:t>
            </w:r>
            <w:r>
              <w:rPr>
                <w:rFonts w:hint="eastAsia" w:ascii="仿宋_GB2312"/>
                <w:sz w:val="21"/>
                <w:szCs w:val="21"/>
              </w:rPr>
              <w:t>预算支出预期产出效益和效果是否符合正常的业绩水平；是否与预算确定的预算支出投资额或资金量相匹配。</w:t>
            </w:r>
          </w:p>
        </w:tc>
        <w:tc>
          <w:tcPr>
            <w:tcW w:w="633" w:type="dxa"/>
            <w:noWrap w:val="0"/>
            <w:tcMar>
              <w:top w:w="10" w:type="dxa"/>
              <w:left w:w="10" w:type="dxa"/>
              <w:bottom w:w="0" w:type="dxa"/>
              <w:right w:w="10" w:type="dxa"/>
            </w:tcMar>
            <w:vAlign w:val="center"/>
          </w:tcPr>
          <w:p w14:paraId="199A1309">
            <w:pPr>
              <w:spacing w:line="260" w:lineRule="exact"/>
              <w:ind w:right="160" w:rightChars="50"/>
              <w:rPr>
                <w:rFonts w:hint="default" w:ascii="仿宋_GB2312" w:hAnsi="宋体" w:eastAsia="仿宋_GB2312" w:cs="宋体"/>
                <w:sz w:val="21"/>
                <w:szCs w:val="21"/>
                <w:lang w:val="en-US" w:eastAsia="zh-CN"/>
              </w:rPr>
            </w:pPr>
            <w:r>
              <w:rPr>
                <w:rFonts w:hint="eastAsia" w:ascii="仿宋_GB2312" w:hAnsi="宋体" w:cs="宋体"/>
                <w:sz w:val="21"/>
                <w:szCs w:val="21"/>
                <w:lang w:val="en-US" w:eastAsia="zh-CN"/>
              </w:rPr>
              <w:t xml:space="preserve">  2</w:t>
            </w:r>
          </w:p>
        </w:tc>
      </w:tr>
      <w:tr w14:paraId="3B652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801" w:type="dxa"/>
            <w:vMerge w:val="continue"/>
            <w:noWrap w:val="0"/>
            <w:vAlign w:val="center"/>
          </w:tcPr>
          <w:p w14:paraId="5F3E6C87">
            <w:pPr>
              <w:rPr>
                <w:rFonts w:hint="eastAsia" w:ascii="仿宋_GB2312"/>
                <w:sz w:val="21"/>
                <w:szCs w:val="21"/>
              </w:rPr>
            </w:pPr>
          </w:p>
        </w:tc>
        <w:tc>
          <w:tcPr>
            <w:tcW w:w="749" w:type="dxa"/>
            <w:vMerge w:val="continue"/>
            <w:noWrap w:val="0"/>
            <w:vAlign w:val="center"/>
          </w:tcPr>
          <w:p w14:paraId="14BFD008">
            <w:pPr>
              <w:jc w:val="center"/>
              <w:rPr>
                <w:rFonts w:hint="eastAsia" w:ascii="仿宋_GB2312"/>
                <w:sz w:val="21"/>
                <w:szCs w:val="21"/>
              </w:rPr>
            </w:pPr>
          </w:p>
        </w:tc>
        <w:tc>
          <w:tcPr>
            <w:tcW w:w="999" w:type="dxa"/>
            <w:noWrap w:val="0"/>
            <w:tcMar>
              <w:top w:w="10" w:type="dxa"/>
              <w:left w:w="10" w:type="dxa"/>
              <w:bottom w:w="0" w:type="dxa"/>
              <w:right w:w="10" w:type="dxa"/>
            </w:tcMar>
            <w:vAlign w:val="center"/>
          </w:tcPr>
          <w:p w14:paraId="3010EA12">
            <w:pPr>
              <w:spacing w:line="260" w:lineRule="exact"/>
              <w:ind w:left="160" w:leftChars="50" w:right="160" w:rightChars="50"/>
              <w:jc w:val="center"/>
              <w:rPr>
                <w:rFonts w:hint="eastAsia" w:ascii="仿宋_GB2312"/>
                <w:sz w:val="21"/>
                <w:szCs w:val="21"/>
              </w:rPr>
            </w:pPr>
            <w:r>
              <w:rPr>
                <w:rFonts w:hint="eastAsia" w:ascii="仿宋_GB2312"/>
                <w:sz w:val="21"/>
                <w:szCs w:val="21"/>
              </w:rPr>
              <w:t>绩效指标</w:t>
            </w:r>
          </w:p>
          <w:p w14:paraId="1B3722B4">
            <w:pPr>
              <w:spacing w:line="260" w:lineRule="exact"/>
              <w:ind w:left="160" w:leftChars="50" w:right="160" w:rightChars="50"/>
              <w:jc w:val="center"/>
              <w:rPr>
                <w:rFonts w:hint="eastAsia" w:ascii="仿宋_GB2312"/>
                <w:sz w:val="21"/>
                <w:szCs w:val="21"/>
              </w:rPr>
            </w:pPr>
            <w:r>
              <w:rPr>
                <w:rFonts w:hint="eastAsia" w:ascii="仿宋_GB2312"/>
                <w:sz w:val="21"/>
                <w:szCs w:val="21"/>
              </w:rPr>
              <w:t>明确性</w:t>
            </w:r>
          </w:p>
        </w:tc>
        <w:tc>
          <w:tcPr>
            <w:tcW w:w="645" w:type="dxa"/>
            <w:noWrap w:val="0"/>
            <w:tcMar>
              <w:top w:w="10" w:type="dxa"/>
              <w:left w:w="10" w:type="dxa"/>
              <w:bottom w:w="0" w:type="dxa"/>
              <w:right w:w="10" w:type="dxa"/>
            </w:tcMar>
            <w:vAlign w:val="center"/>
          </w:tcPr>
          <w:p w14:paraId="368149A0">
            <w:pPr>
              <w:spacing w:line="260" w:lineRule="exact"/>
              <w:ind w:left="160" w:leftChars="50" w:right="160" w:rightChars="50"/>
              <w:rPr>
                <w:rFonts w:hint="eastAsia" w:ascii="仿宋_GB2312"/>
                <w:sz w:val="21"/>
                <w:szCs w:val="21"/>
              </w:rPr>
            </w:pPr>
            <w:r>
              <w:rPr>
                <w:rFonts w:hint="eastAsia" w:ascii="仿宋_GB2312"/>
                <w:sz w:val="21"/>
                <w:szCs w:val="21"/>
              </w:rPr>
              <w:t>4</w:t>
            </w:r>
          </w:p>
        </w:tc>
        <w:tc>
          <w:tcPr>
            <w:tcW w:w="2084" w:type="dxa"/>
            <w:noWrap w:val="0"/>
            <w:tcMar>
              <w:top w:w="10" w:type="dxa"/>
              <w:left w:w="10" w:type="dxa"/>
              <w:bottom w:w="0" w:type="dxa"/>
              <w:right w:w="10" w:type="dxa"/>
            </w:tcMar>
            <w:vAlign w:val="center"/>
          </w:tcPr>
          <w:p w14:paraId="6B73AD3D">
            <w:pPr>
              <w:spacing w:line="260" w:lineRule="exact"/>
              <w:ind w:left="160" w:leftChars="50" w:right="160" w:rightChars="50"/>
              <w:rPr>
                <w:rFonts w:hint="eastAsia" w:ascii="仿宋_GB2312"/>
                <w:sz w:val="21"/>
                <w:szCs w:val="21"/>
              </w:rPr>
            </w:pPr>
            <w:r>
              <w:rPr>
                <w:rFonts w:hint="eastAsia" w:ascii="仿宋_GB2312"/>
                <w:sz w:val="21"/>
                <w:szCs w:val="21"/>
              </w:rPr>
              <w:t>依据绩效目标设定的绩效指标是否清晰、细化、可衡量等，用以反映和考核预算支出绩效目标的明细化情况。</w:t>
            </w:r>
          </w:p>
        </w:tc>
        <w:tc>
          <w:tcPr>
            <w:tcW w:w="2951" w:type="dxa"/>
            <w:noWrap w:val="0"/>
            <w:tcMar>
              <w:top w:w="10" w:type="dxa"/>
              <w:left w:w="10" w:type="dxa"/>
              <w:bottom w:w="0" w:type="dxa"/>
              <w:right w:w="10" w:type="dxa"/>
            </w:tcMar>
            <w:vAlign w:val="center"/>
          </w:tcPr>
          <w:p w14:paraId="5C7E329F">
            <w:pPr>
              <w:spacing w:line="260" w:lineRule="exact"/>
              <w:ind w:left="160" w:leftChars="50" w:right="160" w:rightChars="50"/>
              <w:rPr>
                <w:rFonts w:hint="eastAsia" w:ascii="仿宋_GB2312"/>
                <w:sz w:val="21"/>
                <w:szCs w:val="21"/>
              </w:rPr>
            </w:pPr>
            <w:r>
              <w:rPr>
                <w:rFonts w:hint="eastAsia" w:ascii="仿宋_GB2312"/>
                <w:sz w:val="21"/>
                <w:szCs w:val="21"/>
              </w:rPr>
              <w:t>评价要点：</w:t>
            </w:r>
            <w:r>
              <w:rPr>
                <w:rFonts w:hint="eastAsia" w:ascii="仿宋_GB2312"/>
                <w:sz w:val="21"/>
                <w:szCs w:val="21"/>
              </w:rPr>
              <w:br w:type="textWrapping"/>
            </w:r>
            <w:r>
              <w:rPr>
                <w:rFonts w:hint="eastAsia" w:ascii="仿宋_GB2312" w:hAnsi="宋体" w:cs="宋体"/>
                <w:sz w:val="21"/>
                <w:szCs w:val="21"/>
              </w:rPr>
              <w:t>①</w:t>
            </w:r>
            <w:r>
              <w:rPr>
                <w:rFonts w:hint="eastAsia" w:ascii="仿宋_GB2312"/>
                <w:sz w:val="21"/>
                <w:szCs w:val="21"/>
              </w:rPr>
              <w:t>是否将预算支出绩效目标细化分解为具体的绩效指标；</w:t>
            </w:r>
            <w:r>
              <w:rPr>
                <w:rFonts w:hint="eastAsia" w:ascii="仿宋_GB2312"/>
                <w:sz w:val="21"/>
                <w:szCs w:val="21"/>
              </w:rPr>
              <w:br w:type="textWrapping"/>
            </w:r>
            <w:r>
              <w:rPr>
                <w:rFonts w:hint="eastAsia" w:ascii="仿宋_GB2312" w:hAnsi="宋体" w:cs="宋体"/>
                <w:sz w:val="21"/>
                <w:szCs w:val="21"/>
              </w:rPr>
              <w:t>②</w:t>
            </w:r>
            <w:r>
              <w:rPr>
                <w:rFonts w:hint="eastAsia" w:ascii="仿宋_GB2312"/>
                <w:sz w:val="21"/>
                <w:szCs w:val="21"/>
              </w:rPr>
              <w:t>是否通过清晰、可衡量的指标值予以体现；</w:t>
            </w:r>
            <w:r>
              <w:rPr>
                <w:rFonts w:hint="eastAsia" w:ascii="仿宋_GB2312"/>
                <w:sz w:val="21"/>
                <w:szCs w:val="21"/>
              </w:rPr>
              <w:br w:type="textWrapping"/>
            </w:r>
            <w:r>
              <w:rPr>
                <w:rFonts w:hint="eastAsia" w:ascii="仿宋_GB2312" w:hAnsi="宋体" w:cs="宋体"/>
                <w:sz w:val="21"/>
                <w:szCs w:val="21"/>
              </w:rPr>
              <w:t>③</w:t>
            </w:r>
            <w:r>
              <w:rPr>
                <w:rFonts w:hint="eastAsia" w:ascii="仿宋_GB2312"/>
                <w:sz w:val="21"/>
                <w:szCs w:val="21"/>
              </w:rPr>
              <w:t>是否与预算支出目标任务数或计划数相对应。</w:t>
            </w:r>
          </w:p>
        </w:tc>
        <w:tc>
          <w:tcPr>
            <w:tcW w:w="633" w:type="dxa"/>
            <w:noWrap w:val="0"/>
            <w:tcMar>
              <w:top w:w="10" w:type="dxa"/>
              <w:left w:w="10" w:type="dxa"/>
              <w:bottom w:w="0" w:type="dxa"/>
              <w:right w:w="10" w:type="dxa"/>
            </w:tcMar>
            <w:vAlign w:val="center"/>
          </w:tcPr>
          <w:p w14:paraId="00EB6D39">
            <w:pPr>
              <w:spacing w:line="260" w:lineRule="exact"/>
              <w:ind w:left="160" w:leftChars="50" w:right="160" w:rightChars="50"/>
              <w:rPr>
                <w:rFonts w:hint="default" w:ascii="仿宋_GB2312" w:eastAsia="仿宋_GB2312"/>
                <w:sz w:val="21"/>
                <w:szCs w:val="21"/>
                <w:lang w:val="en-US" w:eastAsia="zh-CN"/>
              </w:rPr>
            </w:pPr>
            <w:r>
              <w:rPr>
                <w:rFonts w:hint="eastAsia" w:ascii="仿宋_GB2312"/>
                <w:sz w:val="21"/>
                <w:szCs w:val="21"/>
                <w:lang w:val="en-US" w:eastAsia="zh-CN"/>
              </w:rPr>
              <w:t xml:space="preserve"> 4</w:t>
            </w:r>
          </w:p>
        </w:tc>
      </w:tr>
      <w:tr w14:paraId="2EB5C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801" w:type="dxa"/>
            <w:vMerge w:val="restart"/>
            <w:noWrap w:val="0"/>
            <w:vAlign w:val="center"/>
          </w:tcPr>
          <w:p w14:paraId="6DB53501">
            <w:pPr>
              <w:spacing w:line="500" w:lineRule="exact"/>
              <w:jc w:val="center"/>
              <w:rPr>
                <w:rFonts w:hint="eastAsia" w:ascii="仿宋_GB2312"/>
                <w:sz w:val="21"/>
                <w:szCs w:val="21"/>
              </w:rPr>
            </w:pPr>
            <w:r>
              <w:rPr>
                <w:rFonts w:hint="eastAsia" w:ascii="仿宋_GB2312"/>
                <w:sz w:val="21"/>
                <w:szCs w:val="21"/>
              </w:rPr>
              <w:t>决</w:t>
            </w:r>
          </w:p>
          <w:p w14:paraId="54BA998C">
            <w:pPr>
              <w:spacing w:line="500" w:lineRule="exact"/>
              <w:jc w:val="center"/>
              <w:rPr>
                <w:rFonts w:hint="eastAsia" w:ascii="仿宋_GB2312"/>
                <w:sz w:val="21"/>
                <w:szCs w:val="21"/>
              </w:rPr>
            </w:pPr>
            <w:r>
              <w:rPr>
                <w:rFonts w:hint="eastAsia" w:ascii="仿宋_GB2312"/>
                <w:sz w:val="21"/>
                <w:szCs w:val="21"/>
              </w:rPr>
              <w:t>策</w:t>
            </w:r>
          </w:p>
        </w:tc>
        <w:tc>
          <w:tcPr>
            <w:tcW w:w="749" w:type="dxa"/>
            <w:vMerge w:val="restart"/>
            <w:noWrap w:val="0"/>
            <w:vAlign w:val="center"/>
          </w:tcPr>
          <w:p w14:paraId="7D0825B6">
            <w:pPr>
              <w:jc w:val="center"/>
              <w:rPr>
                <w:rFonts w:hint="eastAsia" w:ascii="仿宋_GB2312"/>
                <w:sz w:val="21"/>
                <w:szCs w:val="21"/>
              </w:rPr>
            </w:pPr>
            <w:r>
              <w:rPr>
                <w:rFonts w:hint="eastAsia" w:ascii="仿宋_GB2312"/>
                <w:sz w:val="21"/>
                <w:szCs w:val="21"/>
              </w:rPr>
              <w:t>资金</w:t>
            </w:r>
          </w:p>
          <w:p w14:paraId="0D991B91">
            <w:pPr>
              <w:jc w:val="center"/>
              <w:rPr>
                <w:rFonts w:hint="eastAsia" w:ascii="仿宋_GB2312"/>
                <w:sz w:val="21"/>
                <w:szCs w:val="21"/>
              </w:rPr>
            </w:pPr>
            <w:r>
              <w:rPr>
                <w:rFonts w:hint="eastAsia" w:ascii="仿宋_GB2312"/>
                <w:sz w:val="21"/>
                <w:szCs w:val="21"/>
              </w:rPr>
              <w:t>投入</w:t>
            </w:r>
          </w:p>
        </w:tc>
        <w:tc>
          <w:tcPr>
            <w:tcW w:w="999" w:type="dxa"/>
            <w:noWrap w:val="0"/>
            <w:tcMar>
              <w:top w:w="10" w:type="dxa"/>
              <w:left w:w="10" w:type="dxa"/>
              <w:bottom w:w="0" w:type="dxa"/>
              <w:right w:w="10" w:type="dxa"/>
            </w:tcMar>
            <w:vAlign w:val="center"/>
          </w:tcPr>
          <w:p w14:paraId="4F8DB315">
            <w:pPr>
              <w:spacing w:line="260" w:lineRule="exact"/>
              <w:ind w:left="160" w:leftChars="50" w:right="160" w:rightChars="50"/>
              <w:jc w:val="center"/>
              <w:rPr>
                <w:rFonts w:hint="eastAsia" w:ascii="仿宋_GB2312"/>
                <w:sz w:val="21"/>
                <w:szCs w:val="21"/>
              </w:rPr>
            </w:pPr>
            <w:r>
              <w:rPr>
                <w:rFonts w:hint="eastAsia" w:ascii="仿宋_GB2312"/>
                <w:sz w:val="21"/>
                <w:szCs w:val="21"/>
              </w:rPr>
              <w:t>预算</w:t>
            </w:r>
          </w:p>
          <w:p w14:paraId="5BEF4138">
            <w:pPr>
              <w:spacing w:line="260" w:lineRule="exact"/>
              <w:ind w:left="160" w:leftChars="50" w:right="160" w:rightChars="50"/>
              <w:jc w:val="center"/>
              <w:rPr>
                <w:rFonts w:hint="eastAsia" w:ascii="仿宋_GB2312"/>
                <w:sz w:val="21"/>
                <w:szCs w:val="21"/>
              </w:rPr>
            </w:pPr>
            <w:r>
              <w:rPr>
                <w:rFonts w:hint="eastAsia" w:ascii="仿宋_GB2312"/>
                <w:sz w:val="21"/>
                <w:szCs w:val="21"/>
              </w:rPr>
              <w:t>编制</w:t>
            </w:r>
          </w:p>
          <w:p w14:paraId="025AA0CA">
            <w:pPr>
              <w:spacing w:line="260" w:lineRule="exact"/>
              <w:ind w:left="160" w:leftChars="50" w:right="160" w:rightChars="50"/>
              <w:jc w:val="center"/>
              <w:rPr>
                <w:rFonts w:hint="eastAsia" w:ascii="仿宋_GB2312"/>
                <w:sz w:val="21"/>
                <w:szCs w:val="21"/>
              </w:rPr>
            </w:pPr>
            <w:r>
              <w:rPr>
                <w:rFonts w:hint="eastAsia" w:ascii="仿宋_GB2312"/>
                <w:sz w:val="21"/>
                <w:szCs w:val="21"/>
              </w:rPr>
              <w:t>科学性</w:t>
            </w:r>
          </w:p>
        </w:tc>
        <w:tc>
          <w:tcPr>
            <w:tcW w:w="645" w:type="dxa"/>
            <w:noWrap w:val="0"/>
            <w:tcMar>
              <w:top w:w="10" w:type="dxa"/>
              <w:left w:w="10" w:type="dxa"/>
              <w:bottom w:w="0" w:type="dxa"/>
              <w:right w:w="10" w:type="dxa"/>
            </w:tcMar>
            <w:vAlign w:val="center"/>
          </w:tcPr>
          <w:p w14:paraId="3A59F923">
            <w:pPr>
              <w:spacing w:line="260" w:lineRule="exact"/>
              <w:ind w:left="160" w:leftChars="50" w:right="160" w:rightChars="50"/>
              <w:rPr>
                <w:rFonts w:hint="eastAsia" w:ascii="仿宋_GB2312"/>
                <w:sz w:val="21"/>
                <w:szCs w:val="21"/>
              </w:rPr>
            </w:pPr>
            <w:r>
              <w:rPr>
                <w:rFonts w:hint="eastAsia" w:ascii="仿宋_GB2312"/>
                <w:sz w:val="21"/>
                <w:szCs w:val="21"/>
              </w:rPr>
              <w:t>3</w:t>
            </w:r>
          </w:p>
        </w:tc>
        <w:tc>
          <w:tcPr>
            <w:tcW w:w="2084" w:type="dxa"/>
            <w:noWrap w:val="0"/>
            <w:tcMar>
              <w:top w:w="10" w:type="dxa"/>
              <w:left w:w="10" w:type="dxa"/>
              <w:bottom w:w="0" w:type="dxa"/>
              <w:right w:w="10" w:type="dxa"/>
            </w:tcMar>
            <w:vAlign w:val="center"/>
          </w:tcPr>
          <w:p w14:paraId="7A621A2D">
            <w:pPr>
              <w:spacing w:line="260" w:lineRule="exact"/>
              <w:ind w:left="160" w:leftChars="50" w:right="160" w:rightChars="50"/>
              <w:rPr>
                <w:rFonts w:hint="eastAsia" w:ascii="仿宋_GB2312"/>
                <w:sz w:val="21"/>
                <w:szCs w:val="21"/>
              </w:rPr>
            </w:pPr>
            <w:r>
              <w:rPr>
                <w:rFonts w:hint="eastAsia" w:ascii="仿宋_GB2312"/>
                <w:sz w:val="21"/>
                <w:szCs w:val="21"/>
              </w:rPr>
              <w:t>预算编制是否经过科学论证、有明确标准，资金额度与年度目标是否相适应，用以反映和考核预算支出预算编制的科学性、合理性情况。</w:t>
            </w:r>
          </w:p>
        </w:tc>
        <w:tc>
          <w:tcPr>
            <w:tcW w:w="2951" w:type="dxa"/>
            <w:noWrap w:val="0"/>
            <w:tcMar>
              <w:top w:w="10" w:type="dxa"/>
              <w:left w:w="10" w:type="dxa"/>
              <w:bottom w:w="0" w:type="dxa"/>
              <w:right w:w="10" w:type="dxa"/>
            </w:tcMar>
            <w:vAlign w:val="center"/>
          </w:tcPr>
          <w:p w14:paraId="174D05DB">
            <w:pPr>
              <w:spacing w:line="260" w:lineRule="exact"/>
              <w:ind w:left="160" w:leftChars="50" w:right="160" w:rightChars="50"/>
              <w:rPr>
                <w:rFonts w:hint="eastAsia" w:ascii="仿宋_GB2312"/>
                <w:sz w:val="21"/>
                <w:szCs w:val="21"/>
              </w:rPr>
            </w:pPr>
            <w:r>
              <w:rPr>
                <w:rFonts w:hint="eastAsia" w:ascii="仿宋_GB2312"/>
                <w:sz w:val="21"/>
                <w:szCs w:val="21"/>
              </w:rPr>
              <w:t>评价要点：</w:t>
            </w:r>
          </w:p>
          <w:p w14:paraId="21B57A32">
            <w:pPr>
              <w:spacing w:line="260" w:lineRule="exact"/>
              <w:ind w:left="160" w:leftChars="50" w:right="160" w:rightChars="50"/>
              <w:rPr>
                <w:rFonts w:hint="eastAsia" w:ascii="仿宋_GB2312"/>
                <w:sz w:val="21"/>
                <w:szCs w:val="21"/>
              </w:rPr>
            </w:pPr>
            <w:r>
              <w:rPr>
                <w:rFonts w:hint="eastAsia" w:ascii="仿宋_GB2312" w:hAnsi="宋体" w:cs="宋体"/>
                <w:sz w:val="21"/>
                <w:szCs w:val="21"/>
              </w:rPr>
              <w:t>①</w:t>
            </w:r>
            <w:r>
              <w:rPr>
                <w:rFonts w:hint="eastAsia" w:ascii="仿宋_GB2312"/>
                <w:sz w:val="21"/>
                <w:szCs w:val="21"/>
              </w:rPr>
              <w:t>预算编制是否经过科学论证；</w:t>
            </w:r>
          </w:p>
          <w:p w14:paraId="7522F619">
            <w:pPr>
              <w:spacing w:line="260" w:lineRule="exact"/>
              <w:ind w:left="160" w:leftChars="50" w:right="160" w:rightChars="50"/>
              <w:rPr>
                <w:rFonts w:hint="eastAsia" w:ascii="仿宋_GB2312"/>
                <w:sz w:val="21"/>
                <w:szCs w:val="21"/>
              </w:rPr>
            </w:pPr>
            <w:r>
              <w:rPr>
                <w:rFonts w:hint="eastAsia" w:ascii="仿宋_GB2312" w:hAnsi="宋体" w:cs="宋体"/>
                <w:sz w:val="21"/>
                <w:szCs w:val="21"/>
              </w:rPr>
              <w:t>②</w:t>
            </w:r>
            <w:r>
              <w:rPr>
                <w:rFonts w:hint="eastAsia" w:ascii="仿宋_GB2312"/>
                <w:sz w:val="21"/>
                <w:szCs w:val="21"/>
              </w:rPr>
              <w:t>预算内容与支出内容是否匹配；</w:t>
            </w:r>
          </w:p>
          <w:p w14:paraId="3F1DF5E9">
            <w:pPr>
              <w:spacing w:line="260" w:lineRule="exact"/>
              <w:ind w:left="160" w:leftChars="50" w:right="160" w:rightChars="50"/>
              <w:rPr>
                <w:rFonts w:hint="eastAsia" w:ascii="仿宋_GB2312"/>
                <w:sz w:val="21"/>
                <w:szCs w:val="21"/>
              </w:rPr>
            </w:pPr>
            <w:r>
              <w:rPr>
                <w:rFonts w:hint="eastAsia" w:ascii="仿宋_GB2312" w:hAnsi="宋体" w:cs="宋体"/>
                <w:sz w:val="21"/>
                <w:szCs w:val="21"/>
              </w:rPr>
              <w:t>③</w:t>
            </w:r>
            <w:r>
              <w:rPr>
                <w:rFonts w:hint="eastAsia" w:ascii="仿宋_GB2312"/>
                <w:sz w:val="21"/>
                <w:szCs w:val="21"/>
              </w:rPr>
              <w:t>预算额度测算依据是否充分，是否按照标准编制；</w:t>
            </w:r>
          </w:p>
          <w:p w14:paraId="636CEEFD">
            <w:pPr>
              <w:spacing w:line="260" w:lineRule="exact"/>
              <w:ind w:left="160" w:leftChars="50" w:right="160" w:rightChars="50"/>
              <w:rPr>
                <w:rFonts w:hint="eastAsia" w:ascii="仿宋_GB2312"/>
                <w:sz w:val="21"/>
                <w:szCs w:val="21"/>
              </w:rPr>
            </w:pPr>
            <w:r>
              <w:rPr>
                <w:rFonts w:hint="eastAsia" w:ascii="仿宋_GB2312" w:hAnsi="宋体" w:cs="宋体"/>
                <w:sz w:val="21"/>
                <w:szCs w:val="21"/>
              </w:rPr>
              <w:t>④</w:t>
            </w:r>
            <w:r>
              <w:rPr>
                <w:rFonts w:hint="eastAsia" w:ascii="仿宋_GB2312"/>
                <w:sz w:val="21"/>
                <w:szCs w:val="21"/>
              </w:rPr>
              <w:t>预算确定的预算支出投资额或资金量是否与工作任务相匹配。</w:t>
            </w:r>
          </w:p>
        </w:tc>
        <w:tc>
          <w:tcPr>
            <w:tcW w:w="633" w:type="dxa"/>
            <w:noWrap w:val="0"/>
            <w:tcMar>
              <w:top w:w="10" w:type="dxa"/>
              <w:left w:w="10" w:type="dxa"/>
              <w:bottom w:w="0" w:type="dxa"/>
              <w:right w:w="10" w:type="dxa"/>
            </w:tcMar>
            <w:vAlign w:val="center"/>
          </w:tcPr>
          <w:p w14:paraId="2690DFE7">
            <w:pPr>
              <w:spacing w:line="260" w:lineRule="exact"/>
              <w:ind w:left="160" w:leftChars="50" w:right="160" w:rightChars="50"/>
              <w:rPr>
                <w:rFonts w:hint="default" w:ascii="仿宋_GB2312" w:hAnsi="宋体" w:eastAsia="仿宋_GB2312" w:cs="宋体"/>
                <w:sz w:val="21"/>
                <w:szCs w:val="21"/>
                <w:lang w:val="en-US" w:eastAsia="zh-CN"/>
              </w:rPr>
            </w:pPr>
            <w:r>
              <w:rPr>
                <w:rFonts w:hint="eastAsia" w:ascii="仿宋_GB2312" w:hAnsi="宋体" w:cs="宋体"/>
                <w:sz w:val="21"/>
                <w:szCs w:val="21"/>
                <w:lang w:val="en-US" w:eastAsia="zh-CN"/>
              </w:rPr>
              <w:t xml:space="preserve"> 2</w:t>
            </w:r>
          </w:p>
        </w:tc>
      </w:tr>
      <w:tr w14:paraId="68CE1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801" w:type="dxa"/>
            <w:vMerge w:val="continue"/>
            <w:noWrap w:val="0"/>
            <w:vAlign w:val="center"/>
          </w:tcPr>
          <w:p w14:paraId="75137F8F">
            <w:pPr>
              <w:rPr>
                <w:rFonts w:hint="eastAsia" w:ascii="仿宋_GB2312"/>
                <w:sz w:val="21"/>
                <w:szCs w:val="21"/>
              </w:rPr>
            </w:pPr>
          </w:p>
        </w:tc>
        <w:tc>
          <w:tcPr>
            <w:tcW w:w="749" w:type="dxa"/>
            <w:vMerge w:val="continue"/>
            <w:noWrap w:val="0"/>
            <w:vAlign w:val="center"/>
          </w:tcPr>
          <w:p w14:paraId="36F9C39C">
            <w:pPr>
              <w:jc w:val="center"/>
              <w:rPr>
                <w:rFonts w:hint="eastAsia" w:ascii="仿宋_GB2312"/>
                <w:sz w:val="21"/>
                <w:szCs w:val="21"/>
              </w:rPr>
            </w:pPr>
          </w:p>
        </w:tc>
        <w:tc>
          <w:tcPr>
            <w:tcW w:w="999" w:type="dxa"/>
            <w:noWrap w:val="0"/>
            <w:tcMar>
              <w:top w:w="10" w:type="dxa"/>
              <w:left w:w="10" w:type="dxa"/>
              <w:bottom w:w="0" w:type="dxa"/>
              <w:right w:w="10" w:type="dxa"/>
            </w:tcMar>
            <w:vAlign w:val="center"/>
          </w:tcPr>
          <w:p w14:paraId="093CE157">
            <w:pPr>
              <w:spacing w:line="260" w:lineRule="exact"/>
              <w:ind w:left="160" w:leftChars="50" w:right="160" w:rightChars="50"/>
              <w:jc w:val="center"/>
              <w:rPr>
                <w:rFonts w:hint="eastAsia" w:ascii="仿宋_GB2312"/>
                <w:sz w:val="21"/>
                <w:szCs w:val="21"/>
              </w:rPr>
            </w:pPr>
            <w:r>
              <w:rPr>
                <w:rFonts w:hint="eastAsia" w:ascii="仿宋_GB2312"/>
                <w:sz w:val="21"/>
                <w:szCs w:val="21"/>
              </w:rPr>
              <w:t>资金</w:t>
            </w:r>
          </w:p>
          <w:p w14:paraId="39CF3CB7">
            <w:pPr>
              <w:spacing w:line="260" w:lineRule="exact"/>
              <w:ind w:left="160" w:leftChars="50" w:right="160" w:rightChars="50"/>
              <w:jc w:val="center"/>
              <w:rPr>
                <w:rFonts w:hint="eastAsia" w:ascii="仿宋_GB2312"/>
                <w:sz w:val="21"/>
                <w:szCs w:val="21"/>
              </w:rPr>
            </w:pPr>
            <w:r>
              <w:rPr>
                <w:rFonts w:hint="eastAsia" w:ascii="仿宋_GB2312"/>
                <w:sz w:val="21"/>
                <w:szCs w:val="21"/>
              </w:rPr>
              <w:t>分配</w:t>
            </w:r>
          </w:p>
          <w:p w14:paraId="6DD38796">
            <w:pPr>
              <w:spacing w:line="260" w:lineRule="exact"/>
              <w:ind w:left="160" w:leftChars="50" w:right="160" w:rightChars="50"/>
              <w:jc w:val="center"/>
              <w:rPr>
                <w:rFonts w:hint="eastAsia" w:ascii="仿宋_GB2312"/>
                <w:sz w:val="21"/>
                <w:szCs w:val="21"/>
              </w:rPr>
            </w:pPr>
            <w:r>
              <w:rPr>
                <w:rFonts w:hint="eastAsia" w:ascii="仿宋_GB2312"/>
                <w:sz w:val="21"/>
                <w:szCs w:val="21"/>
              </w:rPr>
              <w:t>合理性</w:t>
            </w:r>
          </w:p>
        </w:tc>
        <w:tc>
          <w:tcPr>
            <w:tcW w:w="645" w:type="dxa"/>
            <w:noWrap w:val="0"/>
            <w:tcMar>
              <w:top w:w="10" w:type="dxa"/>
              <w:left w:w="10" w:type="dxa"/>
              <w:bottom w:w="0" w:type="dxa"/>
              <w:right w:w="10" w:type="dxa"/>
            </w:tcMar>
            <w:vAlign w:val="center"/>
          </w:tcPr>
          <w:p w14:paraId="052D7EBC">
            <w:pPr>
              <w:spacing w:line="260" w:lineRule="exact"/>
              <w:ind w:left="160" w:leftChars="50" w:right="160" w:rightChars="50"/>
              <w:rPr>
                <w:rFonts w:hint="eastAsia" w:ascii="仿宋_GB2312"/>
                <w:sz w:val="21"/>
                <w:szCs w:val="21"/>
              </w:rPr>
            </w:pPr>
            <w:r>
              <w:rPr>
                <w:rFonts w:hint="eastAsia" w:ascii="仿宋_GB2312"/>
                <w:sz w:val="21"/>
                <w:szCs w:val="21"/>
              </w:rPr>
              <w:t>2</w:t>
            </w:r>
          </w:p>
        </w:tc>
        <w:tc>
          <w:tcPr>
            <w:tcW w:w="2084" w:type="dxa"/>
            <w:noWrap w:val="0"/>
            <w:tcMar>
              <w:top w:w="10" w:type="dxa"/>
              <w:left w:w="10" w:type="dxa"/>
              <w:bottom w:w="0" w:type="dxa"/>
              <w:right w:w="10" w:type="dxa"/>
            </w:tcMar>
            <w:vAlign w:val="center"/>
          </w:tcPr>
          <w:p w14:paraId="17C6644C">
            <w:pPr>
              <w:spacing w:line="260" w:lineRule="exact"/>
              <w:ind w:left="160" w:leftChars="50" w:right="160" w:rightChars="50"/>
              <w:rPr>
                <w:rFonts w:hint="eastAsia" w:ascii="仿宋_GB2312"/>
                <w:sz w:val="21"/>
                <w:szCs w:val="21"/>
              </w:rPr>
            </w:pPr>
            <w:r>
              <w:rPr>
                <w:rFonts w:hint="eastAsia" w:ascii="仿宋_GB2312"/>
                <w:sz w:val="21"/>
                <w:szCs w:val="21"/>
              </w:rPr>
              <w:t>预算资金分配是否有测算依据，与补助单位或地方实际是否相适应，用以反映和考核预算支出预算资金分配的科学性、合理性情况。</w:t>
            </w:r>
          </w:p>
        </w:tc>
        <w:tc>
          <w:tcPr>
            <w:tcW w:w="2951" w:type="dxa"/>
            <w:noWrap w:val="0"/>
            <w:tcMar>
              <w:top w:w="10" w:type="dxa"/>
              <w:left w:w="10" w:type="dxa"/>
              <w:bottom w:w="0" w:type="dxa"/>
              <w:right w:w="10" w:type="dxa"/>
            </w:tcMar>
            <w:vAlign w:val="center"/>
          </w:tcPr>
          <w:p w14:paraId="7FA26632">
            <w:pPr>
              <w:spacing w:line="260" w:lineRule="exact"/>
              <w:ind w:left="160" w:leftChars="50" w:right="160" w:rightChars="50"/>
              <w:rPr>
                <w:rFonts w:hint="eastAsia" w:ascii="仿宋_GB2312"/>
                <w:sz w:val="21"/>
                <w:szCs w:val="21"/>
              </w:rPr>
            </w:pPr>
            <w:r>
              <w:rPr>
                <w:rFonts w:hint="eastAsia" w:ascii="仿宋_GB2312"/>
                <w:sz w:val="21"/>
                <w:szCs w:val="21"/>
              </w:rPr>
              <w:t>评价要点：</w:t>
            </w:r>
          </w:p>
          <w:p w14:paraId="77978428">
            <w:pPr>
              <w:spacing w:line="260" w:lineRule="exact"/>
              <w:ind w:right="160" w:rightChars="50" w:firstLine="105" w:firstLineChars="50"/>
              <w:rPr>
                <w:rFonts w:hint="eastAsia" w:ascii="仿宋_GB2312"/>
                <w:sz w:val="21"/>
                <w:szCs w:val="21"/>
              </w:rPr>
            </w:pPr>
            <w:r>
              <w:rPr>
                <w:rFonts w:hint="eastAsia" w:ascii="仿宋_GB2312" w:hAnsi="宋体" w:cs="宋体"/>
                <w:sz w:val="21"/>
                <w:szCs w:val="21"/>
              </w:rPr>
              <w:t>①</w:t>
            </w:r>
            <w:r>
              <w:rPr>
                <w:rFonts w:hint="eastAsia" w:ascii="仿宋_GB2312"/>
                <w:sz w:val="21"/>
                <w:szCs w:val="21"/>
              </w:rPr>
              <w:t>预算资金分配依据是否充分；</w:t>
            </w:r>
          </w:p>
          <w:p w14:paraId="2D3CDCB0">
            <w:pPr>
              <w:spacing w:line="260" w:lineRule="exact"/>
              <w:ind w:left="160" w:leftChars="50" w:right="160" w:rightChars="50"/>
              <w:rPr>
                <w:rFonts w:hint="eastAsia" w:ascii="仿宋_GB2312"/>
                <w:sz w:val="21"/>
                <w:szCs w:val="21"/>
              </w:rPr>
            </w:pPr>
            <w:r>
              <w:rPr>
                <w:rFonts w:hint="eastAsia" w:ascii="仿宋_GB2312" w:hAnsi="宋体" w:cs="宋体"/>
                <w:sz w:val="21"/>
                <w:szCs w:val="21"/>
              </w:rPr>
              <w:t>②</w:t>
            </w:r>
            <w:r>
              <w:rPr>
                <w:rFonts w:hint="eastAsia" w:ascii="仿宋_GB2312"/>
                <w:sz w:val="21"/>
                <w:szCs w:val="21"/>
              </w:rPr>
              <w:t>资金分配额度是否合理，与项目实施单位或地方实际是否相适应。</w:t>
            </w:r>
          </w:p>
        </w:tc>
        <w:tc>
          <w:tcPr>
            <w:tcW w:w="633" w:type="dxa"/>
            <w:noWrap w:val="0"/>
            <w:tcMar>
              <w:top w:w="10" w:type="dxa"/>
              <w:left w:w="10" w:type="dxa"/>
              <w:bottom w:w="0" w:type="dxa"/>
              <w:right w:w="10" w:type="dxa"/>
            </w:tcMar>
            <w:vAlign w:val="center"/>
          </w:tcPr>
          <w:p w14:paraId="67C4DF30">
            <w:pPr>
              <w:spacing w:line="260" w:lineRule="exact"/>
              <w:ind w:left="160" w:leftChars="50" w:right="160" w:rightChars="50"/>
              <w:rPr>
                <w:rFonts w:hint="default" w:ascii="仿宋_GB2312" w:hAnsi="宋体" w:eastAsia="仿宋_GB2312" w:cs="宋体"/>
                <w:sz w:val="21"/>
                <w:szCs w:val="21"/>
                <w:lang w:val="en-US" w:eastAsia="zh-CN"/>
              </w:rPr>
            </w:pPr>
            <w:r>
              <w:rPr>
                <w:rFonts w:hint="eastAsia" w:ascii="仿宋_GB2312" w:hAnsi="宋体" w:cs="宋体"/>
                <w:sz w:val="21"/>
                <w:szCs w:val="21"/>
                <w:lang w:val="en-US" w:eastAsia="zh-CN"/>
              </w:rPr>
              <w:t xml:space="preserve"> 2</w:t>
            </w:r>
          </w:p>
        </w:tc>
      </w:tr>
      <w:tr w14:paraId="152ED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42" w:hRule="atLeast"/>
          <w:jc w:val="center"/>
        </w:trPr>
        <w:tc>
          <w:tcPr>
            <w:tcW w:w="801" w:type="dxa"/>
            <w:vMerge w:val="restart"/>
            <w:noWrap w:val="0"/>
            <w:vAlign w:val="center"/>
          </w:tcPr>
          <w:p w14:paraId="4D626996">
            <w:pPr>
              <w:spacing w:line="500" w:lineRule="exact"/>
              <w:jc w:val="center"/>
              <w:rPr>
                <w:rFonts w:hint="eastAsia" w:ascii="仿宋_GB2312"/>
                <w:sz w:val="21"/>
                <w:szCs w:val="21"/>
              </w:rPr>
            </w:pPr>
            <w:r>
              <w:rPr>
                <w:rFonts w:hint="eastAsia" w:ascii="仿宋_GB2312"/>
                <w:sz w:val="21"/>
                <w:szCs w:val="21"/>
              </w:rPr>
              <w:t>过</w:t>
            </w:r>
          </w:p>
          <w:p w14:paraId="21BD12D1">
            <w:pPr>
              <w:spacing w:line="500" w:lineRule="exact"/>
              <w:jc w:val="center"/>
              <w:rPr>
                <w:rFonts w:hint="eastAsia" w:ascii="仿宋_GB2312"/>
                <w:sz w:val="21"/>
                <w:szCs w:val="21"/>
              </w:rPr>
            </w:pPr>
            <w:r>
              <w:rPr>
                <w:rFonts w:hint="eastAsia" w:ascii="仿宋_GB2312"/>
                <w:sz w:val="21"/>
                <w:szCs w:val="21"/>
              </w:rPr>
              <w:t>程</w:t>
            </w:r>
          </w:p>
        </w:tc>
        <w:tc>
          <w:tcPr>
            <w:tcW w:w="749" w:type="dxa"/>
            <w:vMerge w:val="restart"/>
            <w:noWrap w:val="0"/>
            <w:tcMar>
              <w:top w:w="10" w:type="dxa"/>
              <w:left w:w="10" w:type="dxa"/>
              <w:bottom w:w="0" w:type="dxa"/>
              <w:right w:w="10" w:type="dxa"/>
            </w:tcMar>
            <w:vAlign w:val="center"/>
          </w:tcPr>
          <w:p w14:paraId="79777A9B">
            <w:pPr>
              <w:jc w:val="center"/>
              <w:rPr>
                <w:rFonts w:hint="eastAsia" w:ascii="仿宋_GB2312"/>
                <w:sz w:val="21"/>
                <w:szCs w:val="21"/>
              </w:rPr>
            </w:pPr>
            <w:r>
              <w:rPr>
                <w:rFonts w:hint="eastAsia" w:ascii="仿宋_GB2312"/>
                <w:sz w:val="21"/>
                <w:szCs w:val="21"/>
              </w:rPr>
              <w:t>资金</w:t>
            </w:r>
            <w:r>
              <w:rPr>
                <w:rFonts w:hint="eastAsia" w:ascii="仿宋_GB2312"/>
                <w:sz w:val="21"/>
                <w:szCs w:val="21"/>
              </w:rPr>
              <w:br w:type="textWrapping"/>
            </w:r>
            <w:r>
              <w:rPr>
                <w:rFonts w:hint="eastAsia" w:ascii="仿宋_GB2312"/>
                <w:sz w:val="21"/>
                <w:szCs w:val="21"/>
              </w:rPr>
              <w:t>管理</w:t>
            </w:r>
          </w:p>
        </w:tc>
        <w:tc>
          <w:tcPr>
            <w:tcW w:w="999" w:type="dxa"/>
            <w:noWrap w:val="0"/>
            <w:tcMar>
              <w:top w:w="10" w:type="dxa"/>
              <w:left w:w="10" w:type="dxa"/>
              <w:bottom w:w="0" w:type="dxa"/>
              <w:right w:w="10" w:type="dxa"/>
            </w:tcMar>
            <w:vAlign w:val="center"/>
          </w:tcPr>
          <w:p w14:paraId="02A83C2A">
            <w:pPr>
              <w:spacing w:line="260" w:lineRule="exact"/>
              <w:ind w:left="160" w:leftChars="50" w:right="160" w:rightChars="50"/>
              <w:jc w:val="center"/>
              <w:rPr>
                <w:rFonts w:hint="eastAsia" w:ascii="仿宋_GB2312"/>
                <w:sz w:val="21"/>
                <w:szCs w:val="21"/>
              </w:rPr>
            </w:pPr>
            <w:r>
              <w:rPr>
                <w:rFonts w:hint="eastAsia" w:ascii="仿宋_GB2312"/>
                <w:sz w:val="21"/>
                <w:szCs w:val="21"/>
              </w:rPr>
              <w:t>资金</w:t>
            </w:r>
          </w:p>
          <w:p w14:paraId="2D670038">
            <w:pPr>
              <w:spacing w:line="260" w:lineRule="exact"/>
              <w:ind w:left="160" w:leftChars="50" w:right="160" w:rightChars="50"/>
              <w:jc w:val="center"/>
              <w:rPr>
                <w:rFonts w:hint="eastAsia" w:ascii="仿宋_GB2312"/>
                <w:sz w:val="21"/>
                <w:szCs w:val="21"/>
              </w:rPr>
            </w:pPr>
            <w:r>
              <w:rPr>
                <w:rFonts w:hint="eastAsia" w:ascii="仿宋_GB2312"/>
                <w:sz w:val="21"/>
                <w:szCs w:val="21"/>
              </w:rPr>
              <w:t>到位率</w:t>
            </w:r>
          </w:p>
        </w:tc>
        <w:tc>
          <w:tcPr>
            <w:tcW w:w="645" w:type="dxa"/>
            <w:noWrap w:val="0"/>
            <w:tcMar>
              <w:top w:w="10" w:type="dxa"/>
              <w:left w:w="10" w:type="dxa"/>
              <w:bottom w:w="0" w:type="dxa"/>
              <w:right w:w="10" w:type="dxa"/>
            </w:tcMar>
            <w:vAlign w:val="center"/>
          </w:tcPr>
          <w:p w14:paraId="3440C418">
            <w:pPr>
              <w:spacing w:line="260" w:lineRule="exact"/>
              <w:ind w:left="160" w:leftChars="50" w:right="160" w:rightChars="50"/>
              <w:rPr>
                <w:rFonts w:hint="eastAsia" w:ascii="仿宋_GB2312"/>
                <w:sz w:val="21"/>
                <w:szCs w:val="21"/>
              </w:rPr>
            </w:pPr>
            <w:r>
              <w:rPr>
                <w:rFonts w:hint="eastAsia" w:ascii="仿宋_GB2312"/>
                <w:sz w:val="21"/>
                <w:szCs w:val="21"/>
              </w:rPr>
              <w:t>2</w:t>
            </w:r>
          </w:p>
        </w:tc>
        <w:tc>
          <w:tcPr>
            <w:tcW w:w="2084" w:type="dxa"/>
            <w:noWrap w:val="0"/>
            <w:tcMar>
              <w:top w:w="10" w:type="dxa"/>
              <w:left w:w="10" w:type="dxa"/>
              <w:bottom w:w="0" w:type="dxa"/>
              <w:right w:w="10" w:type="dxa"/>
            </w:tcMar>
            <w:vAlign w:val="center"/>
          </w:tcPr>
          <w:p w14:paraId="4ECCCCA7">
            <w:pPr>
              <w:spacing w:line="260" w:lineRule="exact"/>
              <w:ind w:left="160" w:leftChars="50" w:right="160" w:rightChars="50"/>
              <w:rPr>
                <w:rFonts w:hint="eastAsia" w:ascii="仿宋_GB2312"/>
                <w:sz w:val="21"/>
                <w:szCs w:val="21"/>
              </w:rPr>
            </w:pPr>
            <w:r>
              <w:rPr>
                <w:rFonts w:hint="eastAsia" w:ascii="仿宋_GB2312"/>
                <w:sz w:val="21"/>
                <w:szCs w:val="21"/>
              </w:rPr>
              <w:t>实际到位资金与预算资金的比率，用以反映和考核资金落实情况对预算支出实施的总体保障程度。</w:t>
            </w:r>
          </w:p>
        </w:tc>
        <w:tc>
          <w:tcPr>
            <w:tcW w:w="2951" w:type="dxa"/>
            <w:noWrap w:val="0"/>
            <w:tcMar>
              <w:top w:w="10" w:type="dxa"/>
              <w:left w:w="10" w:type="dxa"/>
              <w:bottom w:w="0" w:type="dxa"/>
              <w:right w:w="10" w:type="dxa"/>
            </w:tcMar>
            <w:vAlign w:val="center"/>
          </w:tcPr>
          <w:p w14:paraId="31C4D50F">
            <w:pPr>
              <w:spacing w:line="260" w:lineRule="exact"/>
              <w:ind w:left="160" w:leftChars="50" w:right="160" w:rightChars="50"/>
              <w:rPr>
                <w:rFonts w:hint="eastAsia" w:ascii="仿宋_GB2312"/>
                <w:sz w:val="21"/>
                <w:szCs w:val="21"/>
              </w:rPr>
            </w:pPr>
            <w:r>
              <w:rPr>
                <w:rFonts w:hint="eastAsia" w:ascii="仿宋_GB2312"/>
                <w:sz w:val="21"/>
                <w:szCs w:val="21"/>
              </w:rPr>
              <w:t>资金到位率=（实际到位资金/预算资金）×100%。</w:t>
            </w:r>
            <w:r>
              <w:rPr>
                <w:rFonts w:hint="eastAsia" w:ascii="仿宋_GB2312"/>
                <w:sz w:val="21"/>
                <w:szCs w:val="21"/>
              </w:rPr>
              <w:br w:type="textWrapping"/>
            </w:r>
            <w:r>
              <w:rPr>
                <w:rFonts w:hint="eastAsia" w:ascii="仿宋_GB2312"/>
                <w:sz w:val="21"/>
                <w:szCs w:val="21"/>
              </w:rPr>
              <w:t>实际到位资金：一定时期（本年度或预算支出期）内落实到具体预算支出的资金。</w:t>
            </w:r>
            <w:r>
              <w:rPr>
                <w:rFonts w:hint="eastAsia" w:ascii="仿宋_GB2312"/>
                <w:sz w:val="21"/>
                <w:szCs w:val="21"/>
              </w:rPr>
              <w:br w:type="textWrapping"/>
            </w:r>
            <w:r>
              <w:rPr>
                <w:rFonts w:hint="eastAsia" w:ascii="仿宋_GB2312"/>
                <w:sz w:val="21"/>
                <w:szCs w:val="21"/>
              </w:rPr>
              <w:t>预算资金：一定时期（本年度或预算支出期）内预算安排到具体预算支出的资金。</w:t>
            </w:r>
          </w:p>
        </w:tc>
        <w:tc>
          <w:tcPr>
            <w:tcW w:w="633" w:type="dxa"/>
            <w:noWrap w:val="0"/>
            <w:tcMar>
              <w:top w:w="10" w:type="dxa"/>
              <w:left w:w="10" w:type="dxa"/>
              <w:bottom w:w="0" w:type="dxa"/>
              <w:right w:w="10" w:type="dxa"/>
            </w:tcMar>
            <w:vAlign w:val="center"/>
          </w:tcPr>
          <w:p w14:paraId="2880CDE7">
            <w:pPr>
              <w:spacing w:line="260" w:lineRule="exact"/>
              <w:ind w:left="160" w:leftChars="50" w:right="160" w:rightChars="50"/>
              <w:rPr>
                <w:rFonts w:hint="default" w:ascii="仿宋_GB2312" w:eastAsia="仿宋_GB2312"/>
                <w:sz w:val="21"/>
                <w:szCs w:val="21"/>
                <w:lang w:val="en-US" w:eastAsia="zh-CN"/>
              </w:rPr>
            </w:pPr>
            <w:r>
              <w:rPr>
                <w:rFonts w:hint="eastAsia" w:ascii="仿宋_GB2312"/>
                <w:sz w:val="21"/>
                <w:szCs w:val="21"/>
                <w:lang w:val="en-US" w:eastAsia="zh-CN"/>
              </w:rPr>
              <w:t xml:space="preserve"> 2</w:t>
            </w:r>
          </w:p>
        </w:tc>
      </w:tr>
      <w:tr w14:paraId="5482D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65" w:hRule="atLeast"/>
          <w:jc w:val="center"/>
        </w:trPr>
        <w:tc>
          <w:tcPr>
            <w:tcW w:w="801" w:type="dxa"/>
            <w:vMerge w:val="continue"/>
            <w:noWrap w:val="0"/>
            <w:vAlign w:val="center"/>
          </w:tcPr>
          <w:p w14:paraId="0C55DBFF">
            <w:pPr>
              <w:jc w:val="center"/>
              <w:rPr>
                <w:rFonts w:hint="eastAsia" w:ascii="仿宋_GB2312"/>
                <w:sz w:val="21"/>
                <w:szCs w:val="21"/>
              </w:rPr>
            </w:pPr>
          </w:p>
        </w:tc>
        <w:tc>
          <w:tcPr>
            <w:tcW w:w="749" w:type="dxa"/>
            <w:vMerge w:val="continue"/>
            <w:noWrap w:val="0"/>
            <w:tcMar>
              <w:top w:w="10" w:type="dxa"/>
              <w:left w:w="10" w:type="dxa"/>
              <w:bottom w:w="0" w:type="dxa"/>
              <w:right w:w="10" w:type="dxa"/>
            </w:tcMar>
            <w:vAlign w:val="center"/>
          </w:tcPr>
          <w:p w14:paraId="36106668">
            <w:pPr>
              <w:jc w:val="center"/>
              <w:rPr>
                <w:rFonts w:hint="eastAsia" w:ascii="仿宋_GB2312"/>
                <w:sz w:val="21"/>
                <w:szCs w:val="21"/>
              </w:rPr>
            </w:pPr>
          </w:p>
        </w:tc>
        <w:tc>
          <w:tcPr>
            <w:tcW w:w="999" w:type="dxa"/>
            <w:noWrap w:val="0"/>
            <w:tcMar>
              <w:top w:w="10" w:type="dxa"/>
              <w:left w:w="10" w:type="dxa"/>
              <w:bottom w:w="0" w:type="dxa"/>
              <w:right w:w="10" w:type="dxa"/>
            </w:tcMar>
            <w:vAlign w:val="center"/>
          </w:tcPr>
          <w:p w14:paraId="50346017">
            <w:pPr>
              <w:spacing w:line="260" w:lineRule="exact"/>
              <w:ind w:left="160" w:leftChars="50" w:right="160" w:rightChars="50"/>
              <w:jc w:val="center"/>
              <w:rPr>
                <w:rFonts w:hint="eastAsia" w:ascii="仿宋_GB2312"/>
                <w:sz w:val="21"/>
                <w:szCs w:val="21"/>
              </w:rPr>
            </w:pPr>
            <w:r>
              <w:rPr>
                <w:rFonts w:hint="eastAsia" w:ascii="仿宋_GB2312"/>
                <w:sz w:val="21"/>
                <w:szCs w:val="21"/>
              </w:rPr>
              <w:t>预算</w:t>
            </w:r>
          </w:p>
          <w:p w14:paraId="050E61AA">
            <w:pPr>
              <w:spacing w:line="260" w:lineRule="exact"/>
              <w:ind w:left="160" w:leftChars="50" w:right="160" w:rightChars="50"/>
              <w:jc w:val="center"/>
              <w:rPr>
                <w:rFonts w:hint="eastAsia" w:ascii="仿宋_GB2312"/>
                <w:sz w:val="21"/>
                <w:szCs w:val="21"/>
              </w:rPr>
            </w:pPr>
            <w:r>
              <w:rPr>
                <w:rFonts w:hint="eastAsia" w:ascii="仿宋_GB2312"/>
                <w:sz w:val="21"/>
                <w:szCs w:val="21"/>
              </w:rPr>
              <w:t>执行率</w:t>
            </w:r>
          </w:p>
        </w:tc>
        <w:tc>
          <w:tcPr>
            <w:tcW w:w="645" w:type="dxa"/>
            <w:noWrap w:val="0"/>
            <w:tcMar>
              <w:top w:w="10" w:type="dxa"/>
              <w:left w:w="10" w:type="dxa"/>
              <w:bottom w:w="0" w:type="dxa"/>
              <w:right w:w="10" w:type="dxa"/>
            </w:tcMar>
            <w:vAlign w:val="center"/>
          </w:tcPr>
          <w:p w14:paraId="2206C184">
            <w:pPr>
              <w:spacing w:line="260" w:lineRule="exact"/>
              <w:ind w:left="160" w:leftChars="50" w:right="160" w:rightChars="50"/>
              <w:rPr>
                <w:rFonts w:hint="eastAsia" w:ascii="仿宋_GB2312"/>
                <w:sz w:val="21"/>
                <w:szCs w:val="21"/>
              </w:rPr>
            </w:pPr>
            <w:r>
              <w:rPr>
                <w:rFonts w:hint="eastAsia" w:ascii="仿宋_GB2312"/>
                <w:sz w:val="21"/>
                <w:szCs w:val="21"/>
              </w:rPr>
              <w:t>4</w:t>
            </w:r>
          </w:p>
        </w:tc>
        <w:tc>
          <w:tcPr>
            <w:tcW w:w="2084" w:type="dxa"/>
            <w:noWrap w:val="0"/>
            <w:tcMar>
              <w:top w:w="10" w:type="dxa"/>
              <w:left w:w="10" w:type="dxa"/>
              <w:bottom w:w="0" w:type="dxa"/>
              <w:right w:w="10" w:type="dxa"/>
            </w:tcMar>
            <w:vAlign w:val="center"/>
          </w:tcPr>
          <w:p w14:paraId="6C93FB18">
            <w:pPr>
              <w:spacing w:line="260" w:lineRule="exact"/>
              <w:ind w:left="160" w:leftChars="50" w:right="160" w:rightChars="50"/>
              <w:rPr>
                <w:rFonts w:hint="eastAsia" w:ascii="仿宋_GB2312"/>
                <w:sz w:val="21"/>
                <w:szCs w:val="21"/>
              </w:rPr>
            </w:pPr>
            <w:r>
              <w:rPr>
                <w:rFonts w:hint="eastAsia" w:ascii="仿宋_GB2312"/>
                <w:sz w:val="21"/>
                <w:szCs w:val="21"/>
              </w:rPr>
              <w:t>预算资金是否按照计划执行，用以反映或考核预算支出预算执行情况。</w:t>
            </w:r>
          </w:p>
        </w:tc>
        <w:tc>
          <w:tcPr>
            <w:tcW w:w="2951" w:type="dxa"/>
            <w:noWrap w:val="0"/>
            <w:tcMar>
              <w:top w:w="10" w:type="dxa"/>
              <w:left w:w="10" w:type="dxa"/>
              <w:bottom w:w="0" w:type="dxa"/>
              <w:right w:w="10" w:type="dxa"/>
            </w:tcMar>
            <w:vAlign w:val="center"/>
          </w:tcPr>
          <w:p w14:paraId="14A528B6">
            <w:pPr>
              <w:spacing w:line="260" w:lineRule="exact"/>
              <w:ind w:left="160" w:leftChars="50" w:right="160" w:rightChars="50"/>
              <w:rPr>
                <w:rFonts w:hint="eastAsia" w:ascii="仿宋_GB2312"/>
                <w:sz w:val="21"/>
                <w:szCs w:val="21"/>
              </w:rPr>
            </w:pPr>
            <w:r>
              <w:rPr>
                <w:rFonts w:hint="eastAsia" w:ascii="仿宋_GB2312"/>
                <w:sz w:val="21"/>
                <w:szCs w:val="21"/>
              </w:rPr>
              <w:t>预算执行率=（实际支出资金/实际到位资金）×100%。</w:t>
            </w:r>
          </w:p>
          <w:p w14:paraId="7CE91DED">
            <w:pPr>
              <w:spacing w:line="260" w:lineRule="exact"/>
              <w:ind w:left="160" w:leftChars="50" w:right="160" w:rightChars="50"/>
              <w:rPr>
                <w:rFonts w:hint="eastAsia" w:ascii="仿宋_GB2312"/>
                <w:sz w:val="21"/>
                <w:szCs w:val="21"/>
              </w:rPr>
            </w:pPr>
            <w:r>
              <w:rPr>
                <w:rFonts w:hint="eastAsia" w:ascii="仿宋_GB2312"/>
                <w:sz w:val="21"/>
                <w:szCs w:val="21"/>
              </w:rPr>
              <w:t>实际支出资金：一定时期（本年度或预算支出期）内预算支出实际拨付的资金。</w:t>
            </w:r>
          </w:p>
        </w:tc>
        <w:tc>
          <w:tcPr>
            <w:tcW w:w="633" w:type="dxa"/>
            <w:noWrap w:val="0"/>
            <w:tcMar>
              <w:top w:w="10" w:type="dxa"/>
              <w:left w:w="10" w:type="dxa"/>
              <w:bottom w:w="0" w:type="dxa"/>
              <w:right w:w="10" w:type="dxa"/>
            </w:tcMar>
            <w:vAlign w:val="center"/>
          </w:tcPr>
          <w:p w14:paraId="4C1A47F1">
            <w:pPr>
              <w:spacing w:line="260" w:lineRule="exact"/>
              <w:ind w:left="160" w:leftChars="50" w:right="160" w:rightChars="50"/>
              <w:rPr>
                <w:rFonts w:hint="default" w:ascii="仿宋_GB2312" w:eastAsia="仿宋_GB2312"/>
                <w:sz w:val="21"/>
                <w:szCs w:val="21"/>
                <w:lang w:val="en-US" w:eastAsia="zh-CN"/>
              </w:rPr>
            </w:pPr>
            <w:r>
              <w:rPr>
                <w:rFonts w:hint="eastAsia" w:ascii="仿宋_GB2312"/>
                <w:sz w:val="21"/>
                <w:szCs w:val="21"/>
                <w:lang w:val="en-US" w:eastAsia="zh-CN"/>
              </w:rPr>
              <w:t xml:space="preserve"> 4</w:t>
            </w:r>
          </w:p>
        </w:tc>
      </w:tr>
      <w:tr w14:paraId="2C846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801" w:type="dxa"/>
            <w:vMerge w:val="continue"/>
            <w:noWrap w:val="0"/>
            <w:vAlign w:val="center"/>
          </w:tcPr>
          <w:p w14:paraId="5466C4A8">
            <w:pPr>
              <w:jc w:val="center"/>
              <w:rPr>
                <w:rFonts w:hint="eastAsia" w:ascii="仿宋_GB2312"/>
                <w:sz w:val="21"/>
                <w:szCs w:val="21"/>
              </w:rPr>
            </w:pPr>
          </w:p>
        </w:tc>
        <w:tc>
          <w:tcPr>
            <w:tcW w:w="749" w:type="dxa"/>
            <w:vMerge w:val="continue"/>
            <w:noWrap w:val="0"/>
            <w:vAlign w:val="center"/>
          </w:tcPr>
          <w:p w14:paraId="7CA0E64D">
            <w:pPr>
              <w:rPr>
                <w:rFonts w:hint="eastAsia" w:ascii="仿宋_GB2312"/>
                <w:sz w:val="21"/>
                <w:szCs w:val="21"/>
              </w:rPr>
            </w:pPr>
          </w:p>
        </w:tc>
        <w:tc>
          <w:tcPr>
            <w:tcW w:w="999" w:type="dxa"/>
            <w:noWrap w:val="0"/>
            <w:tcMar>
              <w:top w:w="10" w:type="dxa"/>
              <w:left w:w="10" w:type="dxa"/>
              <w:bottom w:w="0" w:type="dxa"/>
              <w:right w:w="10" w:type="dxa"/>
            </w:tcMar>
            <w:vAlign w:val="center"/>
          </w:tcPr>
          <w:p w14:paraId="2232F04E">
            <w:pPr>
              <w:spacing w:line="260" w:lineRule="exact"/>
              <w:ind w:left="160" w:leftChars="50" w:right="160" w:rightChars="50"/>
              <w:jc w:val="center"/>
              <w:rPr>
                <w:rFonts w:hint="eastAsia" w:ascii="仿宋_GB2312"/>
                <w:sz w:val="21"/>
                <w:szCs w:val="21"/>
              </w:rPr>
            </w:pPr>
            <w:r>
              <w:rPr>
                <w:rFonts w:hint="eastAsia" w:ascii="仿宋_GB2312"/>
                <w:sz w:val="21"/>
                <w:szCs w:val="21"/>
              </w:rPr>
              <w:t>资金</w:t>
            </w:r>
          </w:p>
          <w:p w14:paraId="5FBA350C">
            <w:pPr>
              <w:spacing w:line="260" w:lineRule="exact"/>
              <w:ind w:left="160" w:leftChars="50" w:right="160" w:rightChars="50"/>
              <w:jc w:val="center"/>
              <w:rPr>
                <w:rFonts w:hint="eastAsia" w:ascii="仿宋_GB2312"/>
                <w:sz w:val="21"/>
                <w:szCs w:val="21"/>
              </w:rPr>
            </w:pPr>
            <w:r>
              <w:rPr>
                <w:rFonts w:hint="eastAsia" w:ascii="仿宋_GB2312"/>
                <w:sz w:val="21"/>
                <w:szCs w:val="21"/>
              </w:rPr>
              <w:t>使用</w:t>
            </w:r>
          </w:p>
          <w:p w14:paraId="1AA86C84">
            <w:pPr>
              <w:spacing w:line="260" w:lineRule="exact"/>
              <w:ind w:left="160" w:leftChars="50" w:right="160" w:rightChars="50"/>
              <w:jc w:val="center"/>
              <w:rPr>
                <w:rFonts w:hint="eastAsia" w:ascii="仿宋_GB2312"/>
                <w:sz w:val="21"/>
                <w:szCs w:val="21"/>
              </w:rPr>
            </w:pPr>
            <w:r>
              <w:rPr>
                <w:rFonts w:hint="eastAsia" w:ascii="仿宋_GB2312"/>
                <w:sz w:val="21"/>
                <w:szCs w:val="21"/>
              </w:rPr>
              <w:t>合规性</w:t>
            </w:r>
          </w:p>
        </w:tc>
        <w:tc>
          <w:tcPr>
            <w:tcW w:w="645" w:type="dxa"/>
            <w:noWrap w:val="0"/>
            <w:tcMar>
              <w:top w:w="10" w:type="dxa"/>
              <w:left w:w="10" w:type="dxa"/>
              <w:bottom w:w="0" w:type="dxa"/>
              <w:right w:w="10" w:type="dxa"/>
            </w:tcMar>
            <w:vAlign w:val="center"/>
          </w:tcPr>
          <w:p w14:paraId="44391EE7">
            <w:pPr>
              <w:spacing w:line="260" w:lineRule="exact"/>
              <w:ind w:left="160" w:leftChars="50" w:right="160" w:rightChars="50"/>
              <w:rPr>
                <w:rFonts w:hint="eastAsia" w:ascii="仿宋_GB2312"/>
                <w:sz w:val="21"/>
                <w:szCs w:val="21"/>
              </w:rPr>
            </w:pPr>
            <w:r>
              <w:rPr>
                <w:rFonts w:hint="eastAsia" w:ascii="仿宋_GB2312"/>
                <w:sz w:val="21"/>
                <w:szCs w:val="21"/>
              </w:rPr>
              <w:t>8</w:t>
            </w:r>
          </w:p>
        </w:tc>
        <w:tc>
          <w:tcPr>
            <w:tcW w:w="2084" w:type="dxa"/>
            <w:noWrap w:val="0"/>
            <w:tcMar>
              <w:top w:w="10" w:type="dxa"/>
              <w:left w:w="10" w:type="dxa"/>
              <w:bottom w:w="0" w:type="dxa"/>
              <w:right w:w="10" w:type="dxa"/>
            </w:tcMar>
            <w:vAlign w:val="center"/>
          </w:tcPr>
          <w:p w14:paraId="2C12CE3D">
            <w:pPr>
              <w:spacing w:line="260" w:lineRule="exact"/>
              <w:ind w:left="160" w:leftChars="50" w:right="160" w:rightChars="50"/>
              <w:rPr>
                <w:rFonts w:hint="eastAsia" w:ascii="仿宋_GB2312"/>
                <w:sz w:val="21"/>
                <w:szCs w:val="21"/>
              </w:rPr>
            </w:pPr>
            <w:r>
              <w:rPr>
                <w:rFonts w:hint="eastAsia" w:ascii="仿宋_GB2312"/>
                <w:sz w:val="21"/>
                <w:szCs w:val="21"/>
              </w:rPr>
              <w:t>预算资金使用是否符合相关的财务管理制度规定，用以反映和考核预算资金的规范运行情况。</w:t>
            </w:r>
          </w:p>
        </w:tc>
        <w:tc>
          <w:tcPr>
            <w:tcW w:w="2951" w:type="dxa"/>
            <w:noWrap w:val="0"/>
            <w:tcMar>
              <w:top w:w="10" w:type="dxa"/>
              <w:left w:w="10" w:type="dxa"/>
              <w:bottom w:w="0" w:type="dxa"/>
              <w:right w:w="10" w:type="dxa"/>
            </w:tcMar>
            <w:vAlign w:val="center"/>
          </w:tcPr>
          <w:p w14:paraId="4F0DA9CE">
            <w:pPr>
              <w:spacing w:line="260" w:lineRule="exact"/>
              <w:ind w:left="160" w:leftChars="50" w:right="160" w:rightChars="50"/>
              <w:rPr>
                <w:rFonts w:hint="eastAsia" w:ascii="仿宋_GB2312"/>
                <w:sz w:val="21"/>
                <w:szCs w:val="21"/>
              </w:rPr>
            </w:pPr>
            <w:r>
              <w:rPr>
                <w:rFonts w:hint="eastAsia" w:ascii="仿宋_GB2312"/>
                <w:sz w:val="21"/>
                <w:szCs w:val="21"/>
              </w:rPr>
              <w:t>评价要点：</w:t>
            </w:r>
          </w:p>
          <w:p w14:paraId="67DCF2F1">
            <w:pPr>
              <w:spacing w:line="260" w:lineRule="exact"/>
              <w:ind w:left="160" w:leftChars="50" w:right="160" w:rightChars="50"/>
              <w:rPr>
                <w:rFonts w:hint="eastAsia" w:ascii="仿宋_GB2312"/>
                <w:sz w:val="21"/>
                <w:szCs w:val="21"/>
              </w:rPr>
            </w:pPr>
            <w:r>
              <w:rPr>
                <w:rFonts w:hint="eastAsia" w:ascii="仿宋_GB2312" w:hAnsi="宋体" w:cs="宋体"/>
                <w:sz w:val="21"/>
                <w:szCs w:val="21"/>
              </w:rPr>
              <w:t>①</w:t>
            </w:r>
            <w:r>
              <w:rPr>
                <w:rFonts w:hint="eastAsia" w:ascii="仿宋_GB2312"/>
                <w:sz w:val="21"/>
                <w:szCs w:val="21"/>
              </w:rPr>
              <w:t>是否符合国家财经法规和财务管理制度以及有关专项资金管理办法的规定；</w:t>
            </w:r>
          </w:p>
          <w:p w14:paraId="635F1D32">
            <w:pPr>
              <w:spacing w:line="260" w:lineRule="exact"/>
              <w:ind w:right="160" w:rightChars="50" w:firstLine="105" w:firstLineChars="50"/>
              <w:rPr>
                <w:rFonts w:hint="eastAsia" w:ascii="仿宋_GB2312"/>
                <w:sz w:val="21"/>
                <w:szCs w:val="21"/>
              </w:rPr>
            </w:pPr>
            <w:r>
              <w:rPr>
                <w:rFonts w:hint="eastAsia" w:ascii="仿宋_GB2312" w:hAnsi="宋体" w:cs="宋体"/>
                <w:sz w:val="21"/>
                <w:szCs w:val="21"/>
              </w:rPr>
              <w:t>②</w:t>
            </w:r>
            <w:r>
              <w:rPr>
                <w:rFonts w:hint="eastAsia" w:ascii="仿宋_GB2312"/>
                <w:sz w:val="21"/>
                <w:szCs w:val="21"/>
              </w:rPr>
              <w:t>资金的拨付是否有完整的审批程序和手续；</w:t>
            </w:r>
          </w:p>
          <w:p w14:paraId="7AE3E623">
            <w:pPr>
              <w:spacing w:line="260" w:lineRule="exact"/>
              <w:ind w:right="160" w:rightChars="50" w:firstLine="105" w:firstLineChars="50"/>
              <w:rPr>
                <w:rFonts w:hint="eastAsia" w:ascii="仿宋_GB2312"/>
                <w:sz w:val="21"/>
                <w:szCs w:val="21"/>
              </w:rPr>
            </w:pPr>
            <w:r>
              <w:rPr>
                <w:rFonts w:hint="eastAsia" w:ascii="仿宋_GB2312" w:hAnsi="宋体" w:cs="宋体"/>
                <w:sz w:val="21"/>
                <w:szCs w:val="21"/>
              </w:rPr>
              <w:t>③</w:t>
            </w:r>
            <w:r>
              <w:rPr>
                <w:rFonts w:hint="eastAsia" w:ascii="仿宋_GB2312"/>
                <w:sz w:val="21"/>
                <w:szCs w:val="21"/>
              </w:rPr>
              <w:t>是否符合预算支出预算批复或合同规定的用途；</w:t>
            </w:r>
          </w:p>
          <w:p w14:paraId="14A2F84A">
            <w:pPr>
              <w:spacing w:line="260" w:lineRule="exact"/>
              <w:ind w:left="160" w:leftChars="50" w:right="160" w:rightChars="50"/>
              <w:rPr>
                <w:rFonts w:hint="eastAsia" w:ascii="仿宋_GB2312"/>
                <w:sz w:val="21"/>
                <w:szCs w:val="21"/>
              </w:rPr>
            </w:pPr>
            <w:r>
              <w:rPr>
                <w:rFonts w:hint="eastAsia" w:ascii="仿宋_GB2312" w:hAnsi="宋体" w:cs="宋体"/>
                <w:sz w:val="21"/>
                <w:szCs w:val="21"/>
              </w:rPr>
              <w:t>④</w:t>
            </w:r>
            <w:r>
              <w:rPr>
                <w:rFonts w:hint="eastAsia" w:ascii="仿宋_GB2312"/>
                <w:sz w:val="21"/>
                <w:szCs w:val="21"/>
              </w:rPr>
              <w:t>是否存在截留、挤占、挪用、虐列支出等情况。</w:t>
            </w:r>
          </w:p>
        </w:tc>
        <w:tc>
          <w:tcPr>
            <w:tcW w:w="633" w:type="dxa"/>
            <w:noWrap w:val="0"/>
            <w:tcMar>
              <w:top w:w="10" w:type="dxa"/>
              <w:left w:w="10" w:type="dxa"/>
              <w:bottom w:w="0" w:type="dxa"/>
              <w:right w:w="10" w:type="dxa"/>
            </w:tcMar>
            <w:vAlign w:val="center"/>
          </w:tcPr>
          <w:p w14:paraId="0A1F1BF4">
            <w:pPr>
              <w:spacing w:line="260" w:lineRule="exact"/>
              <w:ind w:left="160" w:leftChars="50" w:right="160" w:rightChars="50"/>
              <w:rPr>
                <w:rFonts w:hint="default" w:ascii="仿宋_GB2312" w:hAnsi="宋体" w:eastAsia="仿宋_GB2312" w:cs="宋体"/>
                <w:sz w:val="21"/>
                <w:szCs w:val="21"/>
                <w:lang w:val="en-US" w:eastAsia="zh-CN"/>
              </w:rPr>
            </w:pPr>
            <w:r>
              <w:rPr>
                <w:rFonts w:hint="eastAsia" w:ascii="仿宋_GB2312" w:hAnsi="宋体" w:cs="宋体"/>
                <w:sz w:val="21"/>
                <w:szCs w:val="21"/>
                <w:lang w:val="en-US" w:eastAsia="zh-CN"/>
              </w:rPr>
              <w:t xml:space="preserve"> 8</w:t>
            </w:r>
          </w:p>
        </w:tc>
      </w:tr>
      <w:tr w14:paraId="5F044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801" w:type="dxa"/>
            <w:vMerge w:val="continue"/>
            <w:noWrap/>
            <w:tcMar>
              <w:top w:w="10" w:type="dxa"/>
              <w:left w:w="10" w:type="dxa"/>
              <w:bottom w:w="0" w:type="dxa"/>
              <w:right w:w="10" w:type="dxa"/>
            </w:tcMar>
            <w:textDirection w:val="tbRlV"/>
            <w:vAlign w:val="center"/>
          </w:tcPr>
          <w:p w14:paraId="3FDDAB0E">
            <w:pPr>
              <w:jc w:val="center"/>
              <w:rPr>
                <w:rFonts w:hint="eastAsia" w:ascii="仿宋_GB2312"/>
                <w:sz w:val="21"/>
                <w:szCs w:val="21"/>
              </w:rPr>
            </w:pPr>
          </w:p>
        </w:tc>
        <w:tc>
          <w:tcPr>
            <w:tcW w:w="749" w:type="dxa"/>
            <w:vMerge w:val="restart"/>
            <w:noWrap w:val="0"/>
            <w:tcMar>
              <w:top w:w="10" w:type="dxa"/>
              <w:left w:w="10" w:type="dxa"/>
              <w:bottom w:w="0" w:type="dxa"/>
              <w:right w:w="10" w:type="dxa"/>
            </w:tcMar>
            <w:vAlign w:val="center"/>
          </w:tcPr>
          <w:p w14:paraId="4DFB8D2D">
            <w:pPr>
              <w:jc w:val="center"/>
              <w:rPr>
                <w:rFonts w:hint="eastAsia" w:ascii="仿宋_GB2312"/>
                <w:sz w:val="21"/>
                <w:szCs w:val="21"/>
              </w:rPr>
            </w:pPr>
            <w:r>
              <w:rPr>
                <w:rFonts w:hint="eastAsia" w:ascii="仿宋_GB2312"/>
                <w:sz w:val="21"/>
                <w:szCs w:val="21"/>
              </w:rPr>
              <w:t>组织</w:t>
            </w:r>
          </w:p>
          <w:p w14:paraId="35766C01">
            <w:pPr>
              <w:jc w:val="center"/>
              <w:rPr>
                <w:rFonts w:hint="eastAsia" w:ascii="仿宋_GB2312"/>
                <w:sz w:val="21"/>
                <w:szCs w:val="21"/>
              </w:rPr>
            </w:pPr>
            <w:r>
              <w:rPr>
                <w:rFonts w:hint="eastAsia" w:ascii="仿宋_GB2312"/>
                <w:sz w:val="21"/>
                <w:szCs w:val="21"/>
              </w:rPr>
              <w:t>实施</w:t>
            </w:r>
          </w:p>
        </w:tc>
        <w:tc>
          <w:tcPr>
            <w:tcW w:w="999" w:type="dxa"/>
            <w:noWrap w:val="0"/>
            <w:tcMar>
              <w:top w:w="10" w:type="dxa"/>
              <w:left w:w="10" w:type="dxa"/>
              <w:bottom w:w="0" w:type="dxa"/>
              <w:right w:w="10" w:type="dxa"/>
            </w:tcMar>
            <w:vAlign w:val="center"/>
          </w:tcPr>
          <w:p w14:paraId="0FA4CBE4">
            <w:pPr>
              <w:spacing w:line="260" w:lineRule="exact"/>
              <w:ind w:left="160" w:leftChars="50" w:right="160" w:rightChars="50"/>
              <w:jc w:val="center"/>
              <w:rPr>
                <w:rFonts w:hint="eastAsia" w:ascii="仿宋_GB2312"/>
                <w:sz w:val="21"/>
                <w:szCs w:val="21"/>
              </w:rPr>
            </w:pPr>
            <w:r>
              <w:rPr>
                <w:rFonts w:hint="eastAsia" w:ascii="仿宋_GB2312"/>
                <w:sz w:val="21"/>
                <w:szCs w:val="21"/>
              </w:rPr>
              <w:t>管理</w:t>
            </w:r>
          </w:p>
          <w:p w14:paraId="138561A8">
            <w:pPr>
              <w:spacing w:line="260" w:lineRule="exact"/>
              <w:ind w:left="160" w:leftChars="50" w:right="160" w:rightChars="50"/>
              <w:jc w:val="center"/>
              <w:rPr>
                <w:rFonts w:hint="eastAsia" w:ascii="仿宋_GB2312"/>
                <w:sz w:val="21"/>
                <w:szCs w:val="21"/>
              </w:rPr>
            </w:pPr>
            <w:r>
              <w:rPr>
                <w:rFonts w:hint="eastAsia" w:ascii="仿宋_GB2312"/>
                <w:sz w:val="21"/>
                <w:szCs w:val="21"/>
              </w:rPr>
              <w:t>制度</w:t>
            </w:r>
          </w:p>
          <w:p w14:paraId="0178DCDC">
            <w:pPr>
              <w:spacing w:line="260" w:lineRule="exact"/>
              <w:ind w:left="160" w:leftChars="50" w:right="160" w:rightChars="50"/>
              <w:jc w:val="center"/>
              <w:rPr>
                <w:rFonts w:hint="eastAsia" w:ascii="仿宋_GB2312"/>
                <w:sz w:val="21"/>
                <w:szCs w:val="21"/>
              </w:rPr>
            </w:pPr>
            <w:r>
              <w:rPr>
                <w:rFonts w:hint="eastAsia" w:ascii="仿宋_GB2312"/>
                <w:sz w:val="21"/>
                <w:szCs w:val="21"/>
              </w:rPr>
              <w:t>健全性</w:t>
            </w:r>
          </w:p>
        </w:tc>
        <w:tc>
          <w:tcPr>
            <w:tcW w:w="645" w:type="dxa"/>
            <w:noWrap w:val="0"/>
            <w:tcMar>
              <w:top w:w="10" w:type="dxa"/>
              <w:left w:w="10" w:type="dxa"/>
              <w:bottom w:w="0" w:type="dxa"/>
              <w:right w:w="10" w:type="dxa"/>
            </w:tcMar>
            <w:vAlign w:val="center"/>
          </w:tcPr>
          <w:p w14:paraId="02D316BC">
            <w:pPr>
              <w:spacing w:line="260" w:lineRule="exact"/>
              <w:ind w:left="160" w:leftChars="50" w:right="160" w:rightChars="50"/>
              <w:rPr>
                <w:rFonts w:hint="eastAsia" w:ascii="仿宋_GB2312"/>
                <w:sz w:val="21"/>
                <w:szCs w:val="21"/>
              </w:rPr>
            </w:pPr>
            <w:r>
              <w:rPr>
                <w:rFonts w:hint="eastAsia" w:ascii="仿宋_GB2312"/>
                <w:sz w:val="21"/>
                <w:szCs w:val="21"/>
              </w:rPr>
              <w:t>4</w:t>
            </w:r>
          </w:p>
        </w:tc>
        <w:tc>
          <w:tcPr>
            <w:tcW w:w="2084" w:type="dxa"/>
            <w:noWrap w:val="0"/>
            <w:tcMar>
              <w:top w:w="10" w:type="dxa"/>
              <w:left w:w="10" w:type="dxa"/>
              <w:bottom w:w="0" w:type="dxa"/>
              <w:right w:w="10" w:type="dxa"/>
            </w:tcMar>
            <w:vAlign w:val="center"/>
          </w:tcPr>
          <w:p w14:paraId="00CEF2FC">
            <w:pPr>
              <w:spacing w:line="260" w:lineRule="exact"/>
              <w:ind w:left="160" w:leftChars="50" w:right="160" w:rightChars="50"/>
              <w:rPr>
                <w:rFonts w:hint="eastAsia" w:ascii="仿宋_GB2312"/>
                <w:sz w:val="21"/>
                <w:szCs w:val="21"/>
              </w:rPr>
            </w:pPr>
            <w:r>
              <w:rPr>
                <w:rFonts w:hint="eastAsia" w:ascii="仿宋_GB2312"/>
                <w:sz w:val="21"/>
                <w:szCs w:val="21"/>
              </w:rPr>
              <w:t>预算支出实施单位的财务和业务管理制度是否健全，用以反映和考核财务和业务管理制度对预算支出顺利实施的保障情况。</w:t>
            </w:r>
          </w:p>
        </w:tc>
        <w:tc>
          <w:tcPr>
            <w:tcW w:w="2951" w:type="dxa"/>
            <w:noWrap w:val="0"/>
            <w:tcMar>
              <w:top w:w="10" w:type="dxa"/>
              <w:left w:w="10" w:type="dxa"/>
              <w:bottom w:w="0" w:type="dxa"/>
              <w:right w:w="10" w:type="dxa"/>
            </w:tcMar>
            <w:vAlign w:val="center"/>
          </w:tcPr>
          <w:p w14:paraId="3575DE74">
            <w:pPr>
              <w:spacing w:line="260" w:lineRule="exact"/>
              <w:ind w:left="160" w:leftChars="50" w:right="160" w:rightChars="50"/>
              <w:rPr>
                <w:rFonts w:hint="eastAsia" w:ascii="仿宋_GB2312"/>
                <w:sz w:val="21"/>
                <w:szCs w:val="21"/>
              </w:rPr>
            </w:pPr>
            <w:r>
              <w:rPr>
                <w:rFonts w:hint="eastAsia" w:ascii="仿宋_GB2312"/>
                <w:sz w:val="21"/>
                <w:szCs w:val="21"/>
              </w:rPr>
              <w:t>评价要点：</w:t>
            </w:r>
            <w:r>
              <w:rPr>
                <w:rFonts w:hint="eastAsia" w:ascii="仿宋_GB2312"/>
                <w:sz w:val="21"/>
                <w:szCs w:val="21"/>
              </w:rPr>
              <w:br w:type="textWrapping"/>
            </w:r>
            <w:r>
              <w:rPr>
                <w:rFonts w:hint="eastAsia" w:ascii="仿宋_GB2312" w:hAnsi="宋体" w:cs="宋体"/>
                <w:sz w:val="21"/>
                <w:szCs w:val="21"/>
              </w:rPr>
              <w:t>①</w:t>
            </w:r>
            <w:r>
              <w:rPr>
                <w:rFonts w:hint="eastAsia" w:ascii="仿宋_GB2312"/>
                <w:sz w:val="21"/>
                <w:szCs w:val="21"/>
              </w:rPr>
              <w:t>是否已制定或具有相应的业务管理制度；</w:t>
            </w:r>
            <w:r>
              <w:rPr>
                <w:rFonts w:hint="eastAsia" w:ascii="仿宋_GB2312"/>
                <w:sz w:val="21"/>
                <w:szCs w:val="21"/>
              </w:rPr>
              <w:br w:type="textWrapping"/>
            </w:r>
            <w:r>
              <w:rPr>
                <w:rFonts w:hint="eastAsia" w:ascii="仿宋_GB2312" w:hAnsi="宋体" w:cs="宋体"/>
                <w:sz w:val="21"/>
                <w:szCs w:val="21"/>
              </w:rPr>
              <w:t>②</w:t>
            </w:r>
            <w:r>
              <w:rPr>
                <w:rFonts w:hint="eastAsia" w:ascii="仿宋_GB2312"/>
                <w:sz w:val="21"/>
                <w:szCs w:val="21"/>
              </w:rPr>
              <w:t>财务和业务管理制度是否合法、合规、完整。</w:t>
            </w:r>
          </w:p>
        </w:tc>
        <w:tc>
          <w:tcPr>
            <w:tcW w:w="633" w:type="dxa"/>
            <w:noWrap w:val="0"/>
            <w:tcMar>
              <w:top w:w="10" w:type="dxa"/>
              <w:left w:w="10" w:type="dxa"/>
              <w:bottom w:w="0" w:type="dxa"/>
              <w:right w:w="10" w:type="dxa"/>
            </w:tcMar>
            <w:vAlign w:val="center"/>
          </w:tcPr>
          <w:p w14:paraId="7CCDE93A">
            <w:pPr>
              <w:spacing w:line="260" w:lineRule="exact"/>
              <w:ind w:left="160" w:leftChars="50" w:right="160" w:rightChars="50"/>
              <w:rPr>
                <w:rFonts w:hint="default" w:ascii="仿宋_GB2312" w:eastAsia="仿宋_GB2312"/>
                <w:sz w:val="21"/>
                <w:szCs w:val="21"/>
                <w:lang w:val="en-US" w:eastAsia="zh-CN"/>
              </w:rPr>
            </w:pPr>
            <w:r>
              <w:rPr>
                <w:rFonts w:hint="eastAsia" w:ascii="仿宋_GB2312"/>
                <w:sz w:val="21"/>
                <w:szCs w:val="21"/>
                <w:lang w:val="en-US" w:eastAsia="zh-CN"/>
              </w:rPr>
              <w:t xml:space="preserve"> 4</w:t>
            </w:r>
          </w:p>
        </w:tc>
      </w:tr>
      <w:tr w14:paraId="31F11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23" w:hRule="atLeast"/>
          <w:jc w:val="center"/>
        </w:trPr>
        <w:tc>
          <w:tcPr>
            <w:tcW w:w="801" w:type="dxa"/>
            <w:noWrap w:val="0"/>
            <w:vAlign w:val="center"/>
          </w:tcPr>
          <w:p w14:paraId="17A76D52">
            <w:pPr>
              <w:spacing w:line="500" w:lineRule="exact"/>
              <w:jc w:val="center"/>
              <w:rPr>
                <w:rFonts w:hint="eastAsia" w:ascii="仿宋_GB2312"/>
                <w:sz w:val="21"/>
                <w:szCs w:val="21"/>
              </w:rPr>
            </w:pPr>
            <w:r>
              <w:rPr>
                <w:rFonts w:hint="eastAsia" w:ascii="仿宋_GB2312"/>
                <w:sz w:val="21"/>
                <w:szCs w:val="21"/>
              </w:rPr>
              <w:t>过</w:t>
            </w:r>
          </w:p>
          <w:p w14:paraId="5957AF07">
            <w:pPr>
              <w:spacing w:line="500" w:lineRule="exact"/>
              <w:jc w:val="center"/>
              <w:rPr>
                <w:rFonts w:hint="eastAsia" w:ascii="仿宋_GB2312"/>
                <w:sz w:val="21"/>
                <w:szCs w:val="21"/>
              </w:rPr>
            </w:pPr>
            <w:r>
              <w:rPr>
                <w:rFonts w:hint="eastAsia" w:ascii="仿宋_GB2312"/>
                <w:sz w:val="21"/>
                <w:szCs w:val="21"/>
              </w:rPr>
              <w:t>程</w:t>
            </w:r>
          </w:p>
        </w:tc>
        <w:tc>
          <w:tcPr>
            <w:tcW w:w="749" w:type="dxa"/>
            <w:vMerge w:val="continue"/>
            <w:noWrap w:val="0"/>
            <w:vAlign w:val="center"/>
          </w:tcPr>
          <w:p w14:paraId="713F907C">
            <w:pPr>
              <w:rPr>
                <w:rFonts w:hint="eastAsia" w:ascii="仿宋_GB2312"/>
                <w:sz w:val="21"/>
                <w:szCs w:val="21"/>
              </w:rPr>
            </w:pPr>
          </w:p>
        </w:tc>
        <w:tc>
          <w:tcPr>
            <w:tcW w:w="999" w:type="dxa"/>
            <w:noWrap w:val="0"/>
            <w:tcMar>
              <w:top w:w="10" w:type="dxa"/>
              <w:left w:w="10" w:type="dxa"/>
              <w:bottom w:w="0" w:type="dxa"/>
              <w:right w:w="10" w:type="dxa"/>
            </w:tcMar>
            <w:vAlign w:val="center"/>
          </w:tcPr>
          <w:p w14:paraId="360F20EE">
            <w:pPr>
              <w:spacing w:line="260" w:lineRule="exact"/>
              <w:ind w:left="160" w:leftChars="50" w:right="160" w:rightChars="50"/>
              <w:jc w:val="center"/>
              <w:rPr>
                <w:rFonts w:hint="eastAsia" w:ascii="仿宋_GB2312"/>
                <w:sz w:val="21"/>
                <w:szCs w:val="21"/>
              </w:rPr>
            </w:pPr>
            <w:r>
              <w:rPr>
                <w:rFonts w:hint="eastAsia" w:ascii="仿宋_GB2312"/>
                <w:sz w:val="21"/>
                <w:szCs w:val="21"/>
              </w:rPr>
              <w:t>制度</w:t>
            </w:r>
          </w:p>
          <w:p w14:paraId="174F7292">
            <w:pPr>
              <w:spacing w:line="260" w:lineRule="exact"/>
              <w:ind w:left="160" w:leftChars="50" w:right="160" w:rightChars="50"/>
              <w:jc w:val="center"/>
              <w:rPr>
                <w:rFonts w:hint="eastAsia" w:ascii="仿宋_GB2312"/>
                <w:sz w:val="21"/>
                <w:szCs w:val="21"/>
              </w:rPr>
            </w:pPr>
            <w:r>
              <w:rPr>
                <w:rFonts w:hint="eastAsia" w:ascii="仿宋_GB2312"/>
                <w:sz w:val="21"/>
                <w:szCs w:val="21"/>
              </w:rPr>
              <w:t>执行</w:t>
            </w:r>
          </w:p>
          <w:p w14:paraId="4558F45E">
            <w:pPr>
              <w:spacing w:line="260" w:lineRule="exact"/>
              <w:ind w:left="160" w:leftChars="50" w:right="160" w:rightChars="50"/>
              <w:jc w:val="center"/>
              <w:rPr>
                <w:rFonts w:hint="eastAsia" w:ascii="仿宋_GB2312"/>
                <w:sz w:val="21"/>
                <w:szCs w:val="21"/>
              </w:rPr>
            </w:pPr>
            <w:r>
              <w:rPr>
                <w:rFonts w:hint="eastAsia" w:ascii="仿宋_GB2312"/>
                <w:sz w:val="21"/>
                <w:szCs w:val="21"/>
              </w:rPr>
              <w:t>有效性</w:t>
            </w:r>
          </w:p>
        </w:tc>
        <w:tc>
          <w:tcPr>
            <w:tcW w:w="645" w:type="dxa"/>
            <w:noWrap w:val="0"/>
            <w:tcMar>
              <w:top w:w="10" w:type="dxa"/>
              <w:left w:w="10" w:type="dxa"/>
              <w:bottom w:w="0" w:type="dxa"/>
              <w:right w:w="10" w:type="dxa"/>
            </w:tcMar>
            <w:vAlign w:val="center"/>
          </w:tcPr>
          <w:p w14:paraId="62EC52ED">
            <w:pPr>
              <w:spacing w:line="260" w:lineRule="exact"/>
              <w:ind w:left="160" w:leftChars="50" w:right="160" w:rightChars="50"/>
              <w:rPr>
                <w:rFonts w:hint="eastAsia" w:ascii="仿宋_GB2312"/>
                <w:sz w:val="21"/>
                <w:szCs w:val="21"/>
              </w:rPr>
            </w:pPr>
            <w:r>
              <w:rPr>
                <w:rFonts w:hint="eastAsia" w:ascii="仿宋_GB2312"/>
                <w:sz w:val="21"/>
                <w:szCs w:val="21"/>
              </w:rPr>
              <w:t>7</w:t>
            </w:r>
          </w:p>
        </w:tc>
        <w:tc>
          <w:tcPr>
            <w:tcW w:w="2084" w:type="dxa"/>
            <w:noWrap w:val="0"/>
            <w:tcMar>
              <w:top w:w="10" w:type="dxa"/>
              <w:left w:w="10" w:type="dxa"/>
              <w:bottom w:w="0" w:type="dxa"/>
              <w:right w:w="10" w:type="dxa"/>
            </w:tcMar>
            <w:vAlign w:val="center"/>
          </w:tcPr>
          <w:p w14:paraId="1AEA5752">
            <w:pPr>
              <w:spacing w:line="260" w:lineRule="exact"/>
              <w:ind w:left="160" w:leftChars="50" w:right="160" w:rightChars="50"/>
              <w:rPr>
                <w:rFonts w:hint="eastAsia" w:ascii="仿宋_GB2312"/>
                <w:sz w:val="21"/>
                <w:szCs w:val="21"/>
              </w:rPr>
            </w:pPr>
            <w:r>
              <w:rPr>
                <w:rFonts w:hint="eastAsia" w:ascii="仿宋_GB2312"/>
                <w:sz w:val="21"/>
                <w:szCs w:val="21"/>
              </w:rPr>
              <w:t>预算支出实施是否符合相关业务管理规定，用以反映和考核业务管理制度的有效执行情况。</w:t>
            </w:r>
          </w:p>
        </w:tc>
        <w:tc>
          <w:tcPr>
            <w:tcW w:w="2951" w:type="dxa"/>
            <w:noWrap w:val="0"/>
            <w:tcMar>
              <w:top w:w="10" w:type="dxa"/>
              <w:left w:w="10" w:type="dxa"/>
              <w:bottom w:w="0" w:type="dxa"/>
              <w:right w:w="10" w:type="dxa"/>
            </w:tcMar>
            <w:vAlign w:val="center"/>
          </w:tcPr>
          <w:p w14:paraId="367CD68E">
            <w:pPr>
              <w:spacing w:line="260" w:lineRule="exact"/>
              <w:ind w:left="160" w:leftChars="50" w:right="160" w:rightChars="50"/>
              <w:rPr>
                <w:rFonts w:hint="eastAsia" w:ascii="仿宋_GB2312"/>
                <w:sz w:val="21"/>
                <w:szCs w:val="21"/>
              </w:rPr>
            </w:pPr>
            <w:r>
              <w:rPr>
                <w:rFonts w:hint="eastAsia" w:ascii="仿宋_GB2312"/>
                <w:sz w:val="21"/>
                <w:szCs w:val="21"/>
              </w:rPr>
              <w:t>评价要点：</w:t>
            </w:r>
            <w:r>
              <w:rPr>
                <w:rFonts w:hint="eastAsia" w:ascii="仿宋_GB2312"/>
                <w:sz w:val="21"/>
                <w:szCs w:val="21"/>
              </w:rPr>
              <w:br w:type="textWrapping"/>
            </w:r>
            <w:r>
              <w:rPr>
                <w:rFonts w:hint="eastAsia" w:ascii="仿宋_GB2312" w:hAnsi="宋体" w:cs="宋体"/>
                <w:sz w:val="21"/>
                <w:szCs w:val="21"/>
              </w:rPr>
              <w:t>①</w:t>
            </w:r>
            <w:r>
              <w:rPr>
                <w:rFonts w:hint="eastAsia" w:ascii="仿宋_GB2312"/>
                <w:sz w:val="21"/>
                <w:szCs w:val="21"/>
              </w:rPr>
              <w:t>是否遵守相关法律法规和相关管理规定；</w:t>
            </w:r>
            <w:r>
              <w:rPr>
                <w:rFonts w:hint="eastAsia" w:ascii="仿宋_GB2312"/>
                <w:sz w:val="21"/>
                <w:szCs w:val="21"/>
              </w:rPr>
              <w:br w:type="textWrapping"/>
            </w:r>
            <w:r>
              <w:rPr>
                <w:rFonts w:hint="eastAsia" w:ascii="仿宋_GB2312" w:hAnsi="宋体" w:cs="宋体"/>
                <w:sz w:val="21"/>
                <w:szCs w:val="21"/>
              </w:rPr>
              <w:t>②</w:t>
            </w:r>
            <w:r>
              <w:rPr>
                <w:rFonts w:hint="eastAsia" w:ascii="仿宋_GB2312"/>
                <w:sz w:val="21"/>
                <w:szCs w:val="21"/>
              </w:rPr>
              <w:t>预算支出调整及支出调整手续是否完备；</w:t>
            </w:r>
            <w:r>
              <w:rPr>
                <w:rFonts w:hint="eastAsia" w:ascii="仿宋_GB2312"/>
                <w:sz w:val="21"/>
                <w:szCs w:val="21"/>
              </w:rPr>
              <w:br w:type="textWrapping"/>
            </w:r>
            <w:r>
              <w:rPr>
                <w:rFonts w:hint="eastAsia" w:ascii="仿宋_GB2312" w:hAnsi="宋体" w:cs="宋体"/>
                <w:sz w:val="21"/>
                <w:szCs w:val="21"/>
              </w:rPr>
              <w:t>③</w:t>
            </w:r>
            <w:r>
              <w:rPr>
                <w:rFonts w:hint="eastAsia" w:ascii="仿宋_GB2312"/>
                <w:sz w:val="21"/>
                <w:szCs w:val="21"/>
              </w:rPr>
              <w:t>预算支出合同书、验收报告、技术鉴定等资料是否齐全并及时归档；</w:t>
            </w:r>
            <w:r>
              <w:rPr>
                <w:rFonts w:hint="eastAsia" w:ascii="仿宋_GB2312"/>
                <w:sz w:val="21"/>
                <w:szCs w:val="21"/>
              </w:rPr>
              <w:br w:type="textWrapping"/>
            </w:r>
            <w:r>
              <w:rPr>
                <w:rFonts w:hint="eastAsia" w:ascii="仿宋_GB2312" w:hAnsi="宋体" w:cs="宋体"/>
                <w:sz w:val="21"/>
                <w:szCs w:val="21"/>
              </w:rPr>
              <w:t>④</w:t>
            </w:r>
            <w:r>
              <w:rPr>
                <w:rFonts w:hint="eastAsia" w:ascii="仿宋_GB2312"/>
                <w:sz w:val="21"/>
                <w:szCs w:val="21"/>
              </w:rPr>
              <w:t>预算支出实施的人员条件、场地设备、信息支撑等是否落实到位。</w:t>
            </w:r>
          </w:p>
        </w:tc>
        <w:tc>
          <w:tcPr>
            <w:tcW w:w="633" w:type="dxa"/>
            <w:noWrap w:val="0"/>
            <w:tcMar>
              <w:top w:w="10" w:type="dxa"/>
              <w:left w:w="10" w:type="dxa"/>
              <w:bottom w:w="0" w:type="dxa"/>
              <w:right w:w="10" w:type="dxa"/>
            </w:tcMar>
            <w:vAlign w:val="center"/>
          </w:tcPr>
          <w:p w14:paraId="14F78830">
            <w:pPr>
              <w:spacing w:line="260" w:lineRule="exact"/>
              <w:ind w:left="160" w:leftChars="50" w:right="160" w:rightChars="50"/>
              <w:rPr>
                <w:rFonts w:hint="default" w:ascii="仿宋_GB2312" w:eastAsia="仿宋_GB2312"/>
                <w:sz w:val="21"/>
                <w:szCs w:val="21"/>
                <w:lang w:val="en-US" w:eastAsia="zh-CN"/>
              </w:rPr>
            </w:pPr>
            <w:r>
              <w:rPr>
                <w:rFonts w:hint="eastAsia" w:ascii="仿宋_GB2312"/>
                <w:sz w:val="21"/>
                <w:szCs w:val="21"/>
                <w:lang w:val="en-US" w:eastAsia="zh-CN"/>
              </w:rPr>
              <w:t xml:space="preserve"> 7</w:t>
            </w:r>
          </w:p>
        </w:tc>
      </w:tr>
      <w:tr w14:paraId="1C956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11" w:hRule="atLeast"/>
          <w:jc w:val="center"/>
        </w:trPr>
        <w:tc>
          <w:tcPr>
            <w:tcW w:w="801" w:type="dxa"/>
            <w:vMerge w:val="restart"/>
            <w:noWrap/>
            <w:tcMar>
              <w:top w:w="10" w:type="dxa"/>
              <w:left w:w="10" w:type="dxa"/>
              <w:bottom w:w="0" w:type="dxa"/>
              <w:right w:w="10" w:type="dxa"/>
            </w:tcMar>
            <w:textDirection w:val="tbRlV"/>
            <w:vAlign w:val="center"/>
          </w:tcPr>
          <w:p w14:paraId="4F600BFA">
            <w:pPr>
              <w:jc w:val="center"/>
              <w:rPr>
                <w:rFonts w:hint="eastAsia" w:ascii="仿宋_GB2312"/>
                <w:sz w:val="21"/>
                <w:szCs w:val="21"/>
              </w:rPr>
            </w:pPr>
            <w:r>
              <w:rPr>
                <w:rFonts w:hint="eastAsia" w:ascii="仿宋_GB2312"/>
                <w:sz w:val="21"/>
                <w:szCs w:val="21"/>
              </w:rPr>
              <w:t>产   出</w:t>
            </w:r>
          </w:p>
        </w:tc>
        <w:tc>
          <w:tcPr>
            <w:tcW w:w="749" w:type="dxa"/>
            <w:noWrap w:val="0"/>
            <w:tcMar>
              <w:top w:w="10" w:type="dxa"/>
              <w:left w:w="10" w:type="dxa"/>
              <w:bottom w:w="0" w:type="dxa"/>
              <w:right w:w="10" w:type="dxa"/>
            </w:tcMar>
            <w:vAlign w:val="center"/>
          </w:tcPr>
          <w:p w14:paraId="1A866626">
            <w:pPr>
              <w:jc w:val="center"/>
              <w:rPr>
                <w:rFonts w:hint="eastAsia" w:ascii="仿宋_GB2312"/>
                <w:sz w:val="21"/>
                <w:szCs w:val="21"/>
              </w:rPr>
            </w:pPr>
            <w:r>
              <w:rPr>
                <w:rFonts w:hint="eastAsia" w:ascii="仿宋_GB2312"/>
                <w:sz w:val="21"/>
                <w:szCs w:val="21"/>
              </w:rPr>
              <w:t>产出</w:t>
            </w:r>
          </w:p>
          <w:p w14:paraId="6A8F7BD1">
            <w:pPr>
              <w:jc w:val="center"/>
              <w:rPr>
                <w:rFonts w:hint="eastAsia" w:ascii="仿宋_GB2312"/>
                <w:sz w:val="21"/>
                <w:szCs w:val="21"/>
              </w:rPr>
            </w:pPr>
            <w:r>
              <w:rPr>
                <w:rFonts w:hint="eastAsia" w:ascii="仿宋_GB2312"/>
                <w:sz w:val="21"/>
                <w:szCs w:val="21"/>
              </w:rPr>
              <w:t>数量</w:t>
            </w:r>
          </w:p>
        </w:tc>
        <w:tc>
          <w:tcPr>
            <w:tcW w:w="999" w:type="dxa"/>
            <w:noWrap w:val="0"/>
            <w:tcMar>
              <w:top w:w="10" w:type="dxa"/>
              <w:left w:w="10" w:type="dxa"/>
              <w:bottom w:w="0" w:type="dxa"/>
              <w:right w:w="10" w:type="dxa"/>
            </w:tcMar>
            <w:vAlign w:val="center"/>
          </w:tcPr>
          <w:p w14:paraId="220779B1">
            <w:pPr>
              <w:spacing w:line="260" w:lineRule="exact"/>
              <w:ind w:left="160" w:leftChars="50" w:right="160" w:rightChars="50"/>
              <w:jc w:val="center"/>
              <w:rPr>
                <w:rFonts w:hint="eastAsia" w:ascii="仿宋_GB2312"/>
                <w:sz w:val="21"/>
                <w:szCs w:val="21"/>
              </w:rPr>
            </w:pPr>
            <w:r>
              <w:rPr>
                <w:rFonts w:hint="eastAsia" w:ascii="仿宋_GB2312"/>
                <w:sz w:val="21"/>
                <w:szCs w:val="21"/>
              </w:rPr>
              <w:t>实际</w:t>
            </w:r>
          </w:p>
          <w:p w14:paraId="45DB7C0B">
            <w:pPr>
              <w:spacing w:line="260" w:lineRule="exact"/>
              <w:ind w:left="160" w:leftChars="50" w:right="160" w:rightChars="50"/>
              <w:jc w:val="center"/>
              <w:rPr>
                <w:rFonts w:hint="eastAsia" w:ascii="仿宋_GB2312"/>
                <w:sz w:val="21"/>
                <w:szCs w:val="21"/>
              </w:rPr>
            </w:pPr>
            <w:r>
              <w:rPr>
                <w:rFonts w:hint="eastAsia" w:ascii="仿宋_GB2312"/>
                <w:sz w:val="21"/>
                <w:szCs w:val="21"/>
              </w:rPr>
              <w:t>完成率</w:t>
            </w:r>
          </w:p>
        </w:tc>
        <w:tc>
          <w:tcPr>
            <w:tcW w:w="645" w:type="dxa"/>
            <w:noWrap w:val="0"/>
            <w:tcMar>
              <w:top w:w="10" w:type="dxa"/>
              <w:left w:w="10" w:type="dxa"/>
              <w:bottom w:w="0" w:type="dxa"/>
              <w:right w:w="10" w:type="dxa"/>
            </w:tcMar>
            <w:vAlign w:val="center"/>
          </w:tcPr>
          <w:p w14:paraId="75AFB058">
            <w:pPr>
              <w:spacing w:line="260" w:lineRule="exact"/>
              <w:ind w:left="160" w:leftChars="50" w:right="160" w:rightChars="50"/>
              <w:rPr>
                <w:rFonts w:ascii="仿宋_GB2312"/>
                <w:sz w:val="21"/>
                <w:szCs w:val="21"/>
              </w:rPr>
            </w:pPr>
            <w:r>
              <w:rPr>
                <w:rFonts w:hint="eastAsia" w:ascii="仿宋_GB2312"/>
                <w:sz w:val="21"/>
                <w:szCs w:val="21"/>
              </w:rPr>
              <w:t>13</w:t>
            </w:r>
          </w:p>
        </w:tc>
        <w:tc>
          <w:tcPr>
            <w:tcW w:w="2084" w:type="dxa"/>
            <w:noWrap w:val="0"/>
            <w:tcMar>
              <w:top w:w="10" w:type="dxa"/>
              <w:left w:w="10" w:type="dxa"/>
              <w:bottom w:w="0" w:type="dxa"/>
              <w:right w:w="10" w:type="dxa"/>
            </w:tcMar>
            <w:vAlign w:val="center"/>
          </w:tcPr>
          <w:p w14:paraId="3872FA21">
            <w:pPr>
              <w:spacing w:line="260" w:lineRule="exact"/>
              <w:ind w:left="160" w:leftChars="50" w:right="160" w:rightChars="50"/>
              <w:rPr>
                <w:rFonts w:hint="eastAsia" w:ascii="仿宋_GB2312"/>
                <w:sz w:val="21"/>
                <w:szCs w:val="21"/>
              </w:rPr>
            </w:pPr>
            <w:r>
              <w:rPr>
                <w:rFonts w:hint="eastAsia" w:ascii="仿宋_GB2312"/>
                <w:sz w:val="21"/>
                <w:szCs w:val="21"/>
              </w:rPr>
              <w:t>预算支出实施的实际产出数与计划产出数的比率，用以反映和考核预算支出产出数量目标的实现程度。</w:t>
            </w:r>
          </w:p>
        </w:tc>
        <w:tc>
          <w:tcPr>
            <w:tcW w:w="2951" w:type="dxa"/>
            <w:noWrap w:val="0"/>
            <w:tcMar>
              <w:top w:w="10" w:type="dxa"/>
              <w:left w:w="10" w:type="dxa"/>
              <w:bottom w:w="0" w:type="dxa"/>
              <w:right w:w="10" w:type="dxa"/>
            </w:tcMar>
            <w:vAlign w:val="center"/>
          </w:tcPr>
          <w:p w14:paraId="29F3D11C">
            <w:pPr>
              <w:spacing w:line="260" w:lineRule="exact"/>
              <w:ind w:left="160" w:leftChars="50" w:right="160" w:rightChars="50"/>
              <w:rPr>
                <w:rFonts w:hint="eastAsia" w:ascii="仿宋_GB2312"/>
                <w:sz w:val="21"/>
                <w:szCs w:val="21"/>
              </w:rPr>
            </w:pPr>
            <w:r>
              <w:rPr>
                <w:rFonts w:hint="eastAsia" w:ascii="仿宋_GB2312"/>
                <w:sz w:val="21"/>
                <w:szCs w:val="21"/>
              </w:rPr>
              <w:t>实际完成率=（实际产出数/计划产出数）×100%。</w:t>
            </w:r>
            <w:r>
              <w:rPr>
                <w:rFonts w:hint="eastAsia" w:ascii="仿宋_GB2312"/>
                <w:sz w:val="21"/>
                <w:szCs w:val="21"/>
              </w:rPr>
              <w:br w:type="textWrapping"/>
            </w:r>
            <w:r>
              <w:rPr>
                <w:rFonts w:hint="eastAsia" w:ascii="仿宋_GB2312"/>
                <w:sz w:val="21"/>
                <w:szCs w:val="21"/>
              </w:rPr>
              <w:t>实际产出数：一定时期（本年度或预算支出期）内预算支出实际产出的产品或提供的服务数量。</w:t>
            </w:r>
            <w:r>
              <w:rPr>
                <w:rFonts w:hint="eastAsia" w:ascii="仿宋_GB2312"/>
                <w:sz w:val="21"/>
                <w:szCs w:val="21"/>
              </w:rPr>
              <w:br w:type="textWrapping"/>
            </w:r>
            <w:r>
              <w:rPr>
                <w:rFonts w:hint="eastAsia" w:ascii="仿宋_GB2312"/>
                <w:sz w:val="21"/>
                <w:szCs w:val="21"/>
              </w:rPr>
              <w:t>计划产出数：预算支出绩效目标确定的在一定时期（本年度或预算支出期）内计划产出的产品或提供的服务数量。</w:t>
            </w:r>
          </w:p>
        </w:tc>
        <w:tc>
          <w:tcPr>
            <w:tcW w:w="633" w:type="dxa"/>
            <w:noWrap w:val="0"/>
            <w:tcMar>
              <w:top w:w="10" w:type="dxa"/>
              <w:left w:w="10" w:type="dxa"/>
              <w:bottom w:w="0" w:type="dxa"/>
              <w:right w:w="10" w:type="dxa"/>
            </w:tcMar>
            <w:vAlign w:val="center"/>
          </w:tcPr>
          <w:p w14:paraId="08441A68">
            <w:pPr>
              <w:spacing w:line="260" w:lineRule="exact"/>
              <w:ind w:left="160" w:leftChars="50" w:right="160" w:rightChars="50"/>
              <w:rPr>
                <w:rFonts w:hint="default" w:ascii="仿宋_GB2312" w:eastAsia="仿宋_GB2312"/>
                <w:sz w:val="21"/>
                <w:szCs w:val="21"/>
                <w:lang w:val="en-US" w:eastAsia="zh-CN"/>
              </w:rPr>
            </w:pPr>
            <w:r>
              <w:rPr>
                <w:rFonts w:hint="eastAsia" w:ascii="仿宋_GB2312"/>
                <w:sz w:val="21"/>
                <w:szCs w:val="21"/>
                <w:lang w:val="en-US" w:eastAsia="zh-CN"/>
              </w:rPr>
              <w:t xml:space="preserve"> 13</w:t>
            </w:r>
          </w:p>
        </w:tc>
      </w:tr>
      <w:tr w14:paraId="00C42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67" w:hRule="atLeast"/>
          <w:jc w:val="center"/>
        </w:trPr>
        <w:tc>
          <w:tcPr>
            <w:tcW w:w="801" w:type="dxa"/>
            <w:vMerge w:val="continue"/>
            <w:noWrap/>
            <w:tcMar>
              <w:top w:w="10" w:type="dxa"/>
              <w:left w:w="10" w:type="dxa"/>
              <w:bottom w:w="0" w:type="dxa"/>
              <w:right w:w="10" w:type="dxa"/>
            </w:tcMar>
            <w:textDirection w:val="tbRlV"/>
            <w:vAlign w:val="center"/>
          </w:tcPr>
          <w:p w14:paraId="57B5CCB9">
            <w:pPr>
              <w:jc w:val="center"/>
              <w:rPr>
                <w:rFonts w:hint="eastAsia" w:ascii="仿宋_GB2312"/>
                <w:sz w:val="21"/>
                <w:szCs w:val="21"/>
              </w:rPr>
            </w:pPr>
          </w:p>
        </w:tc>
        <w:tc>
          <w:tcPr>
            <w:tcW w:w="749" w:type="dxa"/>
            <w:noWrap w:val="0"/>
            <w:tcMar>
              <w:top w:w="10" w:type="dxa"/>
              <w:left w:w="10" w:type="dxa"/>
              <w:bottom w:w="0" w:type="dxa"/>
              <w:right w:w="10" w:type="dxa"/>
            </w:tcMar>
            <w:vAlign w:val="center"/>
          </w:tcPr>
          <w:p w14:paraId="735DDEA2">
            <w:pPr>
              <w:jc w:val="center"/>
              <w:rPr>
                <w:rFonts w:hint="eastAsia" w:ascii="仿宋_GB2312"/>
                <w:sz w:val="21"/>
                <w:szCs w:val="21"/>
              </w:rPr>
            </w:pPr>
            <w:r>
              <w:rPr>
                <w:rFonts w:hint="eastAsia" w:ascii="仿宋_GB2312"/>
                <w:sz w:val="21"/>
                <w:szCs w:val="21"/>
              </w:rPr>
              <w:t>产出</w:t>
            </w:r>
          </w:p>
          <w:p w14:paraId="70FD02B1">
            <w:pPr>
              <w:jc w:val="center"/>
              <w:rPr>
                <w:rFonts w:hint="eastAsia" w:ascii="仿宋_GB2312"/>
                <w:sz w:val="21"/>
                <w:szCs w:val="21"/>
              </w:rPr>
            </w:pPr>
            <w:r>
              <w:rPr>
                <w:rFonts w:hint="eastAsia" w:ascii="仿宋_GB2312"/>
                <w:sz w:val="21"/>
                <w:szCs w:val="21"/>
              </w:rPr>
              <w:t>质量</w:t>
            </w:r>
          </w:p>
        </w:tc>
        <w:tc>
          <w:tcPr>
            <w:tcW w:w="999" w:type="dxa"/>
            <w:noWrap w:val="0"/>
            <w:tcMar>
              <w:top w:w="10" w:type="dxa"/>
              <w:left w:w="10" w:type="dxa"/>
              <w:bottom w:w="0" w:type="dxa"/>
              <w:right w:w="10" w:type="dxa"/>
            </w:tcMar>
            <w:vAlign w:val="center"/>
          </w:tcPr>
          <w:p w14:paraId="121C0AE6">
            <w:pPr>
              <w:spacing w:line="260" w:lineRule="exact"/>
              <w:ind w:left="160" w:leftChars="50" w:right="160" w:rightChars="50"/>
              <w:jc w:val="center"/>
              <w:rPr>
                <w:rFonts w:hint="eastAsia" w:ascii="仿宋_GB2312"/>
                <w:sz w:val="21"/>
                <w:szCs w:val="21"/>
              </w:rPr>
            </w:pPr>
            <w:r>
              <w:rPr>
                <w:rFonts w:hint="eastAsia" w:ascii="仿宋_GB2312"/>
                <w:sz w:val="21"/>
                <w:szCs w:val="21"/>
              </w:rPr>
              <w:t>质量</w:t>
            </w:r>
          </w:p>
          <w:p w14:paraId="0E549572">
            <w:pPr>
              <w:spacing w:line="260" w:lineRule="exact"/>
              <w:ind w:left="160" w:leftChars="50" w:right="160" w:rightChars="50"/>
              <w:jc w:val="center"/>
              <w:rPr>
                <w:rFonts w:hint="eastAsia" w:ascii="仿宋_GB2312"/>
                <w:sz w:val="21"/>
                <w:szCs w:val="21"/>
              </w:rPr>
            </w:pPr>
            <w:r>
              <w:rPr>
                <w:rFonts w:hint="eastAsia" w:ascii="仿宋_GB2312"/>
                <w:sz w:val="21"/>
                <w:szCs w:val="21"/>
              </w:rPr>
              <w:t>达标率</w:t>
            </w:r>
          </w:p>
        </w:tc>
        <w:tc>
          <w:tcPr>
            <w:tcW w:w="645" w:type="dxa"/>
            <w:noWrap w:val="0"/>
            <w:tcMar>
              <w:top w:w="10" w:type="dxa"/>
              <w:left w:w="10" w:type="dxa"/>
              <w:bottom w:w="0" w:type="dxa"/>
              <w:right w:w="10" w:type="dxa"/>
            </w:tcMar>
            <w:vAlign w:val="center"/>
          </w:tcPr>
          <w:p w14:paraId="4E9704D4">
            <w:pPr>
              <w:spacing w:line="260" w:lineRule="exact"/>
              <w:ind w:left="160" w:leftChars="50" w:right="160" w:rightChars="50"/>
              <w:rPr>
                <w:rFonts w:ascii="仿宋_GB2312"/>
                <w:sz w:val="21"/>
                <w:szCs w:val="21"/>
              </w:rPr>
            </w:pPr>
            <w:r>
              <w:rPr>
                <w:rFonts w:hint="eastAsia" w:ascii="仿宋_GB2312"/>
                <w:sz w:val="21"/>
                <w:szCs w:val="21"/>
              </w:rPr>
              <w:t>12</w:t>
            </w:r>
          </w:p>
        </w:tc>
        <w:tc>
          <w:tcPr>
            <w:tcW w:w="2084" w:type="dxa"/>
            <w:noWrap w:val="0"/>
            <w:tcMar>
              <w:top w:w="10" w:type="dxa"/>
              <w:left w:w="10" w:type="dxa"/>
              <w:bottom w:w="0" w:type="dxa"/>
              <w:right w:w="10" w:type="dxa"/>
            </w:tcMar>
            <w:vAlign w:val="center"/>
          </w:tcPr>
          <w:p w14:paraId="05A64D5F">
            <w:pPr>
              <w:spacing w:line="260" w:lineRule="exact"/>
              <w:ind w:left="160" w:leftChars="50" w:right="160" w:rightChars="50"/>
              <w:rPr>
                <w:rFonts w:hint="eastAsia" w:ascii="仿宋_GB2312"/>
                <w:sz w:val="21"/>
                <w:szCs w:val="21"/>
              </w:rPr>
            </w:pPr>
            <w:r>
              <w:rPr>
                <w:rFonts w:hint="eastAsia" w:ascii="仿宋_GB2312"/>
                <w:sz w:val="21"/>
                <w:szCs w:val="21"/>
              </w:rPr>
              <w:t>预算支出完成的质量达标产出数与实际产出数的比率，用以反映和考核预算支出产出质量目标的实现程度。</w:t>
            </w:r>
          </w:p>
        </w:tc>
        <w:tc>
          <w:tcPr>
            <w:tcW w:w="2951" w:type="dxa"/>
            <w:noWrap w:val="0"/>
            <w:tcMar>
              <w:top w:w="10" w:type="dxa"/>
              <w:left w:w="10" w:type="dxa"/>
              <w:bottom w:w="0" w:type="dxa"/>
              <w:right w:w="10" w:type="dxa"/>
            </w:tcMar>
            <w:vAlign w:val="center"/>
          </w:tcPr>
          <w:p w14:paraId="02C17405">
            <w:pPr>
              <w:spacing w:line="260" w:lineRule="exact"/>
              <w:ind w:left="160" w:leftChars="50" w:right="160" w:rightChars="50"/>
              <w:rPr>
                <w:rFonts w:hint="eastAsia" w:ascii="仿宋_GB2312"/>
                <w:sz w:val="21"/>
                <w:szCs w:val="21"/>
              </w:rPr>
            </w:pPr>
            <w:r>
              <w:rPr>
                <w:rFonts w:hint="eastAsia" w:ascii="仿宋_GB2312"/>
                <w:sz w:val="21"/>
                <w:szCs w:val="21"/>
              </w:rPr>
              <w:t>质量达标率=（质量达标产出数/实际产出数）×100%。</w:t>
            </w:r>
            <w:r>
              <w:rPr>
                <w:rFonts w:hint="eastAsia" w:ascii="仿宋_GB2312"/>
                <w:sz w:val="21"/>
                <w:szCs w:val="21"/>
              </w:rPr>
              <w:br w:type="textWrapping"/>
            </w:r>
            <w:r>
              <w:rPr>
                <w:rFonts w:hint="eastAsia" w:ascii="仿宋_GB2312"/>
                <w:sz w:val="21"/>
                <w:szCs w:val="21"/>
              </w:rPr>
              <w:t>质量达标产出数：一定时期（本年度或预算支出期）内实际达到既定质量标准的产品或服务数量。既定质量标准是指预算支出实施单位设立绩效目标时依据计划标准、行业标准、历史标准或其他标准而设定的绩效指标值。</w:t>
            </w:r>
          </w:p>
        </w:tc>
        <w:tc>
          <w:tcPr>
            <w:tcW w:w="633" w:type="dxa"/>
            <w:noWrap w:val="0"/>
            <w:tcMar>
              <w:top w:w="10" w:type="dxa"/>
              <w:left w:w="10" w:type="dxa"/>
              <w:bottom w:w="0" w:type="dxa"/>
              <w:right w:w="10" w:type="dxa"/>
            </w:tcMar>
            <w:vAlign w:val="center"/>
          </w:tcPr>
          <w:p w14:paraId="29D076DA">
            <w:pPr>
              <w:spacing w:line="260" w:lineRule="exact"/>
              <w:ind w:left="160" w:leftChars="50" w:right="160" w:rightChars="50"/>
              <w:rPr>
                <w:rFonts w:hint="default" w:ascii="仿宋_GB2312" w:eastAsia="仿宋_GB2312"/>
                <w:sz w:val="21"/>
                <w:szCs w:val="21"/>
                <w:lang w:val="en-US" w:eastAsia="zh-CN"/>
              </w:rPr>
            </w:pPr>
            <w:r>
              <w:rPr>
                <w:rFonts w:hint="eastAsia" w:ascii="仿宋_GB2312"/>
                <w:sz w:val="21"/>
                <w:szCs w:val="21"/>
                <w:lang w:val="en-US" w:eastAsia="zh-CN"/>
              </w:rPr>
              <w:t xml:space="preserve"> 12</w:t>
            </w:r>
          </w:p>
        </w:tc>
      </w:tr>
      <w:tr w14:paraId="22483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84" w:hRule="atLeast"/>
          <w:jc w:val="center"/>
        </w:trPr>
        <w:tc>
          <w:tcPr>
            <w:tcW w:w="801" w:type="dxa"/>
            <w:vMerge w:val="continue"/>
            <w:noWrap w:val="0"/>
            <w:vAlign w:val="center"/>
          </w:tcPr>
          <w:p w14:paraId="723E725D">
            <w:pPr>
              <w:rPr>
                <w:rFonts w:hint="eastAsia" w:ascii="仿宋_GB2312"/>
                <w:sz w:val="21"/>
                <w:szCs w:val="21"/>
              </w:rPr>
            </w:pPr>
          </w:p>
        </w:tc>
        <w:tc>
          <w:tcPr>
            <w:tcW w:w="749" w:type="dxa"/>
            <w:noWrap w:val="0"/>
            <w:vAlign w:val="center"/>
          </w:tcPr>
          <w:p w14:paraId="331C43B5">
            <w:pPr>
              <w:jc w:val="center"/>
              <w:rPr>
                <w:rFonts w:hint="eastAsia" w:ascii="仿宋_GB2312"/>
                <w:sz w:val="21"/>
                <w:szCs w:val="21"/>
              </w:rPr>
            </w:pPr>
            <w:r>
              <w:rPr>
                <w:rFonts w:hint="eastAsia" w:ascii="仿宋_GB2312"/>
                <w:sz w:val="21"/>
                <w:szCs w:val="21"/>
              </w:rPr>
              <w:t>产出</w:t>
            </w:r>
          </w:p>
          <w:p w14:paraId="3D17EF37">
            <w:pPr>
              <w:jc w:val="center"/>
              <w:rPr>
                <w:rFonts w:hint="eastAsia" w:ascii="仿宋_GB2312"/>
                <w:sz w:val="21"/>
                <w:szCs w:val="21"/>
              </w:rPr>
            </w:pPr>
            <w:r>
              <w:rPr>
                <w:rFonts w:hint="eastAsia" w:ascii="仿宋_GB2312"/>
                <w:sz w:val="21"/>
                <w:szCs w:val="21"/>
              </w:rPr>
              <w:t>时效</w:t>
            </w:r>
          </w:p>
        </w:tc>
        <w:tc>
          <w:tcPr>
            <w:tcW w:w="999" w:type="dxa"/>
            <w:noWrap w:val="0"/>
            <w:tcMar>
              <w:top w:w="10" w:type="dxa"/>
              <w:left w:w="10" w:type="dxa"/>
              <w:bottom w:w="0" w:type="dxa"/>
              <w:right w:w="10" w:type="dxa"/>
            </w:tcMar>
            <w:vAlign w:val="center"/>
          </w:tcPr>
          <w:p w14:paraId="43BB9CFF">
            <w:pPr>
              <w:spacing w:line="260" w:lineRule="exact"/>
              <w:ind w:left="160" w:leftChars="50" w:right="160" w:rightChars="50"/>
              <w:jc w:val="center"/>
              <w:rPr>
                <w:rFonts w:hint="eastAsia" w:ascii="仿宋_GB2312"/>
                <w:sz w:val="21"/>
                <w:szCs w:val="21"/>
              </w:rPr>
            </w:pPr>
            <w:r>
              <w:rPr>
                <w:rFonts w:hint="eastAsia" w:ascii="仿宋_GB2312"/>
                <w:sz w:val="21"/>
                <w:szCs w:val="21"/>
              </w:rPr>
              <w:t>完成</w:t>
            </w:r>
          </w:p>
          <w:p w14:paraId="0B84EAD0">
            <w:pPr>
              <w:spacing w:line="260" w:lineRule="exact"/>
              <w:ind w:left="160" w:leftChars="50" w:right="160" w:rightChars="50"/>
              <w:jc w:val="center"/>
              <w:rPr>
                <w:rFonts w:hint="eastAsia" w:ascii="仿宋_GB2312"/>
                <w:sz w:val="21"/>
                <w:szCs w:val="21"/>
              </w:rPr>
            </w:pPr>
            <w:r>
              <w:rPr>
                <w:rFonts w:hint="eastAsia" w:ascii="仿宋_GB2312"/>
                <w:sz w:val="21"/>
                <w:szCs w:val="21"/>
              </w:rPr>
              <w:t>及时性</w:t>
            </w:r>
          </w:p>
        </w:tc>
        <w:tc>
          <w:tcPr>
            <w:tcW w:w="645" w:type="dxa"/>
            <w:noWrap w:val="0"/>
            <w:tcMar>
              <w:top w:w="10" w:type="dxa"/>
              <w:left w:w="10" w:type="dxa"/>
              <w:bottom w:w="0" w:type="dxa"/>
              <w:right w:w="10" w:type="dxa"/>
            </w:tcMar>
            <w:vAlign w:val="center"/>
          </w:tcPr>
          <w:p w14:paraId="2FB80AD0">
            <w:pPr>
              <w:spacing w:line="260" w:lineRule="exact"/>
              <w:ind w:left="160" w:leftChars="50" w:right="160" w:rightChars="50"/>
              <w:rPr>
                <w:rFonts w:hint="eastAsia" w:ascii="仿宋_GB2312"/>
                <w:sz w:val="21"/>
                <w:szCs w:val="21"/>
              </w:rPr>
            </w:pPr>
            <w:r>
              <w:rPr>
                <w:rFonts w:hint="eastAsia" w:ascii="仿宋_GB2312"/>
                <w:sz w:val="21"/>
                <w:szCs w:val="21"/>
              </w:rPr>
              <w:t>5</w:t>
            </w:r>
          </w:p>
        </w:tc>
        <w:tc>
          <w:tcPr>
            <w:tcW w:w="2084" w:type="dxa"/>
            <w:noWrap w:val="0"/>
            <w:tcMar>
              <w:top w:w="10" w:type="dxa"/>
              <w:left w:w="10" w:type="dxa"/>
              <w:bottom w:w="0" w:type="dxa"/>
              <w:right w:w="10" w:type="dxa"/>
            </w:tcMar>
            <w:vAlign w:val="center"/>
          </w:tcPr>
          <w:p w14:paraId="6606DA3E">
            <w:pPr>
              <w:spacing w:line="260" w:lineRule="exact"/>
              <w:ind w:left="160" w:leftChars="50" w:right="160" w:rightChars="50"/>
              <w:rPr>
                <w:rFonts w:hint="eastAsia" w:ascii="仿宋_GB2312"/>
                <w:sz w:val="21"/>
                <w:szCs w:val="21"/>
              </w:rPr>
            </w:pPr>
            <w:r>
              <w:rPr>
                <w:rFonts w:hint="eastAsia" w:ascii="仿宋_GB2312"/>
                <w:sz w:val="21"/>
                <w:szCs w:val="21"/>
              </w:rPr>
              <w:t>预算支出实际完成时间与计划完成时间的比较，用以反映和考核预算支出产出时效目标的实现程度。</w:t>
            </w:r>
          </w:p>
        </w:tc>
        <w:tc>
          <w:tcPr>
            <w:tcW w:w="2951" w:type="dxa"/>
            <w:noWrap w:val="0"/>
            <w:tcMar>
              <w:top w:w="10" w:type="dxa"/>
              <w:left w:w="10" w:type="dxa"/>
              <w:bottom w:w="0" w:type="dxa"/>
              <w:right w:w="10" w:type="dxa"/>
            </w:tcMar>
            <w:vAlign w:val="center"/>
          </w:tcPr>
          <w:p w14:paraId="3933C788">
            <w:pPr>
              <w:spacing w:line="260" w:lineRule="exact"/>
              <w:ind w:left="160" w:leftChars="50" w:right="160" w:rightChars="50"/>
              <w:rPr>
                <w:rFonts w:hint="eastAsia" w:ascii="仿宋_GB2312"/>
                <w:sz w:val="21"/>
                <w:szCs w:val="21"/>
              </w:rPr>
            </w:pPr>
            <w:r>
              <w:rPr>
                <w:rFonts w:hint="eastAsia" w:ascii="仿宋_GB2312"/>
                <w:sz w:val="21"/>
                <w:szCs w:val="21"/>
              </w:rPr>
              <w:t>实际完成时间：预算支出实施单位完成该预算支出实际所耗用的时间。</w:t>
            </w:r>
            <w:r>
              <w:rPr>
                <w:rFonts w:hint="eastAsia" w:ascii="仿宋_GB2312"/>
                <w:sz w:val="21"/>
                <w:szCs w:val="21"/>
              </w:rPr>
              <w:br w:type="textWrapping"/>
            </w:r>
            <w:r>
              <w:rPr>
                <w:rFonts w:hint="eastAsia" w:ascii="仿宋_GB2312"/>
                <w:sz w:val="21"/>
                <w:szCs w:val="21"/>
              </w:rPr>
              <w:t>计划完成时间：按照预算支出实施计划或相关规定完成该预算支出所需的时间。</w:t>
            </w:r>
          </w:p>
        </w:tc>
        <w:tc>
          <w:tcPr>
            <w:tcW w:w="633" w:type="dxa"/>
            <w:noWrap w:val="0"/>
            <w:tcMar>
              <w:top w:w="10" w:type="dxa"/>
              <w:left w:w="10" w:type="dxa"/>
              <w:bottom w:w="0" w:type="dxa"/>
              <w:right w:w="10" w:type="dxa"/>
            </w:tcMar>
            <w:vAlign w:val="center"/>
          </w:tcPr>
          <w:p w14:paraId="532B25B7">
            <w:pPr>
              <w:spacing w:line="260" w:lineRule="exact"/>
              <w:ind w:left="160" w:leftChars="50" w:right="160" w:rightChars="50"/>
              <w:rPr>
                <w:rFonts w:hint="default" w:ascii="仿宋_GB2312" w:eastAsia="仿宋_GB2312"/>
                <w:sz w:val="21"/>
                <w:szCs w:val="21"/>
                <w:lang w:val="en-US" w:eastAsia="zh-CN"/>
              </w:rPr>
            </w:pPr>
            <w:r>
              <w:rPr>
                <w:rFonts w:hint="eastAsia" w:ascii="仿宋_GB2312"/>
                <w:sz w:val="21"/>
                <w:szCs w:val="21"/>
                <w:lang w:val="en-US" w:eastAsia="zh-CN"/>
              </w:rPr>
              <w:t xml:space="preserve"> 5</w:t>
            </w:r>
          </w:p>
        </w:tc>
      </w:tr>
      <w:tr w14:paraId="4BF46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801" w:type="dxa"/>
            <w:vMerge w:val="continue"/>
            <w:noWrap w:val="0"/>
            <w:vAlign w:val="center"/>
          </w:tcPr>
          <w:p w14:paraId="4DE11B1E">
            <w:pPr>
              <w:spacing w:line="500" w:lineRule="exact"/>
              <w:ind w:left="113"/>
              <w:jc w:val="center"/>
              <w:rPr>
                <w:rFonts w:hint="eastAsia" w:ascii="仿宋_GB2312"/>
                <w:sz w:val="21"/>
                <w:szCs w:val="21"/>
              </w:rPr>
            </w:pPr>
          </w:p>
        </w:tc>
        <w:tc>
          <w:tcPr>
            <w:tcW w:w="749" w:type="dxa"/>
            <w:noWrap w:val="0"/>
            <w:vAlign w:val="center"/>
          </w:tcPr>
          <w:p w14:paraId="1280C792">
            <w:pPr>
              <w:jc w:val="center"/>
              <w:rPr>
                <w:rFonts w:hint="eastAsia" w:ascii="仿宋_GB2312"/>
                <w:sz w:val="21"/>
                <w:szCs w:val="21"/>
              </w:rPr>
            </w:pPr>
            <w:r>
              <w:rPr>
                <w:rFonts w:hint="eastAsia" w:ascii="仿宋_GB2312"/>
                <w:sz w:val="21"/>
                <w:szCs w:val="21"/>
              </w:rPr>
              <w:t>产出</w:t>
            </w:r>
          </w:p>
          <w:p w14:paraId="192C34BD">
            <w:pPr>
              <w:jc w:val="center"/>
              <w:rPr>
                <w:rFonts w:hint="eastAsia" w:ascii="仿宋_GB2312"/>
                <w:sz w:val="21"/>
                <w:szCs w:val="21"/>
              </w:rPr>
            </w:pPr>
            <w:r>
              <w:rPr>
                <w:rFonts w:hint="eastAsia" w:ascii="仿宋_GB2312"/>
                <w:sz w:val="21"/>
                <w:szCs w:val="21"/>
              </w:rPr>
              <w:t>成本</w:t>
            </w:r>
          </w:p>
        </w:tc>
        <w:tc>
          <w:tcPr>
            <w:tcW w:w="999" w:type="dxa"/>
            <w:noWrap w:val="0"/>
            <w:tcMar>
              <w:top w:w="10" w:type="dxa"/>
              <w:left w:w="10" w:type="dxa"/>
              <w:bottom w:w="0" w:type="dxa"/>
              <w:right w:w="10" w:type="dxa"/>
            </w:tcMar>
            <w:vAlign w:val="center"/>
          </w:tcPr>
          <w:p w14:paraId="1F574756">
            <w:pPr>
              <w:spacing w:line="260" w:lineRule="exact"/>
              <w:ind w:left="160" w:leftChars="50" w:right="160" w:rightChars="50"/>
              <w:jc w:val="center"/>
              <w:rPr>
                <w:rFonts w:hint="eastAsia" w:ascii="仿宋_GB2312"/>
                <w:sz w:val="21"/>
                <w:szCs w:val="21"/>
              </w:rPr>
            </w:pPr>
            <w:r>
              <w:rPr>
                <w:rFonts w:hint="eastAsia" w:ascii="仿宋_GB2312"/>
                <w:sz w:val="21"/>
                <w:szCs w:val="21"/>
              </w:rPr>
              <w:t>成本</w:t>
            </w:r>
          </w:p>
          <w:p w14:paraId="05B5D199">
            <w:pPr>
              <w:spacing w:line="260" w:lineRule="exact"/>
              <w:ind w:left="160" w:leftChars="50" w:right="160" w:rightChars="50"/>
              <w:jc w:val="center"/>
              <w:rPr>
                <w:rFonts w:hint="eastAsia" w:ascii="仿宋_GB2312"/>
                <w:sz w:val="21"/>
                <w:szCs w:val="21"/>
              </w:rPr>
            </w:pPr>
            <w:r>
              <w:rPr>
                <w:rFonts w:hint="eastAsia" w:ascii="仿宋_GB2312"/>
                <w:sz w:val="21"/>
                <w:szCs w:val="21"/>
              </w:rPr>
              <w:t>节约率</w:t>
            </w:r>
          </w:p>
        </w:tc>
        <w:tc>
          <w:tcPr>
            <w:tcW w:w="645" w:type="dxa"/>
            <w:noWrap w:val="0"/>
            <w:tcMar>
              <w:top w:w="10" w:type="dxa"/>
              <w:left w:w="10" w:type="dxa"/>
              <w:bottom w:w="0" w:type="dxa"/>
              <w:right w:w="10" w:type="dxa"/>
            </w:tcMar>
            <w:vAlign w:val="center"/>
          </w:tcPr>
          <w:p w14:paraId="4DB489E4">
            <w:pPr>
              <w:spacing w:line="260" w:lineRule="exact"/>
              <w:ind w:left="160" w:leftChars="50" w:right="160" w:rightChars="50"/>
              <w:rPr>
                <w:rFonts w:hint="eastAsia" w:ascii="仿宋_GB2312"/>
                <w:sz w:val="21"/>
                <w:szCs w:val="21"/>
              </w:rPr>
            </w:pPr>
            <w:r>
              <w:rPr>
                <w:rFonts w:hint="eastAsia" w:ascii="仿宋_GB2312"/>
                <w:sz w:val="21"/>
                <w:szCs w:val="21"/>
              </w:rPr>
              <w:t>5</w:t>
            </w:r>
          </w:p>
        </w:tc>
        <w:tc>
          <w:tcPr>
            <w:tcW w:w="2084" w:type="dxa"/>
            <w:noWrap w:val="0"/>
            <w:tcMar>
              <w:top w:w="10" w:type="dxa"/>
              <w:left w:w="10" w:type="dxa"/>
              <w:bottom w:w="0" w:type="dxa"/>
              <w:right w:w="10" w:type="dxa"/>
            </w:tcMar>
            <w:vAlign w:val="center"/>
          </w:tcPr>
          <w:p w14:paraId="3EC2CBCC">
            <w:pPr>
              <w:spacing w:line="260" w:lineRule="exact"/>
              <w:ind w:left="160" w:leftChars="50" w:right="160" w:rightChars="50"/>
              <w:rPr>
                <w:rFonts w:hint="eastAsia" w:ascii="仿宋_GB2312"/>
                <w:sz w:val="21"/>
                <w:szCs w:val="21"/>
              </w:rPr>
            </w:pPr>
            <w:r>
              <w:rPr>
                <w:rFonts w:hint="eastAsia" w:ascii="仿宋_GB2312"/>
                <w:sz w:val="21"/>
                <w:szCs w:val="21"/>
              </w:rPr>
              <w:t>完成预算支出计划工作目标的实际节约成本与计划成本的比率，用以反映和考核预算支出的成本节约程度。</w:t>
            </w:r>
          </w:p>
        </w:tc>
        <w:tc>
          <w:tcPr>
            <w:tcW w:w="2951" w:type="dxa"/>
            <w:noWrap w:val="0"/>
            <w:tcMar>
              <w:top w:w="10" w:type="dxa"/>
              <w:left w:w="10" w:type="dxa"/>
              <w:bottom w:w="0" w:type="dxa"/>
              <w:right w:w="10" w:type="dxa"/>
            </w:tcMar>
            <w:vAlign w:val="center"/>
          </w:tcPr>
          <w:p w14:paraId="383342ED">
            <w:pPr>
              <w:spacing w:line="260" w:lineRule="exact"/>
              <w:ind w:left="160" w:leftChars="50" w:right="160" w:rightChars="50"/>
              <w:rPr>
                <w:rFonts w:hint="eastAsia" w:ascii="仿宋_GB2312"/>
                <w:sz w:val="21"/>
                <w:szCs w:val="21"/>
              </w:rPr>
            </w:pPr>
            <w:r>
              <w:rPr>
                <w:rFonts w:hint="eastAsia" w:ascii="仿宋_GB2312"/>
                <w:sz w:val="21"/>
                <w:szCs w:val="21"/>
              </w:rPr>
              <w:t>成本节约率=[（计划成本-实际成本）/计划成本]×100%。</w:t>
            </w:r>
            <w:r>
              <w:rPr>
                <w:rFonts w:hint="eastAsia" w:ascii="仿宋_GB2312"/>
                <w:sz w:val="21"/>
                <w:szCs w:val="21"/>
              </w:rPr>
              <w:br w:type="textWrapping"/>
            </w:r>
            <w:r>
              <w:rPr>
                <w:rFonts w:hint="eastAsia" w:ascii="仿宋_GB2312"/>
                <w:sz w:val="21"/>
                <w:szCs w:val="21"/>
              </w:rPr>
              <w:t>实际成本：预算支出实施单位如期、保质、保量完成既定工作目标实际所耗费的支出。</w:t>
            </w:r>
            <w:r>
              <w:rPr>
                <w:rFonts w:hint="eastAsia" w:ascii="仿宋_GB2312"/>
                <w:sz w:val="21"/>
                <w:szCs w:val="21"/>
              </w:rPr>
              <w:br w:type="textWrapping"/>
            </w:r>
            <w:r>
              <w:rPr>
                <w:rFonts w:hint="eastAsia" w:ascii="仿宋_GB2312"/>
                <w:sz w:val="21"/>
                <w:szCs w:val="21"/>
              </w:rPr>
              <w:t>计划成本：预算支出实施单位为完成工作目标计划安排的支出，一般以预算支出预算为参考。</w:t>
            </w:r>
          </w:p>
        </w:tc>
        <w:tc>
          <w:tcPr>
            <w:tcW w:w="633" w:type="dxa"/>
            <w:noWrap w:val="0"/>
            <w:tcMar>
              <w:top w:w="10" w:type="dxa"/>
              <w:left w:w="10" w:type="dxa"/>
              <w:bottom w:w="0" w:type="dxa"/>
              <w:right w:w="10" w:type="dxa"/>
            </w:tcMar>
            <w:vAlign w:val="center"/>
          </w:tcPr>
          <w:p w14:paraId="7B80BC2D">
            <w:pPr>
              <w:spacing w:line="260" w:lineRule="exact"/>
              <w:ind w:left="160" w:leftChars="50" w:right="160" w:rightChars="50"/>
              <w:rPr>
                <w:rFonts w:hint="default" w:ascii="仿宋_GB2312" w:eastAsia="仿宋_GB2312"/>
                <w:sz w:val="21"/>
                <w:szCs w:val="21"/>
                <w:lang w:val="en-US" w:eastAsia="zh-CN"/>
              </w:rPr>
            </w:pPr>
            <w:r>
              <w:rPr>
                <w:rFonts w:hint="eastAsia" w:ascii="仿宋_GB2312"/>
                <w:sz w:val="21"/>
                <w:szCs w:val="21"/>
                <w:lang w:val="en-US" w:eastAsia="zh-CN"/>
              </w:rPr>
              <w:t xml:space="preserve"> 4</w:t>
            </w:r>
          </w:p>
        </w:tc>
      </w:tr>
      <w:tr w14:paraId="3D44C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801" w:type="dxa"/>
            <w:vMerge w:val="restart"/>
            <w:noWrap/>
            <w:tcMar>
              <w:top w:w="10" w:type="dxa"/>
              <w:left w:w="10" w:type="dxa"/>
              <w:bottom w:w="0" w:type="dxa"/>
              <w:right w:w="10" w:type="dxa"/>
            </w:tcMar>
            <w:textDirection w:val="tbRlV"/>
            <w:vAlign w:val="center"/>
          </w:tcPr>
          <w:p w14:paraId="00CF04BA">
            <w:pPr>
              <w:jc w:val="center"/>
              <w:rPr>
                <w:rFonts w:hint="eastAsia" w:ascii="仿宋_GB2312"/>
                <w:sz w:val="21"/>
                <w:szCs w:val="21"/>
              </w:rPr>
            </w:pPr>
            <w:r>
              <w:rPr>
                <w:rFonts w:hint="eastAsia" w:ascii="仿宋_GB2312"/>
                <w:sz w:val="21"/>
                <w:szCs w:val="21"/>
              </w:rPr>
              <w:t>效   益</w:t>
            </w:r>
          </w:p>
        </w:tc>
        <w:tc>
          <w:tcPr>
            <w:tcW w:w="749" w:type="dxa"/>
            <w:vMerge w:val="restart"/>
            <w:noWrap w:val="0"/>
            <w:tcMar>
              <w:top w:w="10" w:type="dxa"/>
              <w:left w:w="10" w:type="dxa"/>
              <w:bottom w:w="0" w:type="dxa"/>
              <w:right w:w="10" w:type="dxa"/>
            </w:tcMar>
            <w:vAlign w:val="center"/>
          </w:tcPr>
          <w:p w14:paraId="70AB520C">
            <w:pPr>
              <w:jc w:val="center"/>
              <w:rPr>
                <w:rFonts w:hint="eastAsia" w:ascii="仿宋_GB2312"/>
                <w:sz w:val="21"/>
                <w:szCs w:val="21"/>
              </w:rPr>
            </w:pPr>
            <w:r>
              <w:rPr>
                <w:rFonts w:hint="eastAsia" w:ascii="仿宋_GB2312"/>
                <w:sz w:val="21"/>
                <w:szCs w:val="21"/>
              </w:rPr>
              <w:t>预算</w:t>
            </w:r>
          </w:p>
          <w:p w14:paraId="628EEA5A">
            <w:pPr>
              <w:jc w:val="center"/>
              <w:rPr>
                <w:rFonts w:hint="eastAsia" w:ascii="仿宋_GB2312"/>
                <w:sz w:val="21"/>
                <w:szCs w:val="21"/>
              </w:rPr>
            </w:pPr>
            <w:r>
              <w:rPr>
                <w:rFonts w:hint="eastAsia" w:ascii="仿宋_GB2312"/>
                <w:sz w:val="21"/>
                <w:szCs w:val="21"/>
              </w:rPr>
              <w:t>支出</w:t>
            </w:r>
            <w:r>
              <w:rPr>
                <w:rFonts w:hint="eastAsia" w:ascii="仿宋_GB2312"/>
                <w:sz w:val="21"/>
                <w:szCs w:val="21"/>
              </w:rPr>
              <w:br w:type="textWrapping"/>
            </w:r>
            <w:r>
              <w:rPr>
                <w:rFonts w:hint="eastAsia" w:ascii="仿宋_GB2312"/>
                <w:sz w:val="21"/>
                <w:szCs w:val="21"/>
              </w:rPr>
              <w:t>效益</w:t>
            </w:r>
          </w:p>
        </w:tc>
        <w:tc>
          <w:tcPr>
            <w:tcW w:w="999" w:type="dxa"/>
            <w:noWrap w:val="0"/>
            <w:tcMar>
              <w:top w:w="10" w:type="dxa"/>
              <w:left w:w="10" w:type="dxa"/>
              <w:bottom w:w="0" w:type="dxa"/>
              <w:right w:w="10" w:type="dxa"/>
            </w:tcMar>
            <w:vAlign w:val="center"/>
          </w:tcPr>
          <w:p w14:paraId="5C9B5506">
            <w:pPr>
              <w:spacing w:line="260" w:lineRule="exact"/>
              <w:ind w:left="160" w:leftChars="50" w:right="160" w:rightChars="50"/>
              <w:jc w:val="center"/>
              <w:rPr>
                <w:rFonts w:hint="eastAsia" w:ascii="仿宋_GB2312"/>
                <w:sz w:val="21"/>
                <w:szCs w:val="21"/>
              </w:rPr>
            </w:pPr>
            <w:r>
              <w:rPr>
                <w:rFonts w:hint="eastAsia" w:ascii="仿宋_GB2312"/>
                <w:sz w:val="21"/>
                <w:szCs w:val="21"/>
              </w:rPr>
              <w:t>实施</w:t>
            </w:r>
          </w:p>
          <w:p w14:paraId="20CCFE21">
            <w:pPr>
              <w:spacing w:line="260" w:lineRule="exact"/>
              <w:ind w:left="160" w:leftChars="50" w:right="160" w:rightChars="50"/>
              <w:jc w:val="center"/>
              <w:rPr>
                <w:rFonts w:hint="eastAsia" w:ascii="仿宋_GB2312"/>
                <w:sz w:val="21"/>
                <w:szCs w:val="21"/>
              </w:rPr>
            </w:pPr>
            <w:r>
              <w:rPr>
                <w:rFonts w:hint="eastAsia" w:ascii="仿宋_GB2312"/>
                <w:sz w:val="21"/>
                <w:szCs w:val="21"/>
              </w:rPr>
              <w:t>效益</w:t>
            </w:r>
          </w:p>
        </w:tc>
        <w:tc>
          <w:tcPr>
            <w:tcW w:w="645" w:type="dxa"/>
            <w:noWrap w:val="0"/>
            <w:tcMar>
              <w:top w:w="10" w:type="dxa"/>
              <w:left w:w="10" w:type="dxa"/>
              <w:bottom w:w="0" w:type="dxa"/>
              <w:right w:w="10" w:type="dxa"/>
            </w:tcMar>
            <w:vAlign w:val="center"/>
          </w:tcPr>
          <w:p w14:paraId="48B5B139">
            <w:pPr>
              <w:spacing w:line="260" w:lineRule="exact"/>
              <w:ind w:left="160" w:leftChars="50" w:right="160" w:rightChars="50"/>
              <w:rPr>
                <w:rFonts w:ascii="仿宋_GB2312"/>
                <w:sz w:val="21"/>
                <w:szCs w:val="21"/>
              </w:rPr>
            </w:pPr>
            <w:r>
              <w:rPr>
                <w:rFonts w:hint="eastAsia" w:ascii="仿宋_GB2312"/>
                <w:sz w:val="21"/>
                <w:szCs w:val="21"/>
              </w:rPr>
              <w:t>15</w:t>
            </w:r>
          </w:p>
        </w:tc>
        <w:tc>
          <w:tcPr>
            <w:tcW w:w="2084" w:type="dxa"/>
            <w:noWrap w:val="0"/>
            <w:tcMar>
              <w:top w:w="10" w:type="dxa"/>
              <w:left w:w="10" w:type="dxa"/>
              <w:bottom w:w="0" w:type="dxa"/>
              <w:right w:w="10" w:type="dxa"/>
            </w:tcMar>
            <w:vAlign w:val="center"/>
          </w:tcPr>
          <w:p w14:paraId="2BE926F2">
            <w:pPr>
              <w:spacing w:line="260" w:lineRule="exact"/>
              <w:ind w:left="160" w:leftChars="50" w:right="160" w:rightChars="50"/>
              <w:rPr>
                <w:rFonts w:hint="eastAsia" w:ascii="仿宋_GB2312"/>
                <w:sz w:val="21"/>
                <w:szCs w:val="21"/>
              </w:rPr>
            </w:pPr>
            <w:r>
              <w:rPr>
                <w:rFonts w:hint="eastAsia" w:ascii="仿宋_GB2312"/>
                <w:sz w:val="21"/>
                <w:szCs w:val="21"/>
              </w:rPr>
              <w:t>预算支出实施所产生的效益。</w:t>
            </w:r>
          </w:p>
        </w:tc>
        <w:tc>
          <w:tcPr>
            <w:tcW w:w="2951" w:type="dxa"/>
            <w:noWrap w:val="0"/>
            <w:tcMar>
              <w:top w:w="10" w:type="dxa"/>
              <w:left w:w="10" w:type="dxa"/>
              <w:bottom w:w="0" w:type="dxa"/>
              <w:right w:w="10" w:type="dxa"/>
            </w:tcMar>
            <w:vAlign w:val="center"/>
          </w:tcPr>
          <w:p w14:paraId="40D8569D">
            <w:pPr>
              <w:spacing w:line="260" w:lineRule="exact"/>
              <w:ind w:left="160" w:leftChars="50" w:right="160" w:rightChars="50"/>
              <w:rPr>
                <w:rFonts w:hint="eastAsia" w:ascii="仿宋_GB2312"/>
                <w:sz w:val="21"/>
                <w:szCs w:val="21"/>
              </w:rPr>
            </w:pPr>
            <w:r>
              <w:rPr>
                <w:rFonts w:hint="eastAsia" w:ascii="仿宋_GB2312"/>
                <w:sz w:val="21"/>
                <w:szCs w:val="21"/>
              </w:rPr>
              <w:t>预算支出实施所产生的社会效益、经济效益、生态效益、可持续影响等。可根据预算支出实际情况有选择地设置和细化。</w:t>
            </w:r>
          </w:p>
        </w:tc>
        <w:tc>
          <w:tcPr>
            <w:tcW w:w="633" w:type="dxa"/>
            <w:noWrap w:val="0"/>
            <w:tcMar>
              <w:top w:w="10" w:type="dxa"/>
              <w:left w:w="10" w:type="dxa"/>
              <w:bottom w:w="0" w:type="dxa"/>
              <w:right w:w="10" w:type="dxa"/>
            </w:tcMar>
            <w:vAlign w:val="center"/>
          </w:tcPr>
          <w:p w14:paraId="61B63D7F">
            <w:pPr>
              <w:spacing w:line="260" w:lineRule="exact"/>
              <w:ind w:left="160" w:leftChars="50" w:right="160" w:rightChars="50"/>
              <w:rPr>
                <w:rFonts w:hint="default" w:ascii="仿宋_GB2312" w:eastAsia="仿宋_GB2312"/>
                <w:sz w:val="21"/>
                <w:szCs w:val="21"/>
                <w:lang w:val="en-US" w:eastAsia="zh-CN"/>
              </w:rPr>
            </w:pPr>
            <w:r>
              <w:rPr>
                <w:rFonts w:hint="eastAsia" w:ascii="仿宋_GB2312"/>
                <w:sz w:val="21"/>
                <w:szCs w:val="21"/>
                <w:lang w:val="en-US" w:eastAsia="zh-CN"/>
              </w:rPr>
              <w:t>13</w:t>
            </w:r>
          </w:p>
        </w:tc>
      </w:tr>
      <w:tr w14:paraId="6B309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801" w:type="dxa"/>
            <w:vMerge w:val="continue"/>
            <w:noWrap w:val="0"/>
            <w:vAlign w:val="center"/>
          </w:tcPr>
          <w:p w14:paraId="73040193">
            <w:pPr>
              <w:rPr>
                <w:rFonts w:hint="eastAsia" w:ascii="仿宋_GB2312"/>
                <w:sz w:val="21"/>
                <w:szCs w:val="21"/>
              </w:rPr>
            </w:pPr>
          </w:p>
        </w:tc>
        <w:tc>
          <w:tcPr>
            <w:tcW w:w="749" w:type="dxa"/>
            <w:vMerge w:val="continue"/>
            <w:noWrap w:val="0"/>
            <w:vAlign w:val="center"/>
          </w:tcPr>
          <w:p w14:paraId="232C6549">
            <w:pPr>
              <w:rPr>
                <w:rFonts w:hint="eastAsia" w:ascii="仿宋_GB2312"/>
                <w:sz w:val="21"/>
                <w:szCs w:val="21"/>
              </w:rPr>
            </w:pPr>
          </w:p>
        </w:tc>
        <w:tc>
          <w:tcPr>
            <w:tcW w:w="999" w:type="dxa"/>
            <w:noWrap w:val="0"/>
            <w:tcMar>
              <w:top w:w="10" w:type="dxa"/>
              <w:left w:w="10" w:type="dxa"/>
              <w:bottom w:w="0" w:type="dxa"/>
              <w:right w:w="10" w:type="dxa"/>
            </w:tcMar>
            <w:vAlign w:val="center"/>
          </w:tcPr>
          <w:p w14:paraId="431C7995">
            <w:pPr>
              <w:spacing w:line="260" w:lineRule="exact"/>
              <w:ind w:left="160" w:leftChars="50" w:right="160" w:rightChars="50"/>
              <w:jc w:val="center"/>
              <w:rPr>
                <w:rFonts w:hint="eastAsia" w:ascii="仿宋_GB2312"/>
                <w:sz w:val="21"/>
                <w:szCs w:val="21"/>
              </w:rPr>
            </w:pPr>
            <w:r>
              <w:rPr>
                <w:rFonts w:hint="eastAsia" w:ascii="仿宋_GB2312"/>
                <w:sz w:val="21"/>
                <w:szCs w:val="21"/>
              </w:rPr>
              <w:t>社会</w:t>
            </w:r>
          </w:p>
          <w:p w14:paraId="24720566">
            <w:pPr>
              <w:spacing w:line="260" w:lineRule="exact"/>
              <w:ind w:left="160" w:leftChars="50" w:right="160" w:rightChars="50"/>
              <w:jc w:val="center"/>
              <w:rPr>
                <w:rFonts w:hint="eastAsia" w:ascii="仿宋_GB2312"/>
                <w:sz w:val="21"/>
                <w:szCs w:val="21"/>
              </w:rPr>
            </w:pPr>
            <w:r>
              <w:rPr>
                <w:rFonts w:hint="eastAsia" w:ascii="仿宋_GB2312"/>
                <w:sz w:val="21"/>
                <w:szCs w:val="21"/>
              </w:rPr>
              <w:t>公众</w:t>
            </w:r>
          </w:p>
          <w:p w14:paraId="7E16F115">
            <w:pPr>
              <w:spacing w:line="260" w:lineRule="exact"/>
              <w:ind w:left="160" w:leftChars="50" w:right="160" w:rightChars="50"/>
              <w:jc w:val="center"/>
              <w:rPr>
                <w:rFonts w:hint="eastAsia" w:ascii="仿宋_GB2312"/>
                <w:sz w:val="21"/>
                <w:szCs w:val="21"/>
              </w:rPr>
            </w:pPr>
            <w:r>
              <w:rPr>
                <w:rFonts w:hint="eastAsia" w:ascii="仿宋_GB2312"/>
                <w:sz w:val="21"/>
                <w:szCs w:val="21"/>
              </w:rPr>
              <w:t>或服</w:t>
            </w:r>
          </w:p>
          <w:p w14:paraId="697DE67D">
            <w:pPr>
              <w:spacing w:line="260" w:lineRule="exact"/>
              <w:ind w:left="160" w:leftChars="50" w:right="160" w:rightChars="50"/>
              <w:jc w:val="center"/>
              <w:rPr>
                <w:rFonts w:hint="eastAsia" w:ascii="仿宋_GB2312"/>
                <w:sz w:val="21"/>
                <w:szCs w:val="21"/>
              </w:rPr>
            </w:pPr>
            <w:r>
              <w:rPr>
                <w:rFonts w:hint="eastAsia" w:ascii="仿宋_GB2312"/>
                <w:sz w:val="21"/>
                <w:szCs w:val="21"/>
              </w:rPr>
              <w:t>务对</w:t>
            </w:r>
          </w:p>
          <w:p w14:paraId="2B3CDC9D">
            <w:pPr>
              <w:spacing w:line="260" w:lineRule="exact"/>
              <w:ind w:left="160" w:leftChars="50" w:right="160" w:rightChars="50"/>
              <w:jc w:val="center"/>
              <w:rPr>
                <w:rFonts w:hint="eastAsia" w:ascii="仿宋_GB2312"/>
                <w:sz w:val="21"/>
                <w:szCs w:val="21"/>
              </w:rPr>
            </w:pPr>
            <w:r>
              <w:rPr>
                <w:rFonts w:hint="eastAsia" w:ascii="仿宋_GB2312"/>
                <w:sz w:val="21"/>
                <w:szCs w:val="21"/>
              </w:rPr>
              <w:t>象满</w:t>
            </w:r>
          </w:p>
          <w:p w14:paraId="1F68F9D4">
            <w:pPr>
              <w:spacing w:line="260" w:lineRule="exact"/>
              <w:ind w:left="160" w:leftChars="50" w:right="160" w:rightChars="50"/>
              <w:jc w:val="center"/>
              <w:rPr>
                <w:rFonts w:hint="eastAsia" w:ascii="仿宋_GB2312"/>
                <w:sz w:val="21"/>
                <w:szCs w:val="21"/>
              </w:rPr>
            </w:pPr>
            <w:r>
              <w:rPr>
                <w:rFonts w:hint="eastAsia" w:ascii="仿宋_GB2312"/>
                <w:sz w:val="21"/>
                <w:szCs w:val="21"/>
              </w:rPr>
              <w:t>意度</w:t>
            </w:r>
          </w:p>
        </w:tc>
        <w:tc>
          <w:tcPr>
            <w:tcW w:w="645" w:type="dxa"/>
            <w:noWrap w:val="0"/>
            <w:tcMar>
              <w:top w:w="10" w:type="dxa"/>
              <w:left w:w="10" w:type="dxa"/>
              <w:bottom w:w="0" w:type="dxa"/>
              <w:right w:w="10" w:type="dxa"/>
            </w:tcMar>
            <w:vAlign w:val="center"/>
          </w:tcPr>
          <w:p w14:paraId="1F744674">
            <w:pPr>
              <w:spacing w:line="260" w:lineRule="exact"/>
              <w:ind w:left="160" w:leftChars="50" w:right="160" w:rightChars="50"/>
              <w:rPr>
                <w:rFonts w:ascii="仿宋_GB2312"/>
                <w:sz w:val="21"/>
                <w:szCs w:val="21"/>
              </w:rPr>
            </w:pPr>
            <w:r>
              <w:rPr>
                <w:rFonts w:hint="eastAsia" w:ascii="仿宋_GB2312"/>
                <w:sz w:val="21"/>
                <w:szCs w:val="21"/>
              </w:rPr>
              <w:t>10</w:t>
            </w:r>
          </w:p>
        </w:tc>
        <w:tc>
          <w:tcPr>
            <w:tcW w:w="2084" w:type="dxa"/>
            <w:noWrap w:val="0"/>
            <w:tcMar>
              <w:top w:w="10" w:type="dxa"/>
              <w:left w:w="10" w:type="dxa"/>
              <w:bottom w:w="0" w:type="dxa"/>
              <w:right w:w="10" w:type="dxa"/>
            </w:tcMar>
            <w:vAlign w:val="center"/>
          </w:tcPr>
          <w:p w14:paraId="4EDFE6EB">
            <w:pPr>
              <w:spacing w:line="260" w:lineRule="exact"/>
              <w:ind w:left="160" w:leftChars="50" w:right="160" w:rightChars="50"/>
              <w:rPr>
                <w:rFonts w:hint="eastAsia" w:ascii="仿宋_GB2312"/>
                <w:sz w:val="21"/>
                <w:szCs w:val="21"/>
              </w:rPr>
            </w:pPr>
            <w:r>
              <w:rPr>
                <w:rFonts w:hint="eastAsia" w:ascii="仿宋_GB2312"/>
                <w:sz w:val="21"/>
                <w:szCs w:val="21"/>
              </w:rPr>
              <w:t>社会公众或服务对象对预算支出实施效果的满意程度。</w:t>
            </w:r>
          </w:p>
        </w:tc>
        <w:tc>
          <w:tcPr>
            <w:tcW w:w="2951" w:type="dxa"/>
            <w:noWrap w:val="0"/>
            <w:tcMar>
              <w:top w:w="10" w:type="dxa"/>
              <w:left w:w="10" w:type="dxa"/>
              <w:bottom w:w="0" w:type="dxa"/>
              <w:right w:w="10" w:type="dxa"/>
            </w:tcMar>
            <w:vAlign w:val="center"/>
          </w:tcPr>
          <w:p w14:paraId="70883B0D">
            <w:pPr>
              <w:spacing w:line="260" w:lineRule="exact"/>
              <w:ind w:left="160" w:leftChars="50" w:right="160" w:rightChars="50"/>
              <w:rPr>
                <w:rFonts w:hint="eastAsia" w:ascii="仿宋_GB2312"/>
                <w:sz w:val="21"/>
                <w:szCs w:val="21"/>
              </w:rPr>
            </w:pPr>
            <w:r>
              <w:rPr>
                <w:rFonts w:hint="eastAsia" w:ascii="仿宋_GB2312"/>
                <w:sz w:val="21"/>
                <w:szCs w:val="21"/>
              </w:rPr>
              <w:t>社会公众或服务对象是指因该预算支出实施而受到影响的部门、群体或个人。一般采取社会调查的方式。</w:t>
            </w:r>
          </w:p>
        </w:tc>
        <w:tc>
          <w:tcPr>
            <w:tcW w:w="633" w:type="dxa"/>
            <w:noWrap w:val="0"/>
            <w:tcMar>
              <w:top w:w="10" w:type="dxa"/>
              <w:left w:w="10" w:type="dxa"/>
              <w:bottom w:w="0" w:type="dxa"/>
              <w:right w:w="10" w:type="dxa"/>
            </w:tcMar>
            <w:vAlign w:val="center"/>
          </w:tcPr>
          <w:p w14:paraId="050F328E">
            <w:pPr>
              <w:spacing w:line="260" w:lineRule="exact"/>
              <w:ind w:left="160" w:leftChars="50" w:right="160" w:rightChars="50"/>
              <w:rPr>
                <w:rFonts w:hint="default" w:ascii="仿宋_GB2312" w:eastAsia="仿宋_GB2312"/>
                <w:sz w:val="21"/>
                <w:szCs w:val="21"/>
                <w:lang w:val="en-US" w:eastAsia="zh-CN"/>
              </w:rPr>
            </w:pPr>
            <w:r>
              <w:rPr>
                <w:rFonts w:hint="eastAsia" w:ascii="仿宋_GB2312"/>
                <w:sz w:val="21"/>
                <w:szCs w:val="21"/>
                <w:lang w:val="en-US" w:eastAsia="zh-CN"/>
              </w:rPr>
              <w:t>10</w:t>
            </w:r>
          </w:p>
        </w:tc>
      </w:tr>
      <w:tr w14:paraId="2792B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549" w:type="dxa"/>
            <w:gridSpan w:val="3"/>
            <w:noWrap w:val="0"/>
            <w:vAlign w:val="center"/>
          </w:tcPr>
          <w:p w14:paraId="76FB61C0">
            <w:pPr>
              <w:spacing w:line="260" w:lineRule="exact"/>
              <w:ind w:left="160" w:leftChars="50" w:right="160" w:rightChars="50"/>
              <w:jc w:val="center"/>
              <w:rPr>
                <w:rFonts w:hint="eastAsia" w:ascii="仿宋_GB2312"/>
                <w:sz w:val="21"/>
                <w:szCs w:val="21"/>
              </w:rPr>
            </w:pPr>
            <w:r>
              <w:rPr>
                <w:rFonts w:hint="eastAsia" w:ascii="仿宋_GB2312"/>
                <w:sz w:val="21"/>
                <w:szCs w:val="21"/>
              </w:rPr>
              <w:t>总分</w:t>
            </w:r>
          </w:p>
        </w:tc>
        <w:tc>
          <w:tcPr>
            <w:tcW w:w="645" w:type="dxa"/>
            <w:noWrap w:val="0"/>
            <w:tcMar>
              <w:top w:w="10" w:type="dxa"/>
              <w:left w:w="10" w:type="dxa"/>
              <w:bottom w:w="0" w:type="dxa"/>
              <w:right w:w="10" w:type="dxa"/>
            </w:tcMar>
            <w:vAlign w:val="center"/>
          </w:tcPr>
          <w:p w14:paraId="31B92A22">
            <w:pPr>
              <w:spacing w:line="260" w:lineRule="exact"/>
              <w:ind w:left="160" w:leftChars="50" w:right="160" w:rightChars="50"/>
              <w:rPr>
                <w:rFonts w:ascii="仿宋_GB2312"/>
                <w:sz w:val="21"/>
                <w:szCs w:val="21"/>
              </w:rPr>
            </w:pPr>
            <w:r>
              <w:rPr>
                <w:rFonts w:hint="eastAsia" w:ascii="仿宋_GB2312"/>
                <w:sz w:val="21"/>
                <w:szCs w:val="21"/>
              </w:rPr>
              <w:t>100</w:t>
            </w:r>
          </w:p>
        </w:tc>
        <w:tc>
          <w:tcPr>
            <w:tcW w:w="2084" w:type="dxa"/>
            <w:noWrap w:val="0"/>
            <w:tcMar>
              <w:top w:w="10" w:type="dxa"/>
              <w:left w:w="10" w:type="dxa"/>
              <w:bottom w:w="0" w:type="dxa"/>
              <w:right w:w="10" w:type="dxa"/>
            </w:tcMar>
            <w:vAlign w:val="center"/>
          </w:tcPr>
          <w:p w14:paraId="038E76C0">
            <w:pPr>
              <w:spacing w:line="260" w:lineRule="exact"/>
              <w:ind w:left="160" w:leftChars="50" w:right="160" w:rightChars="50"/>
              <w:rPr>
                <w:rFonts w:hint="eastAsia" w:ascii="仿宋_GB2312"/>
                <w:sz w:val="21"/>
                <w:szCs w:val="21"/>
              </w:rPr>
            </w:pPr>
          </w:p>
        </w:tc>
        <w:tc>
          <w:tcPr>
            <w:tcW w:w="2951" w:type="dxa"/>
            <w:noWrap w:val="0"/>
            <w:tcMar>
              <w:top w:w="10" w:type="dxa"/>
              <w:left w:w="10" w:type="dxa"/>
              <w:bottom w:w="0" w:type="dxa"/>
              <w:right w:w="10" w:type="dxa"/>
            </w:tcMar>
            <w:vAlign w:val="center"/>
          </w:tcPr>
          <w:p w14:paraId="5805A80D">
            <w:pPr>
              <w:spacing w:line="260" w:lineRule="exact"/>
              <w:ind w:left="160" w:leftChars="50" w:right="160" w:rightChars="50"/>
              <w:rPr>
                <w:rFonts w:hint="eastAsia" w:ascii="仿宋_GB2312"/>
                <w:sz w:val="21"/>
                <w:szCs w:val="21"/>
              </w:rPr>
            </w:pPr>
          </w:p>
        </w:tc>
        <w:tc>
          <w:tcPr>
            <w:tcW w:w="633" w:type="dxa"/>
            <w:noWrap w:val="0"/>
            <w:tcMar>
              <w:top w:w="10" w:type="dxa"/>
              <w:left w:w="10" w:type="dxa"/>
              <w:bottom w:w="0" w:type="dxa"/>
              <w:right w:w="10" w:type="dxa"/>
            </w:tcMar>
            <w:vAlign w:val="center"/>
          </w:tcPr>
          <w:p w14:paraId="7B6455D2">
            <w:pPr>
              <w:spacing w:line="260" w:lineRule="exact"/>
              <w:ind w:left="160" w:leftChars="50" w:right="160" w:rightChars="50"/>
              <w:rPr>
                <w:rFonts w:hint="default" w:ascii="仿宋_GB2312" w:eastAsia="仿宋_GB2312"/>
                <w:sz w:val="21"/>
                <w:szCs w:val="21"/>
                <w:lang w:val="en-US" w:eastAsia="zh-CN"/>
              </w:rPr>
            </w:pPr>
            <w:r>
              <w:rPr>
                <w:rFonts w:hint="eastAsia" w:ascii="仿宋_GB2312"/>
                <w:sz w:val="21"/>
                <w:szCs w:val="21"/>
                <w:lang w:val="en-US" w:eastAsia="zh-CN"/>
              </w:rPr>
              <w:t>96</w:t>
            </w:r>
          </w:p>
        </w:tc>
      </w:tr>
    </w:tbl>
    <w:p w14:paraId="5B17683B"/>
    <w:p w14:paraId="72658F1E"/>
    <w:p w14:paraId="20D4311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altName w:val="黑体"/>
    <w:panose1 w:val="02010601030101010101"/>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88220E"/>
    <w:multiLevelType w:val="singleLevel"/>
    <w:tmpl w:val="9988220E"/>
    <w:lvl w:ilvl="0" w:tentative="0">
      <w:start w:val="2"/>
      <w:numFmt w:val="chineseCounting"/>
      <w:suff w:val="nothing"/>
      <w:lvlText w:val="（%1）"/>
      <w:lvlJc w:val="left"/>
      <w:rPr>
        <w:rFonts w:hint="eastAsia"/>
      </w:rPr>
    </w:lvl>
  </w:abstractNum>
  <w:abstractNum w:abstractNumId="1">
    <w:nsid w:val="4AE6234B"/>
    <w:multiLevelType w:val="singleLevel"/>
    <w:tmpl w:val="4AE6234B"/>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0026B7"/>
    <w:rsid w:val="0A9203AA"/>
    <w:rsid w:val="0E335CBF"/>
    <w:rsid w:val="0EEB6487"/>
    <w:rsid w:val="0F0026B7"/>
    <w:rsid w:val="0F264FE7"/>
    <w:rsid w:val="0FE54120"/>
    <w:rsid w:val="11EF79F9"/>
    <w:rsid w:val="12097ED1"/>
    <w:rsid w:val="12C65BDC"/>
    <w:rsid w:val="147719A1"/>
    <w:rsid w:val="18553EFB"/>
    <w:rsid w:val="1AF30046"/>
    <w:rsid w:val="1F142C89"/>
    <w:rsid w:val="353B7F7E"/>
    <w:rsid w:val="365E663F"/>
    <w:rsid w:val="3FAC0006"/>
    <w:rsid w:val="420F3F6D"/>
    <w:rsid w:val="4ABE12AD"/>
    <w:rsid w:val="4DB91F0F"/>
    <w:rsid w:val="4DBA51C4"/>
    <w:rsid w:val="556D100F"/>
    <w:rsid w:val="5B4638CB"/>
    <w:rsid w:val="5EE73670"/>
    <w:rsid w:val="60420342"/>
    <w:rsid w:val="63D17CE2"/>
    <w:rsid w:val="649D6039"/>
    <w:rsid w:val="65A86053"/>
    <w:rsid w:val="65E207B7"/>
    <w:rsid w:val="671059A6"/>
    <w:rsid w:val="69966649"/>
    <w:rsid w:val="72A5093A"/>
    <w:rsid w:val="7A810C91"/>
    <w:rsid w:val="7C1B7C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Times New Roman"/>
      <w:kern w:val="2"/>
      <w:sz w:val="32"/>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toc 1"/>
    <w:basedOn w:val="1"/>
    <w:next w:val="1"/>
    <w:semiHidden/>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1954</Words>
  <Characters>2000</Characters>
  <Lines>0</Lines>
  <Paragraphs>0</Paragraphs>
  <TotalTime>0</TotalTime>
  <ScaleCrop>false</ScaleCrop>
  <LinksUpToDate>false</LinksUpToDate>
  <CharactersWithSpaces>2041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2025-04-11T08:47:00Z</dcterms:created>
  <dc:creator>易诺难守</dc:creator>
  <cp:lastModifiedBy>易诺难守</cp:lastModifiedBy>
  <dcterms:modified xsi:type="dcterms:W3CDTF">2025-04-21T06:31:46Z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46F8DD901E87431F83BDF51529EB8157_11</vt:lpwstr>
  </property>
  <property fmtid="{D5CDD505-2E9C-101B-9397-08002B2CF9AE}" pid="4" name="KSOTemplateDocerSaveRecord">
    <vt:lpwstr>eyJoZGlkIjoiZmNlZTI5OGQ4OWQ2NTU5MWMwOWRmODQwMTZiZWRjNTgiLCJ1c2VySWQiOiIzNDE1NzA4NjYifQ==</vt:lpwstr>
  </property>
</Properties>
</file>