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A86B93">
      <w:pPr>
        <w:spacing w:line="600" w:lineRule="exact"/>
        <w:rPr>
          <w:rFonts w:hint="default" w:ascii="Times New Roman" w:hAnsi="Times New Roman" w:eastAsia="黑体" w:cs="Times New Roman"/>
          <w:kern w:val="0"/>
          <w:sz w:val="32"/>
          <w:szCs w:val="32"/>
          <w:highlight w:val="none"/>
          <w:lang w:bidi="ar-SA"/>
        </w:rPr>
      </w:pPr>
    </w:p>
    <w:p w14:paraId="7A8E7D5C">
      <w:pPr>
        <w:spacing w:line="600" w:lineRule="exact"/>
        <w:rPr>
          <w:rFonts w:hint="default" w:ascii="Times New Roman" w:hAnsi="Times New Roman" w:eastAsia="黑体" w:cs="Times New Roman"/>
          <w:kern w:val="0"/>
          <w:sz w:val="32"/>
          <w:szCs w:val="32"/>
          <w:highlight w:val="none"/>
          <w:lang w:bidi="ar-SA"/>
        </w:rPr>
      </w:pPr>
    </w:p>
    <w:p w14:paraId="135FDFDC">
      <w:pPr>
        <w:spacing w:line="600" w:lineRule="exact"/>
        <w:rPr>
          <w:rFonts w:hint="default" w:ascii="Times New Roman" w:hAnsi="Times New Roman" w:eastAsia="仿宋" w:cs="Times New Roman"/>
          <w:kern w:val="0"/>
          <w:sz w:val="32"/>
          <w:szCs w:val="32"/>
          <w:highlight w:val="none"/>
          <w:lang w:bidi="ar-SA"/>
        </w:rPr>
      </w:pPr>
    </w:p>
    <w:p w14:paraId="67914D77">
      <w:pPr>
        <w:jc w:val="center"/>
        <w:rPr>
          <w:rFonts w:hint="default" w:ascii="Times New Roman" w:hAnsi="Times New Roman" w:eastAsia="方正小标宋简体" w:cs="Times New Roman"/>
          <w:sz w:val="44"/>
          <w:szCs w:val="44"/>
          <w:highlight w:val="none"/>
          <w:lang w:bidi="ar-SA"/>
        </w:rPr>
      </w:pPr>
      <w:r>
        <w:rPr>
          <w:rFonts w:hint="eastAsia" w:ascii="Times New Roman" w:hAnsi="Times New Roman" w:eastAsia="方正小标宋简体" w:cs="Times New Roman"/>
          <w:sz w:val="44"/>
          <w:szCs w:val="44"/>
          <w:highlight w:val="none"/>
          <w:lang w:val="en-US" w:eastAsia="zh-CN" w:bidi="ar-SA"/>
        </w:rPr>
        <w:t>2023</w:t>
      </w:r>
      <w:r>
        <w:rPr>
          <w:rFonts w:hint="default" w:ascii="Times New Roman" w:hAnsi="Times New Roman" w:eastAsia="方正小标宋简体" w:cs="Times New Roman"/>
          <w:sz w:val="44"/>
          <w:szCs w:val="44"/>
          <w:highlight w:val="none"/>
          <w:lang w:bidi="ar-SA"/>
        </w:rPr>
        <w:t>年度</w:t>
      </w:r>
      <w:r>
        <w:rPr>
          <w:rFonts w:hint="eastAsia" w:ascii="Times New Roman" w:hAnsi="Times New Roman" w:eastAsia="方正小标宋简体" w:cs="Times New Roman"/>
          <w:sz w:val="44"/>
          <w:szCs w:val="44"/>
          <w:highlight w:val="none"/>
          <w:lang w:val="en-US" w:eastAsia="zh-CN" w:bidi="ar-SA"/>
        </w:rPr>
        <w:t>益阳市儿童福利院</w:t>
      </w:r>
      <w:r>
        <w:rPr>
          <w:rFonts w:hint="default" w:ascii="Times New Roman" w:hAnsi="Times New Roman" w:eastAsia="方正小标宋简体" w:cs="Times New Roman"/>
          <w:sz w:val="44"/>
          <w:szCs w:val="44"/>
          <w:highlight w:val="none"/>
          <w:lang w:bidi="ar-SA"/>
        </w:rPr>
        <w:t>整体支出</w:t>
      </w:r>
    </w:p>
    <w:p w14:paraId="5FC6BB19">
      <w:pPr>
        <w:jc w:val="center"/>
        <w:rPr>
          <w:rFonts w:hint="default" w:ascii="Times New Roman" w:hAnsi="Times New Roman" w:eastAsia="方正小标宋简体" w:cs="Times New Roman"/>
          <w:sz w:val="44"/>
          <w:szCs w:val="44"/>
          <w:highlight w:val="none"/>
          <w:lang w:bidi="ar-SA"/>
        </w:rPr>
      </w:pPr>
      <w:r>
        <w:rPr>
          <w:rFonts w:hint="default" w:ascii="Times New Roman" w:hAnsi="Times New Roman" w:eastAsia="方正小标宋简体" w:cs="Times New Roman"/>
          <w:sz w:val="44"/>
          <w:szCs w:val="44"/>
          <w:highlight w:val="none"/>
          <w:lang w:bidi="ar-SA"/>
        </w:rPr>
        <w:t>绩效自评报告</w:t>
      </w:r>
    </w:p>
    <w:p w14:paraId="1E1DD32A">
      <w:pPr>
        <w:rPr>
          <w:rFonts w:hint="default" w:ascii="Times New Roman" w:hAnsi="Times New Roman" w:eastAsia="黑体" w:cs="Times New Roman"/>
          <w:sz w:val="32"/>
          <w:szCs w:val="32"/>
          <w:highlight w:val="none"/>
          <w:lang w:bidi="ar-SA"/>
        </w:rPr>
      </w:pPr>
    </w:p>
    <w:p w14:paraId="2ED7F991">
      <w:pPr>
        <w:jc w:val="center"/>
        <w:rPr>
          <w:rFonts w:hint="default" w:ascii="Times New Roman" w:hAnsi="Times New Roman" w:eastAsia="黑体" w:cs="Times New Roman"/>
          <w:sz w:val="32"/>
          <w:szCs w:val="32"/>
          <w:highlight w:val="none"/>
          <w:lang w:bidi="ar-SA"/>
        </w:rPr>
      </w:pPr>
    </w:p>
    <w:p w14:paraId="03682A4F">
      <w:pPr>
        <w:rPr>
          <w:rFonts w:hint="default" w:ascii="Times New Roman" w:hAnsi="Times New Roman" w:eastAsia="黑体" w:cs="Times New Roman"/>
          <w:sz w:val="32"/>
          <w:szCs w:val="32"/>
          <w:highlight w:val="none"/>
          <w:lang w:bidi="ar-SA"/>
        </w:rPr>
      </w:pPr>
    </w:p>
    <w:p w14:paraId="1A9AE684">
      <w:pPr>
        <w:rPr>
          <w:rFonts w:hint="default" w:ascii="Times New Roman" w:hAnsi="Times New Roman" w:eastAsia="黑体" w:cs="Times New Roman"/>
          <w:sz w:val="32"/>
          <w:szCs w:val="32"/>
          <w:highlight w:val="none"/>
          <w:lang w:bidi="ar-SA"/>
        </w:rPr>
      </w:pPr>
    </w:p>
    <w:p w14:paraId="26573C32">
      <w:pPr>
        <w:jc w:val="center"/>
        <w:rPr>
          <w:rFonts w:hint="default" w:ascii="Times New Roman" w:hAnsi="Times New Roman" w:eastAsia="黑体" w:cs="Times New Roman"/>
          <w:sz w:val="32"/>
          <w:szCs w:val="32"/>
          <w:highlight w:val="none"/>
          <w:lang w:bidi="ar-SA"/>
        </w:rPr>
      </w:pPr>
    </w:p>
    <w:p w14:paraId="5E46D18D">
      <w:pPr>
        <w:jc w:val="center"/>
        <w:rPr>
          <w:rFonts w:hint="default" w:ascii="Times New Roman" w:hAnsi="Times New Roman" w:eastAsia="黑体" w:cs="Times New Roman"/>
          <w:sz w:val="32"/>
          <w:szCs w:val="32"/>
          <w:highlight w:val="none"/>
          <w:lang w:bidi="ar-SA"/>
        </w:rPr>
      </w:pPr>
    </w:p>
    <w:p w14:paraId="25833AE8">
      <w:pPr>
        <w:jc w:val="center"/>
        <w:rPr>
          <w:rFonts w:hint="default" w:ascii="Times New Roman" w:hAnsi="Times New Roman" w:eastAsia="黑体" w:cs="Times New Roman"/>
          <w:sz w:val="32"/>
          <w:szCs w:val="32"/>
          <w:highlight w:val="none"/>
          <w:lang w:bidi="ar-SA"/>
        </w:rPr>
      </w:pPr>
    </w:p>
    <w:p w14:paraId="1587D705">
      <w:pPr>
        <w:jc w:val="center"/>
        <w:rPr>
          <w:rFonts w:hint="default" w:ascii="Times New Roman" w:hAnsi="Times New Roman" w:eastAsia="黑体" w:cs="Times New Roman"/>
          <w:sz w:val="32"/>
          <w:szCs w:val="32"/>
          <w:highlight w:val="none"/>
          <w:lang w:bidi="ar-SA"/>
        </w:rPr>
      </w:pPr>
    </w:p>
    <w:p w14:paraId="707E7B3B">
      <w:pPr>
        <w:jc w:val="center"/>
        <w:rPr>
          <w:rFonts w:hint="default" w:ascii="Times New Roman" w:hAnsi="Times New Roman" w:eastAsia="黑体" w:cs="Times New Roman"/>
          <w:sz w:val="32"/>
          <w:szCs w:val="32"/>
          <w:highlight w:val="none"/>
          <w:lang w:bidi="ar-SA"/>
        </w:rPr>
      </w:pPr>
    </w:p>
    <w:p w14:paraId="02B16424">
      <w:pPr>
        <w:jc w:val="center"/>
        <w:rPr>
          <w:rFonts w:hint="default" w:ascii="Times New Roman" w:hAnsi="Times New Roman" w:eastAsia="黑体" w:cs="Times New Roman"/>
          <w:sz w:val="32"/>
          <w:szCs w:val="32"/>
          <w:highlight w:val="none"/>
          <w:lang w:bidi="ar-SA"/>
        </w:rPr>
      </w:pPr>
    </w:p>
    <w:p w14:paraId="1D7AE40C">
      <w:pPr>
        <w:jc w:val="center"/>
        <w:rPr>
          <w:rFonts w:hint="default" w:ascii="Times New Roman" w:hAnsi="Times New Roman" w:eastAsia="黑体" w:cs="Times New Roman"/>
          <w:sz w:val="32"/>
          <w:szCs w:val="32"/>
          <w:highlight w:val="none"/>
          <w:lang w:bidi="ar-SA"/>
        </w:rPr>
      </w:pPr>
    </w:p>
    <w:p w14:paraId="70FB64B0">
      <w:pPr>
        <w:jc w:val="center"/>
        <w:rPr>
          <w:rFonts w:hint="default" w:ascii="Times New Roman" w:hAnsi="Times New Roman" w:eastAsia="黑体" w:cs="Times New Roman"/>
          <w:sz w:val="32"/>
          <w:szCs w:val="32"/>
          <w:highlight w:val="none"/>
          <w:lang w:bidi="ar-SA"/>
        </w:rPr>
      </w:pPr>
      <w:r>
        <w:rPr>
          <w:rFonts w:hint="default" w:ascii="Times New Roman" w:hAnsi="Times New Roman" w:eastAsia="黑体" w:cs="Times New Roman"/>
          <w:sz w:val="32"/>
          <w:szCs w:val="32"/>
          <w:highlight w:val="none"/>
          <w:lang w:bidi="ar-SA"/>
        </w:rPr>
        <w:t>单位名称（盖章）</w:t>
      </w:r>
    </w:p>
    <w:p w14:paraId="4816F85C">
      <w:pPr>
        <w:jc w:val="center"/>
        <w:rPr>
          <w:rFonts w:hint="default" w:ascii="Times New Roman" w:hAnsi="Times New Roman" w:eastAsia="黑体" w:cs="Times New Roman"/>
          <w:sz w:val="32"/>
          <w:szCs w:val="32"/>
          <w:highlight w:val="none"/>
          <w:lang w:bidi="ar-SA"/>
        </w:rPr>
      </w:pPr>
    </w:p>
    <w:p w14:paraId="034244FF">
      <w:pPr>
        <w:jc w:val="center"/>
        <w:rPr>
          <w:rFonts w:hint="default" w:ascii="Times New Roman" w:hAnsi="Times New Roman" w:eastAsia="黑体" w:cs="Times New Roman"/>
          <w:sz w:val="32"/>
          <w:szCs w:val="32"/>
          <w:highlight w:val="none"/>
          <w:lang w:bidi="ar-SA"/>
        </w:rPr>
      </w:pPr>
      <w:r>
        <w:rPr>
          <w:rFonts w:hint="default" w:ascii="Times New Roman" w:hAnsi="Times New Roman" w:eastAsia="黑体" w:cs="Times New Roman"/>
          <w:sz w:val="32"/>
          <w:szCs w:val="32"/>
          <w:highlight w:val="none"/>
          <w:lang w:bidi="ar-SA"/>
        </w:rPr>
        <w:br w:type="page"/>
      </w:r>
    </w:p>
    <w:p w14:paraId="05901323">
      <w:pPr>
        <w:ind w:firstLine="640" w:firstLineChars="200"/>
        <w:rPr>
          <w:rFonts w:hint="eastAsia" w:ascii="Times New Roman" w:hAnsi="Times New Roman" w:eastAsia="黑体" w:cs="Times New Roman"/>
          <w:sz w:val="32"/>
          <w:szCs w:val="32"/>
          <w:highlight w:val="none"/>
          <w:lang w:eastAsia="zh-CN" w:bidi="ar-SA"/>
        </w:rPr>
      </w:pPr>
      <w:r>
        <w:rPr>
          <w:rFonts w:hint="eastAsia" w:ascii="仿宋_GB2312" w:hAnsi="仿宋" w:eastAsia="仿宋_GB2312"/>
          <w:sz w:val="32"/>
          <w:szCs w:val="32"/>
        </w:rPr>
        <w:t>根据益阳市财政局下发的《关于开展2023年度部门绩效自评工作的通知》要求，我站积极组织对2023年度的部门整体支出开展绩效自评，现将情况汇报如下：</w:t>
      </w:r>
    </w:p>
    <w:p w14:paraId="2A3F5201">
      <w:pPr>
        <w:pStyle w:val="6"/>
        <w:widowControl/>
        <w:numPr>
          <w:ilvl w:val="0"/>
          <w:numId w:val="1"/>
        </w:numPr>
        <w:tabs>
          <w:tab w:val="left" w:pos="578"/>
        </w:tabs>
        <w:spacing w:line="600" w:lineRule="exact"/>
        <w:ind w:firstLineChars="0"/>
        <w:rPr>
          <w:rFonts w:hint="default" w:ascii="Times New Roman" w:hAnsi="Times New Roman" w:eastAsia="黑体" w:cs="Times New Roman"/>
          <w:sz w:val="32"/>
          <w:szCs w:val="32"/>
          <w:highlight w:val="none"/>
          <w:lang w:bidi="ar-SA"/>
        </w:rPr>
      </w:pPr>
      <w:r>
        <w:rPr>
          <w:rFonts w:hint="default" w:ascii="Times New Roman" w:hAnsi="Times New Roman" w:eastAsia="黑体" w:cs="Times New Roman"/>
          <w:sz w:val="32"/>
          <w:szCs w:val="32"/>
          <w:highlight w:val="none"/>
          <w:lang w:bidi="ar-SA"/>
        </w:rPr>
        <w:t>部门（单位）基本情况</w:t>
      </w:r>
    </w:p>
    <w:p w14:paraId="2B494D36">
      <w:pPr>
        <w:ind w:firstLine="640" w:firstLineChars="200"/>
        <w:rPr>
          <w:rFonts w:hint="default" w:ascii="Times New Roman" w:hAnsi="Times New Roman" w:eastAsia="黑体" w:cs="Times New Roman"/>
          <w:sz w:val="32"/>
          <w:szCs w:val="32"/>
          <w:highlight w:val="none"/>
          <w:lang w:bidi="ar-SA"/>
        </w:rPr>
      </w:pPr>
      <w:r>
        <w:rPr>
          <w:rFonts w:ascii="仿宋" w:hAnsi="仿宋" w:eastAsia="仿宋"/>
          <w:sz w:val="32"/>
          <w:szCs w:val="32"/>
        </w:rPr>
        <w:t>益阳市</w:t>
      </w:r>
      <w:r>
        <w:rPr>
          <w:rFonts w:hint="eastAsia" w:ascii="仿宋" w:hAnsi="仿宋" w:eastAsia="仿宋"/>
          <w:sz w:val="32"/>
          <w:szCs w:val="32"/>
        </w:rPr>
        <w:t>儿童福利院</w:t>
      </w:r>
      <w:r>
        <w:rPr>
          <w:rFonts w:ascii="仿宋" w:hAnsi="仿宋" w:eastAsia="仿宋"/>
          <w:sz w:val="32"/>
          <w:szCs w:val="32"/>
        </w:rPr>
        <w:t>是市民政局下属公益一类全额拨款事业单位</w:t>
      </w:r>
      <w:r>
        <w:rPr>
          <w:rFonts w:hint="eastAsia" w:ascii="仿宋" w:hAnsi="仿宋" w:eastAsia="仿宋"/>
          <w:sz w:val="32"/>
          <w:szCs w:val="32"/>
          <w:lang w:eastAsia="zh-CN"/>
        </w:rPr>
        <w:t>，</w:t>
      </w:r>
      <w:r>
        <w:rPr>
          <w:rFonts w:ascii="仿宋" w:hAnsi="仿宋" w:eastAsia="仿宋"/>
          <w:sz w:val="32"/>
          <w:szCs w:val="32"/>
        </w:rPr>
        <w:t>负责</w:t>
      </w:r>
      <w:r>
        <w:rPr>
          <w:rFonts w:hint="eastAsia" w:ascii="仿宋_GB2312" w:hAnsi="仿宋" w:eastAsia="仿宋_GB2312"/>
          <w:sz w:val="32"/>
          <w:szCs w:val="32"/>
          <w:lang w:eastAsia="zh-CN"/>
        </w:rPr>
        <w:t>为</w:t>
      </w:r>
      <w:r>
        <w:rPr>
          <w:rFonts w:hint="eastAsia" w:ascii="仿宋_GB2312" w:hAnsi="仿宋" w:eastAsia="仿宋_GB2312"/>
          <w:sz w:val="32"/>
          <w:szCs w:val="32"/>
          <w:lang w:val="en-US" w:eastAsia="zh-CN"/>
        </w:rPr>
        <w:t>全市</w:t>
      </w:r>
      <w:r>
        <w:rPr>
          <w:rFonts w:hint="eastAsia" w:ascii="仿宋_GB2312" w:hAnsi="仿宋" w:eastAsia="仿宋_GB2312"/>
          <w:sz w:val="32"/>
          <w:szCs w:val="32"/>
          <w:lang w:eastAsia="zh-CN"/>
        </w:rPr>
        <w:t>孤、弃等困境儿童提供养育、医疗、教育、康复、安置等服务；提供社会化儿童服务，</w:t>
      </w:r>
      <w:r>
        <w:rPr>
          <w:rFonts w:hint="eastAsia" w:ascii="仿宋_GB2312" w:hAnsi="仿宋" w:eastAsia="仿宋_GB2312"/>
          <w:sz w:val="32"/>
          <w:szCs w:val="32"/>
          <w:lang w:val="en-US" w:eastAsia="zh-CN"/>
        </w:rPr>
        <w:t>集中供养民政监护成年失智失能三无人员，提供社会化养老服务；对符合临时监护情况的未成年人实施帮扶救助</w:t>
      </w:r>
      <w:r>
        <w:rPr>
          <w:rFonts w:hint="eastAsia" w:ascii="仿宋_GB2312" w:hAnsi="仿宋" w:eastAsia="仿宋_GB2312"/>
          <w:sz w:val="32"/>
          <w:szCs w:val="32"/>
          <w:lang w:eastAsia="zh-CN"/>
        </w:rPr>
        <w:t>。</w:t>
      </w:r>
      <w:r>
        <w:rPr>
          <w:rFonts w:hint="eastAsia" w:ascii="仿宋_GB2312" w:hAnsi="仿宋" w:eastAsia="仿宋_GB2312"/>
          <w:sz w:val="32"/>
          <w:szCs w:val="32"/>
          <w:lang w:val="en-US" w:eastAsia="zh-CN"/>
        </w:rPr>
        <w:t>内设机构包括：内设办公室、财务部、保育科、医务室4个部门。 共有编制人员8人，退休人员2人，临聘人员13人。</w:t>
      </w:r>
    </w:p>
    <w:p w14:paraId="11EEEB3A">
      <w:pPr>
        <w:pStyle w:val="6"/>
        <w:widowControl/>
        <w:numPr>
          <w:ilvl w:val="0"/>
          <w:numId w:val="1"/>
        </w:numPr>
        <w:spacing w:line="600" w:lineRule="exact"/>
        <w:ind w:firstLineChars="0"/>
        <w:rPr>
          <w:rFonts w:hint="default" w:ascii="Times New Roman" w:hAnsi="Times New Roman" w:eastAsia="黑体" w:cs="Times New Roman"/>
          <w:sz w:val="32"/>
          <w:szCs w:val="32"/>
          <w:highlight w:val="none"/>
          <w:lang w:bidi="ar-SA"/>
        </w:rPr>
      </w:pPr>
      <w:r>
        <w:rPr>
          <w:rFonts w:hint="default" w:ascii="Times New Roman" w:hAnsi="Times New Roman" w:eastAsia="黑体" w:cs="Times New Roman"/>
          <w:sz w:val="32"/>
          <w:szCs w:val="32"/>
          <w:highlight w:val="none"/>
          <w:lang w:bidi="ar-SA"/>
        </w:rPr>
        <w:t>一般公共预算支出情况</w:t>
      </w:r>
    </w:p>
    <w:p w14:paraId="45536090">
      <w:pPr>
        <w:pStyle w:val="6"/>
        <w:widowControl/>
        <w:numPr>
          <w:ilvl w:val="0"/>
          <w:numId w:val="0"/>
        </w:numPr>
        <w:spacing w:line="600" w:lineRule="exact"/>
        <w:ind w:firstLine="640" w:firstLineChars="200"/>
        <w:rPr>
          <w:rFonts w:hint="default" w:ascii="仿宋_GB2312" w:hAnsi="仿宋" w:eastAsia="仿宋_GB2312" w:cs="Times New Roman"/>
          <w:kern w:val="2"/>
          <w:sz w:val="32"/>
          <w:szCs w:val="32"/>
          <w:lang w:val="en-US" w:eastAsia="zh-CN" w:bidi="ar-SA"/>
        </w:rPr>
      </w:pPr>
      <w:r>
        <w:rPr>
          <w:rFonts w:hint="eastAsia" w:ascii="仿宋_GB2312" w:hAnsi="仿宋" w:eastAsia="仿宋_GB2312" w:cs="Times New Roman"/>
          <w:kern w:val="2"/>
          <w:sz w:val="32"/>
          <w:szCs w:val="32"/>
          <w:lang w:val="en-US" w:eastAsia="zh-CN" w:bidi="ar-SA"/>
        </w:rPr>
        <w:t>2023年本单位一般公共预算支出503.01万元，其中基本支出170.6万元，项目支出332.41万元。</w:t>
      </w:r>
    </w:p>
    <w:p w14:paraId="59E848C7">
      <w:pPr>
        <w:pStyle w:val="6"/>
        <w:widowControl/>
        <w:numPr>
          <w:ilvl w:val="0"/>
          <w:numId w:val="2"/>
        </w:numPr>
        <w:spacing w:line="600" w:lineRule="exact"/>
        <w:ind w:firstLineChars="0"/>
        <w:rPr>
          <w:rFonts w:hint="default" w:ascii="Times New Roman" w:hAnsi="Times New Roman" w:eastAsia="黑体" w:cs="Times New Roman"/>
          <w:sz w:val="32"/>
          <w:szCs w:val="32"/>
          <w:highlight w:val="none"/>
          <w:lang w:bidi="ar-SA"/>
        </w:rPr>
      </w:pPr>
      <w:r>
        <w:rPr>
          <w:rFonts w:hint="default" w:ascii="Times New Roman" w:hAnsi="Times New Roman" w:eastAsia="黑体" w:cs="Times New Roman"/>
          <w:sz w:val="32"/>
          <w:szCs w:val="32"/>
          <w:highlight w:val="none"/>
          <w:lang w:bidi="ar-SA"/>
        </w:rPr>
        <w:t>基本支出情况</w:t>
      </w:r>
    </w:p>
    <w:p w14:paraId="12B444C4">
      <w:pPr>
        <w:pStyle w:val="6"/>
        <w:widowControl/>
        <w:numPr>
          <w:ilvl w:val="0"/>
          <w:numId w:val="0"/>
        </w:numPr>
        <w:spacing w:line="600" w:lineRule="exact"/>
        <w:ind w:firstLine="640" w:firstLineChars="200"/>
        <w:rPr>
          <w:rFonts w:hint="default" w:ascii="仿宋_GB2312" w:hAnsi="仿宋" w:eastAsia="仿宋_GB2312" w:cs="Times New Roman"/>
          <w:kern w:val="2"/>
          <w:sz w:val="32"/>
          <w:szCs w:val="32"/>
          <w:lang w:val="en-US" w:eastAsia="zh-CN" w:bidi="ar-SA"/>
        </w:rPr>
      </w:pPr>
      <w:r>
        <w:rPr>
          <w:rFonts w:hint="eastAsia" w:ascii="仿宋_GB2312" w:hAnsi="仿宋" w:eastAsia="仿宋_GB2312" w:cs="Times New Roman"/>
          <w:kern w:val="2"/>
          <w:sz w:val="32"/>
          <w:szCs w:val="32"/>
          <w:lang w:val="en-US" w:eastAsia="zh-CN" w:bidi="ar-SA"/>
        </w:rPr>
        <w:t>2023年基本支出170.6万元，其中：工资福利支出125.77万元；商品服务支出38.67万元，对个人和家庭的补助6.16万元。</w:t>
      </w:r>
    </w:p>
    <w:p w14:paraId="4DCA01B8">
      <w:pPr>
        <w:pStyle w:val="6"/>
        <w:widowControl/>
        <w:numPr>
          <w:ilvl w:val="0"/>
          <w:numId w:val="0"/>
        </w:numPr>
        <w:spacing w:line="600" w:lineRule="exact"/>
        <w:ind w:left="640" w:leftChars="0"/>
        <w:rPr>
          <w:rFonts w:hint="default" w:ascii="Times New Roman" w:hAnsi="Times New Roman" w:eastAsia="黑体" w:cs="Times New Roman"/>
          <w:sz w:val="32"/>
          <w:szCs w:val="32"/>
          <w:highlight w:val="none"/>
          <w:lang w:bidi="ar-SA"/>
        </w:rPr>
      </w:pPr>
      <w:r>
        <w:rPr>
          <w:rFonts w:hint="eastAsia" w:ascii="Times New Roman" w:hAnsi="Times New Roman" w:eastAsia="黑体" w:cs="Times New Roman"/>
          <w:sz w:val="32"/>
          <w:szCs w:val="32"/>
          <w:highlight w:val="none"/>
          <w:lang w:eastAsia="zh-CN" w:bidi="ar-SA"/>
        </w:rPr>
        <w:t>（</w:t>
      </w:r>
      <w:r>
        <w:rPr>
          <w:rFonts w:hint="eastAsia" w:ascii="Times New Roman" w:hAnsi="Times New Roman" w:eastAsia="黑体" w:cs="Times New Roman"/>
          <w:sz w:val="32"/>
          <w:szCs w:val="32"/>
          <w:highlight w:val="none"/>
          <w:lang w:val="en-US" w:eastAsia="zh-CN" w:bidi="ar-SA"/>
        </w:rPr>
        <w:t>二</w:t>
      </w:r>
      <w:r>
        <w:rPr>
          <w:rFonts w:hint="eastAsia" w:ascii="Times New Roman" w:hAnsi="Times New Roman" w:eastAsia="黑体" w:cs="Times New Roman"/>
          <w:sz w:val="32"/>
          <w:szCs w:val="32"/>
          <w:highlight w:val="none"/>
          <w:lang w:eastAsia="zh-CN" w:bidi="ar-SA"/>
        </w:rPr>
        <w:t>）</w:t>
      </w:r>
      <w:r>
        <w:rPr>
          <w:rFonts w:hint="default" w:ascii="Times New Roman" w:hAnsi="Times New Roman" w:eastAsia="黑体" w:cs="Times New Roman"/>
          <w:sz w:val="32"/>
          <w:szCs w:val="32"/>
          <w:highlight w:val="none"/>
          <w:lang w:bidi="ar-SA"/>
        </w:rPr>
        <w:t>项目支出情况</w:t>
      </w:r>
    </w:p>
    <w:p w14:paraId="0D9A2187">
      <w:pPr>
        <w:pStyle w:val="6"/>
        <w:widowControl/>
        <w:numPr>
          <w:ilvl w:val="0"/>
          <w:numId w:val="0"/>
        </w:numPr>
        <w:spacing w:line="600" w:lineRule="exact"/>
        <w:ind w:firstLine="640" w:firstLineChars="200"/>
        <w:rPr>
          <w:rFonts w:hint="default" w:ascii="Times New Roman" w:hAnsi="Times New Roman" w:eastAsia="黑体" w:cs="Times New Roman"/>
          <w:sz w:val="32"/>
          <w:szCs w:val="32"/>
          <w:highlight w:val="none"/>
          <w:lang w:bidi="ar-SA"/>
        </w:rPr>
      </w:pPr>
      <w:r>
        <w:rPr>
          <w:rFonts w:hint="eastAsia" w:ascii="仿宋_GB2312" w:hAnsi="仿宋" w:eastAsia="仿宋_GB2312" w:cs="Times New Roman"/>
          <w:kern w:val="2"/>
          <w:sz w:val="32"/>
          <w:szCs w:val="32"/>
          <w:lang w:val="en-US" w:eastAsia="zh-CN" w:bidi="ar-SA"/>
        </w:rPr>
        <w:t>2023年项目支出332.41万元，其中： 孤儿基本生活保障75.30万元，</w:t>
      </w:r>
      <w:r>
        <w:rPr>
          <w:rFonts w:hint="default" w:ascii="仿宋_GB2312" w:hAnsi="仿宋" w:eastAsia="仿宋_GB2312" w:cs="Times New Roman"/>
          <w:kern w:val="2"/>
          <w:sz w:val="32"/>
          <w:szCs w:val="32"/>
          <w:lang w:val="en-US" w:eastAsia="zh-CN" w:bidi="ar-SA"/>
        </w:rPr>
        <w:t>城市特困人员救助供养</w:t>
      </w:r>
      <w:r>
        <w:rPr>
          <w:rFonts w:hint="eastAsia" w:ascii="仿宋_GB2312" w:hAnsi="仿宋" w:eastAsia="仿宋_GB2312" w:cs="Times New Roman"/>
          <w:kern w:val="2"/>
          <w:sz w:val="32"/>
          <w:szCs w:val="32"/>
          <w:lang w:val="en-US" w:eastAsia="zh-CN" w:bidi="ar-SA"/>
        </w:rPr>
        <w:t>100.06万元，彩票公益金儿童福利机构设施58.01万元，</w:t>
      </w:r>
      <w:r>
        <w:rPr>
          <w:rFonts w:hint="default" w:ascii="仿宋_GB2312" w:hAnsi="仿宋" w:eastAsia="仿宋_GB2312" w:cs="Times New Roman"/>
          <w:kern w:val="2"/>
          <w:sz w:val="32"/>
          <w:szCs w:val="32"/>
          <w:lang w:val="en-US" w:eastAsia="zh-CN" w:bidi="ar-SA"/>
        </w:rPr>
        <w:t>未成年人社会保护资金</w:t>
      </w:r>
      <w:r>
        <w:rPr>
          <w:rFonts w:hint="eastAsia" w:ascii="仿宋_GB2312" w:hAnsi="仿宋" w:eastAsia="仿宋_GB2312" w:cs="Times New Roman"/>
          <w:kern w:val="2"/>
          <w:sz w:val="32"/>
          <w:szCs w:val="32"/>
          <w:lang w:val="en-US" w:eastAsia="zh-CN" w:bidi="ar-SA"/>
        </w:rPr>
        <w:t>39.04，孤儿专项护理60万元。主要用于孤残儿童和城市特困人员生活费和护理人员的专项经费开支。</w:t>
      </w:r>
    </w:p>
    <w:p w14:paraId="7B2238F9">
      <w:pPr>
        <w:widowControl/>
        <w:numPr>
          <w:ilvl w:val="0"/>
          <w:numId w:val="1"/>
        </w:numPr>
        <w:spacing w:line="600" w:lineRule="exact"/>
        <w:ind w:left="1360" w:leftChars="0" w:hanging="720" w:firstLineChars="0"/>
        <w:jc w:val="left"/>
        <w:rPr>
          <w:rFonts w:hint="default" w:ascii="Times New Roman" w:hAnsi="Times New Roman" w:eastAsia="黑体" w:cs="Times New Roman"/>
          <w:sz w:val="32"/>
          <w:szCs w:val="32"/>
          <w:highlight w:val="none"/>
          <w:lang w:bidi="ar-SA"/>
        </w:rPr>
      </w:pPr>
      <w:r>
        <w:rPr>
          <w:rFonts w:hint="default" w:ascii="Times New Roman" w:hAnsi="Times New Roman" w:eastAsia="黑体" w:cs="Times New Roman"/>
          <w:sz w:val="32"/>
          <w:szCs w:val="32"/>
          <w:highlight w:val="none"/>
          <w:lang w:bidi="ar-SA"/>
        </w:rPr>
        <w:t>政府性基金预算支出情况</w:t>
      </w:r>
    </w:p>
    <w:p w14:paraId="0041624C">
      <w:pPr>
        <w:ind w:firstLine="640" w:firstLineChars="200"/>
        <w:rPr>
          <w:rFonts w:hint="default" w:ascii="仿宋_GB2312" w:hAnsi="仿宋" w:eastAsia="仿宋_GB2312" w:cs="Times New Roman"/>
          <w:kern w:val="2"/>
          <w:sz w:val="32"/>
          <w:szCs w:val="32"/>
          <w:lang w:val="en-US" w:eastAsia="zh-CN" w:bidi="ar-SA"/>
        </w:rPr>
      </w:pPr>
      <w:r>
        <w:rPr>
          <w:rFonts w:hint="eastAsia" w:ascii="仿宋_GB2312" w:hAnsi="仿宋" w:eastAsia="仿宋_GB2312" w:cs="Times New Roman"/>
          <w:kern w:val="2"/>
          <w:sz w:val="32"/>
          <w:szCs w:val="32"/>
          <w:lang w:val="en-US" w:eastAsia="zh-CN" w:bidi="ar-SA"/>
        </w:rPr>
        <w:t>本部门2023年政府性基金安排的支出</w:t>
      </w:r>
      <w:r>
        <w:rPr>
          <w:rFonts w:hint="eastAsia" w:ascii="仿宋_GB2312" w:hAnsi="仿宋" w:eastAsia="仿宋_GB2312"/>
          <w:sz w:val="32"/>
          <w:szCs w:val="32"/>
          <w:lang w:val="en-US" w:eastAsia="zh-CN"/>
        </w:rPr>
        <w:t>58.01</w:t>
      </w:r>
      <w:r>
        <w:rPr>
          <w:rFonts w:hint="eastAsia" w:ascii="仿宋_GB2312" w:hAnsi="仿宋" w:eastAsia="仿宋_GB2312"/>
          <w:sz w:val="32"/>
          <w:szCs w:val="32"/>
        </w:rPr>
        <w:t>万元，主要用于社会福利的彩票公益金</w:t>
      </w:r>
      <w:r>
        <w:rPr>
          <w:rFonts w:hint="eastAsia" w:ascii="仿宋_GB2312" w:hAnsi="仿宋" w:eastAsia="仿宋_GB2312" w:cs="Times New Roman"/>
          <w:kern w:val="2"/>
          <w:sz w:val="32"/>
          <w:szCs w:val="32"/>
          <w:lang w:val="en-US" w:eastAsia="zh-CN" w:bidi="ar-SA"/>
        </w:rPr>
        <w:t>儿童福利机构设施设备支出。</w:t>
      </w:r>
    </w:p>
    <w:p w14:paraId="5EE46257">
      <w:pPr>
        <w:widowControl/>
        <w:numPr>
          <w:ilvl w:val="0"/>
          <w:numId w:val="1"/>
        </w:numPr>
        <w:spacing w:line="600" w:lineRule="exact"/>
        <w:ind w:left="1360" w:leftChars="0" w:hanging="720" w:firstLineChars="0"/>
        <w:jc w:val="left"/>
        <w:rPr>
          <w:rFonts w:hint="default" w:ascii="Times New Roman" w:hAnsi="Times New Roman" w:eastAsia="黑体" w:cs="Times New Roman"/>
          <w:sz w:val="32"/>
          <w:szCs w:val="32"/>
          <w:highlight w:val="none"/>
          <w:lang w:bidi="ar-SA"/>
        </w:rPr>
      </w:pPr>
      <w:r>
        <w:rPr>
          <w:rFonts w:hint="default" w:ascii="Times New Roman" w:hAnsi="Times New Roman" w:eastAsia="黑体" w:cs="Times New Roman"/>
          <w:sz w:val="32"/>
          <w:szCs w:val="32"/>
          <w:highlight w:val="none"/>
          <w:lang w:bidi="ar-SA"/>
        </w:rPr>
        <w:t>国有资本经营预算支出情况</w:t>
      </w:r>
    </w:p>
    <w:p w14:paraId="22F1FCAA">
      <w:pPr>
        <w:spacing w:after="2"/>
        <w:ind w:firstLine="640" w:firstLineChars="200"/>
        <w:rPr>
          <w:rFonts w:hint="eastAsia" w:ascii="仿宋_GB2312" w:hAnsi="仿宋" w:eastAsia="仿宋_GB2312" w:cs="Times New Roman"/>
          <w:kern w:val="2"/>
          <w:sz w:val="32"/>
          <w:szCs w:val="32"/>
          <w:lang w:val="en-US" w:eastAsia="zh-CN" w:bidi="ar-SA"/>
        </w:rPr>
      </w:pPr>
      <w:r>
        <w:rPr>
          <w:rFonts w:hint="eastAsia" w:ascii="仿宋_GB2312" w:hAnsi="仿宋" w:eastAsia="仿宋_GB2312" w:cs="Times New Roman"/>
          <w:kern w:val="2"/>
          <w:sz w:val="32"/>
          <w:szCs w:val="32"/>
          <w:lang w:val="en-US" w:eastAsia="zh-CN" w:bidi="ar-SA"/>
        </w:rPr>
        <w:t>本部门无国有资本经营预算支出。</w:t>
      </w:r>
    </w:p>
    <w:p w14:paraId="6678DDBB">
      <w:pPr>
        <w:widowControl/>
        <w:numPr>
          <w:ilvl w:val="0"/>
          <w:numId w:val="1"/>
        </w:numPr>
        <w:spacing w:line="600" w:lineRule="exact"/>
        <w:ind w:left="1360" w:leftChars="0" w:hanging="720" w:firstLineChars="0"/>
        <w:jc w:val="left"/>
        <w:rPr>
          <w:rFonts w:hint="default" w:ascii="Times New Roman" w:hAnsi="Times New Roman" w:eastAsia="黑体" w:cs="Times New Roman"/>
          <w:sz w:val="32"/>
          <w:szCs w:val="32"/>
          <w:highlight w:val="none"/>
          <w:lang w:bidi="ar-SA"/>
        </w:rPr>
      </w:pPr>
      <w:r>
        <w:rPr>
          <w:rFonts w:hint="default" w:ascii="Times New Roman" w:hAnsi="Times New Roman" w:eastAsia="黑体" w:cs="Times New Roman"/>
          <w:sz w:val="32"/>
          <w:szCs w:val="32"/>
          <w:highlight w:val="none"/>
          <w:lang w:bidi="ar-SA"/>
        </w:rPr>
        <w:t>社会保险基金预算支出情况</w:t>
      </w:r>
    </w:p>
    <w:p w14:paraId="2934303A">
      <w:pPr>
        <w:spacing w:after="2"/>
        <w:ind w:firstLine="640" w:firstLineChars="200"/>
        <w:rPr>
          <w:rFonts w:hint="default" w:ascii="仿宋_GB2312" w:hAnsi="仿宋" w:eastAsia="仿宋_GB2312" w:cs="Times New Roman"/>
          <w:kern w:val="2"/>
          <w:sz w:val="32"/>
          <w:szCs w:val="32"/>
          <w:lang w:val="en-US" w:eastAsia="zh-CN" w:bidi="ar-SA"/>
        </w:rPr>
      </w:pPr>
      <w:r>
        <w:rPr>
          <w:rFonts w:hint="eastAsia" w:ascii="仿宋_GB2312" w:hAnsi="仿宋" w:eastAsia="仿宋_GB2312" w:cs="Times New Roman"/>
          <w:kern w:val="2"/>
          <w:sz w:val="32"/>
          <w:szCs w:val="32"/>
          <w:lang w:val="en-US" w:eastAsia="zh-CN" w:bidi="ar-SA"/>
        </w:rPr>
        <w:t>本部门无社会保险基金预算支出。</w:t>
      </w:r>
    </w:p>
    <w:p w14:paraId="51109B04">
      <w:pPr>
        <w:widowControl/>
        <w:numPr>
          <w:ilvl w:val="0"/>
          <w:numId w:val="1"/>
        </w:numPr>
        <w:spacing w:line="600" w:lineRule="exact"/>
        <w:ind w:left="1360" w:leftChars="0" w:hanging="720" w:firstLineChars="0"/>
        <w:jc w:val="left"/>
        <w:rPr>
          <w:rFonts w:hint="default" w:ascii="Times New Roman" w:hAnsi="Times New Roman" w:eastAsia="黑体" w:cs="Times New Roman"/>
          <w:sz w:val="32"/>
          <w:szCs w:val="32"/>
          <w:highlight w:val="none"/>
          <w:lang w:bidi="ar-SA"/>
        </w:rPr>
      </w:pPr>
      <w:r>
        <w:rPr>
          <w:rFonts w:hint="default" w:ascii="Times New Roman" w:hAnsi="Times New Roman" w:eastAsia="黑体" w:cs="Times New Roman"/>
          <w:sz w:val="32"/>
          <w:szCs w:val="32"/>
          <w:highlight w:val="none"/>
          <w:lang w:bidi="ar-SA"/>
        </w:rPr>
        <w:t>部门整体支出绩效情况</w:t>
      </w:r>
    </w:p>
    <w:p w14:paraId="3B7BE393">
      <w:pPr>
        <w:widowControl/>
        <w:numPr>
          <w:ilvl w:val="0"/>
          <w:numId w:val="0"/>
        </w:numPr>
        <w:spacing w:line="600" w:lineRule="exact"/>
        <w:ind w:left="640" w:leftChars="0"/>
        <w:jc w:val="left"/>
        <w:rPr>
          <w:rFonts w:hint="default" w:ascii="仿宋_GB2312" w:hAnsi="仿宋" w:eastAsia="仿宋_GB2312" w:cs="Times New Roman"/>
          <w:kern w:val="2"/>
          <w:sz w:val="32"/>
          <w:szCs w:val="32"/>
          <w:lang w:val="en-US" w:eastAsia="zh-CN" w:bidi="ar-SA"/>
        </w:rPr>
      </w:pPr>
      <w:r>
        <w:rPr>
          <w:rFonts w:hint="eastAsia" w:ascii="仿宋_GB2312" w:hAnsi="仿宋" w:eastAsia="仿宋_GB2312" w:cs="Times New Roman"/>
          <w:kern w:val="2"/>
          <w:sz w:val="32"/>
          <w:szCs w:val="32"/>
          <w:lang w:val="en-US" w:eastAsia="zh-CN" w:bidi="ar-SA"/>
        </w:rPr>
        <w:t>（一）整体支出情况</w:t>
      </w:r>
    </w:p>
    <w:p w14:paraId="49A113D5">
      <w:pPr>
        <w:pStyle w:val="6"/>
        <w:widowControl/>
        <w:numPr>
          <w:ilvl w:val="0"/>
          <w:numId w:val="0"/>
        </w:numPr>
        <w:spacing w:line="600" w:lineRule="exact"/>
        <w:ind w:firstLine="640" w:firstLineChars="200"/>
        <w:rPr>
          <w:rFonts w:hint="default" w:ascii="仿宋_GB2312" w:hAnsi="仿宋" w:eastAsia="仿宋_GB2312" w:cs="Times New Roman"/>
          <w:kern w:val="2"/>
          <w:sz w:val="32"/>
          <w:szCs w:val="32"/>
          <w:lang w:val="en-US" w:eastAsia="zh-CN" w:bidi="ar-SA"/>
        </w:rPr>
      </w:pPr>
      <w:r>
        <w:rPr>
          <w:rFonts w:hint="eastAsia" w:ascii="仿宋_GB2312" w:hAnsi="仿宋" w:eastAsia="仿宋_GB2312" w:cs="Times New Roman"/>
          <w:kern w:val="2"/>
          <w:sz w:val="32"/>
          <w:szCs w:val="32"/>
          <w:lang w:val="en-US" w:eastAsia="zh-CN" w:bidi="ar-SA"/>
        </w:rPr>
        <w:t>2023年本单位年初一般公共预算收入162.25万元，年末决算一般公共预算收入503.01万元，其中一般公共预算收入418.84万元，政府基金收入58.01万元，其他往来资金收入26.16万元。</w:t>
      </w:r>
    </w:p>
    <w:p w14:paraId="3DCF208A">
      <w:pPr>
        <w:pStyle w:val="6"/>
        <w:widowControl/>
        <w:numPr>
          <w:ilvl w:val="0"/>
          <w:numId w:val="0"/>
        </w:numPr>
        <w:spacing w:line="600" w:lineRule="exact"/>
        <w:ind w:firstLine="640" w:firstLineChars="200"/>
        <w:rPr>
          <w:rFonts w:hint="eastAsia" w:ascii="仿宋_GB2312" w:hAnsi="仿宋" w:eastAsia="仿宋_GB2312" w:cs="Times New Roman"/>
          <w:kern w:val="2"/>
          <w:sz w:val="32"/>
          <w:szCs w:val="32"/>
          <w:lang w:val="en-US" w:eastAsia="zh-CN" w:bidi="ar-SA"/>
        </w:rPr>
      </w:pPr>
      <w:r>
        <w:rPr>
          <w:rFonts w:hint="eastAsia" w:ascii="仿宋_GB2312" w:hAnsi="仿宋" w:eastAsia="仿宋_GB2312" w:cs="Times New Roman"/>
          <w:kern w:val="2"/>
          <w:sz w:val="32"/>
          <w:szCs w:val="32"/>
          <w:lang w:val="en-US" w:eastAsia="zh-CN" w:bidi="ar-SA"/>
        </w:rPr>
        <w:t>2023年财政拨款支出合计503.01万元，其中基本支出170.6万元，包括工资福利支出125.77万元；商品服务支出38.67万元，对个人和家庭的补助6.16万元；项目支出332.41万元，包括孤儿基本生活保障75.30万元，</w:t>
      </w:r>
      <w:r>
        <w:rPr>
          <w:rFonts w:hint="default" w:ascii="仿宋_GB2312" w:hAnsi="仿宋" w:eastAsia="仿宋_GB2312" w:cs="Times New Roman"/>
          <w:kern w:val="2"/>
          <w:sz w:val="32"/>
          <w:szCs w:val="32"/>
          <w:lang w:val="en-US" w:eastAsia="zh-CN" w:bidi="ar-SA"/>
        </w:rPr>
        <w:t>城市特困人员救助供养</w:t>
      </w:r>
      <w:r>
        <w:rPr>
          <w:rFonts w:hint="eastAsia" w:ascii="仿宋_GB2312" w:hAnsi="仿宋" w:eastAsia="仿宋_GB2312" w:cs="Times New Roman"/>
          <w:kern w:val="2"/>
          <w:sz w:val="32"/>
          <w:szCs w:val="32"/>
          <w:lang w:val="en-US" w:eastAsia="zh-CN" w:bidi="ar-SA"/>
        </w:rPr>
        <w:t>100.06万元，彩票公益金儿童福利机构设施58.01万元，</w:t>
      </w:r>
      <w:r>
        <w:rPr>
          <w:rFonts w:hint="default" w:ascii="仿宋_GB2312" w:hAnsi="仿宋" w:eastAsia="仿宋_GB2312" w:cs="Times New Roman"/>
          <w:kern w:val="2"/>
          <w:sz w:val="32"/>
          <w:szCs w:val="32"/>
          <w:lang w:val="en-US" w:eastAsia="zh-CN" w:bidi="ar-SA"/>
        </w:rPr>
        <w:t>未成年人社会保护资金</w:t>
      </w:r>
      <w:r>
        <w:rPr>
          <w:rFonts w:hint="eastAsia" w:ascii="仿宋_GB2312" w:hAnsi="仿宋" w:eastAsia="仿宋_GB2312" w:cs="Times New Roman"/>
          <w:kern w:val="2"/>
          <w:sz w:val="32"/>
          <w:szCs w:val="32"/>
          <w:lang w:val="en-US" w:eastAsia="zh-CN" w:bidi="ar-SA"/>
        </w:rPr>
        <w:t>39.04，孤儿专项护理60万元。主要用于孤残儿童和城市特困人员生活费和护理人员的专项经费开支。</w:t>
      </w:r>
    </w:p>
    <w:p w14:paraId="00E36F03">
      <w:pPr>
        <w:pStyle w:val="6"/>
        <w:widowControl/>
        <w:numPr>
          <w:ilvl w:val="0"/>
          <w:numId w:val="2"/>
        </w:numPr>
        <w:spacing w:line="600" w:lineRule="exact"/>
        <w:ind w:left="1720" w:leftChars="0" w:hanging="1080" w:firstLineChars="0"/>
        <w:rPr>
          <w:rFonts w:hint="eastAsia" w:ascii="仿宋_GB2312" w:hAnsi="仿宋" w:eastAsia="仿宋_GB2312" w:cs="Times New Roman"/>
          <w:kern w:val="2"/>
          <w:sz w:val="32"/>
          <w:szCs w:val="32"/>
          <w:lang w:val="en-US" w:eastAsia="zh-CN" w:bidi="ar-SA"/>
        </w:rPr>
      </w:pPr>
      <w:r>
        <w:rPr>
          <w:rFonts w:hint="eastAsia" w:ascii="仿宋_GB2312" w:hAnsi="仿宋" w:eastAsia="仿宋_GB2312" w:cs="Times New Roman"/>
          <w:kern w:val="2"/>
          <w:sz w:val="32"/>
          <w:szCs w:val="32"/>
          <w:lang w:val="en-US" w:eastAsia="zh-CN" w:bidi="ar-SA"/>
        </w:rPr>
        <w:t>整体绩效情况</w:t>
      </w:r>
    </w:p>
    <w:p w14:paraId="1C57EFC2">
      <w:pPr>
        <w:ind w:firstLine="640" w:firstLineChars="200"/>
        <w:rPr>
          <w:rFonts w:ascii="仿宋_GB2312" w:hAnsi="仿宋" w:eastAsia="仿宋_GB2312"/>
          <w:sz w:val="32"/>
          <w:szCs w:val="32"/>
        </w:rPr>
      </w:pPr>
      <w:r>
        <w:rPr>
          <w:rFonts w:hint="eastAsia" w:ascii="仿宋_GB2312" w:hAnsi="仿宋" w:eastAsia="仿宋_GB2312"/>
          <w:sz w:val="32"/>
          <w:szCs w:val="32"/>
        </w:rPr>
        <w:t>1、 预算配置控制较好。财政供养人员控制在预算编制以内，编制内在职人员控制率≦100%；“三公”经费预算总额较上年减少</w:t>
      </w:r>
      <w:r>
        <w:rPr>
          <w:rFonts w:hint="eastAsia" w:ascii="仿宋_GB2312" w:hAnsi="仿宋" w:eastAsia="仿宋_GB2312"/>
          <w:sz w:val="32"/>
          <w:szCs w:val="32"/>
          <w:lang w:val="en-US" w:eastAsia="zh-CN"/>
        </w:rPr>
        <w:t>80</w:t>
      </w:r>
      <w:r>
        <w:rPr>
          <w:rFonts w:hint="eastAsia" w:ascii="仿宋_GB2312" w:hAnsi="仿宋" w:eastAsia="仿宋_GB2312"/>
          <w:sz w:val="32"/>
          <w:szCs w:val="32"/>
        </w:rPr>
        <w:t>%，</w:t>
      </w:r>
      <w:r>
        <w:rPr>
          <w:rFonts w:hint="eastAsia" w:ascii="仿宋_GB2312" w:hAnsi="仿宋" w:eastAsia="仿宋_GB2312"/>
          <w:sz w:val="32"/>
          <w:szCs w:val="32"/>
          <w:lang w:val="en-US" w:eastAsia="zh-CN"/>
        </w:rPr>
        <w:t>主要是我单未属于封闭式管理单位，接待任务少，开源节流减少三公经费开支</w:t>
      </w:r>
      <w:r>
        <w:rPr>
          <w:rFonts w:hint="eastAsia" w:ascii="仿宋_GB2312" w:hAnsi="仿宋" w:eastAsia="仿宋_GB2312"/>
          <w:sz w:val="32"/>
          <w:szCs w:val="32"/>
        </w:rPr>
        <w:t>。</w:t>
      </w:r>
    </w:p>
    <w:p w14:paraId="2F18E246">
      <w:pPr>
        <w:ind w:firstLine="640" w:firstLineChars="200"/>
        <w:rPr>
          <w:rFonts w:ascii="仿宋_GB2312" w:hAnsi="仿宋" w:eastAsia="仿宋_GB2312"/>
          <w:sz w:val="32"/>
          <w:szCs w:val="32"/>
        </w:rPr>
      </w:pPr>
      <w:r>
        <w:rPr>
          <w:rFonts w:hint="eastAsia" w:ascii="仿宋_GB2312" w:hAnsi="仿宋" w:eastAsia="仿宋_GB2312"/>
          <w:sz w:val="32"/>
          <w:szCs w:val="32"/>
        </w:rPr>
        <w:t>2、 预算执行比较到位。支出总额控制在预算总额以内，预算完成率达到100%，全年无截留或滞留专项资金情况。</w:t>
      </w:r>
    </w:p>
    <w:p w14:paraId="0D56C6DE">
      <w:pPr>
        <w:ind w:firstLine="640" w:firstLineChars="200"/>
        <w:rPr>
          <w:rFonts w:ascii="仿宋_GB2312" w:hAnsi="仿宋" w:eastAsia="仿宋_GB2312"/>
          <w:sz w:val="32"/>
          <w:szCs w:val="32"/>
        </w:rPr>
      </w:pPr>
      <w:r>
        <w:rPr>
          <w:rFonts w:hint="eastAsia" w:ascii="仿宋_GB2312" w:hAnsi="仿宋" w:eastAsia="仿宋_GB2312"/>
          <w:sz w:val="32"/>
          <w:szCs w:val="32"/>
        </w:rPr>
        <w:t>3、预算管理较为理想。制度执行总体较为有效，但仍需进一步强化。全年公用经费控制率为100%；“三公”经费总体控制较好，未超过2023年预算，“三公”经费控制率为100%。</w:t>
      </w:r>
    </w:p>
    <w:p w14:paraId="609C8CC3">
      <w:pPr>
        <w:ind w:firstLine="640" w:firstLineChars="200"/>
        <w:rPr>
          <w:rFonts w:ascii="仿宋_GB2312" w:hAnsi="仿宋" w:eastAsia="仿宋_GB2312"/>
          <w:sz w:val="32"/>
          <w:szCs w:val="32"/>
        </w:rPr>
      </w:pPr>
      <w:r>
        <w:rPr>
          <w:rFonts w:hint="eastAsia" w:ascii="仿宋_GB2312" w:hAnsi="仿宋" w:eastAsia="仿宋_GB2312"/>
          <w:sz w:val="32"/>
          <w:szCs w:val="32"/>
          <w:lang w:val="en-US" w:eastAsia="zh-CN"/>
        </w:rPr>
        <w:t>4、</w:t>
      </w:r>
      <w:r>
        <w:rPr>
          <w:rFonts w:hint="eastAsia" w:ascii="仿宋_GB2312" w:hAnsi="仿宋" w:eastAsia="仿宋_GB2312"/>
          <w:sz w:val="32"/>
          <w:szCs w:val="32"/>
        </w:rPr>
        <w:t>政府采购项目，凡单位购买属于政府采购范围内的货物、工程和服务，严格遵守政府采购相关法律法规的规定办理相关审批手续，政府采购执行率达到100%。</w:t>
      </w:r>
    </w:p>
    <w:p w14:paraId="28D4D328">
      <w:pPr>
        <w:ind w:firstLine="640" w:firstLineChars="200"/>
        <w:rPr>
          <w:rFonts w:ascii="仿宋_GB2312" w:hAnsi="仿宋" w:eastAsia="仿宋_GB2312"/>
          <w:sz w:val="32"/>
          <w:szCs w:val="32"/>
        </w:rPr>
      </w:pPr>
      <w:r>
        <w:rPr>
          <w:rFonts w:hint="eastAsia" w:ascii="仿宋_GB2312" w:hAnsi="仿宋" w:eastAsia="仿宋_GB2312"/>
          <w:sz w:val="32"/>
          <w:szCs w:val="32"/>
          <w:lang w:val="en-US" w:eastAsia="zh-CN"/>
        </w:rPr>
        <w:t>5、</w:t>
      </w:r>
      <w:r>
        <w:rPr>
          <w:rFonts w:hint="eastAsia" w:ascii="仿宋_GB2312" w:hAnsi="仿宋" w:eastAsia="仿宋_GB2312"/>
          <w:sz w:val="32"/>
          <w:szCs w:val="32"/>
        </w:rPr>
        <w:t>管理制度健全。我们严格预算管理，坚持执行财经和财务制度，修改完善了《财务管理制度》、《资产管理制度》等工作制度，进一步明确了财政预算资金审批手续和拨付程序、部门行政经费审批手续和报销程序，加强了财务管理，规范了收支行为，保证了财务管理工作规范有序进行。</w:t>
      </w:r>
    </w:p>
    <w:p w14:paraId="6DE9486B">
      <w:pPr>
        <w:spacing w:after="2"/>
        <w:ind w:firstLine="640" w:firstLineChars="200"/>
        <w:rPr>
          <w:rFonts w:hint="eastAsia" w:ascii="仿宋_GB2312" w:hAnsi="仿宋" w:eastAsia="仿宋_GB2312" w:cs="Times New Roman"/>
          <w:kern w:val="2"/>
          <w:sz w:val="32"/>
          <w:szCs w:val="32"/>
          <w:lang w:val="en-US" w:eastAsia="zh-CN" w:bidi="ar-SA"/>
        </w:rPr>
      </w:pPr>
      <w:r>
        <w:rPr>
          <w:rFonts w:hint="eastAsia" w:ascii="仿宋_GB2312" w:hAnsi="仿宋" w:eastAsia="仿宋_GB2312" w:cs="Times New Roman"/>
          <w:kern w:val="2"/>
          <w:sz w:val="32"/>
          <w:szCs w:val="32"/>
          <w:lang w:val="en-US" w:eastAsia="zh-CN" w:bidi="ar-SA"/>
        </w:rPr>
        <w:t>6、预算绩效目标说明：</w:t>
      </w:r>
    </w:p>
    <w:p w14:paraId="6EC72434">
      <w:pPr>
        <w:spacing w:after="2"/>
        <w:ind w:firstLine="640" w:firstLineChars="200"/>
        <w:rPr>
          <w:rFonts w:hint="eastAsia" w:ascii="仿宋_GB2312" w:hAnsi="仿宋" w:eastAsia="仿宋_GB2312" w:cs="Times New Roman"/>
          <w:kern w:val="2"/>
          <w:sz w:val="32"/>
          <w:szCs w:val="32"/>
          <w:lang w:val="en-US" w:eastAsia="zh-CN" w:bidi="ar-SA"/>
        </w:rPr>
      </w:pPr>
      <w:r>
        <w:rPr>
          <w:rFonts w:hint="eastAsia" w:ascii="仿宋_GB2312" w:hAnsi="仿宋" w:eastAsia="仿宋_GB2312" w:cs="Times New Roman"/>
          <w:kern w:val="2"/>
          <w:sz w:val="32"/>
          <w:szCs w:val="32"/>
          <w:lang w:val="en-US" w:eastAsia="zh-CN" w:bidi="ar-SA"/>
        </w:rPr>
        <w:t>完善社会福利，提高孤残儿童和城市特困人员基本生活保障水平；开展对全市老年人、残疾人、孤残儿童的社会服务工作及对社区服务指导工作；整体支出严格依照相关财务管理规定执行，特别重视量财办事、量力而行，严格控制标准、注重节约，少花钱办好事。</w:t>
      </w:r>
    </w:p>
    <w:p w14:paraId="51CC9AA7">
      <w:pPr>
        <w:spacing w:after="2"/>
        <w:ind w:firstLine="640" w:firstLineChars="200"/>
        <w:rPr>
          <w:rFonts w:hint="eastAsia" w:ascii="仿宋_GB2312" w:hAnsi="仿宋" w:eastAsia="仿宋_GB2312" w:cs="Times New Roman"/>
          <w:kern w:val="2"/>
          <w:sz w:val="32"/>
          <w:szCs w:val="32"/>
          <w:lang w:val="en-US" w:eastAsia="zh-CN" w:bidi="ar-SA"/>
        </w:rPr>
      </w:pPr>
      <w:r>
        <w:rPr>
          <w:rFonts w:hint="eastAsia" w:ascii="仿宋_GB2312" w:hAnsi="仿宋" w:eastAsia="仿宋_GB2312" w:cs="Times New Roman"/>
          <w:kern w:val="2"/>
          <w:sz w:val="32"/>
          <w:szCs w:val="32"/>
          <w:lang w:val="en-US" w:eastAsia="zh-CN" w:bidi="ar-SA"/>
        </w:rPr>
        <w:t>对于社会孤残儿童、城市特困人员和临时监护未成年人我单位做到应收尽收；保障每个救助孤儿生活达到1500元/月的标准，城市特困人员标准达到845元/月的标准。开展未成年保护活动策划宣传活动，不断强化未成年人保护和思想道德建设工作和法制宣传工作。给孤儿和城市特困人员营造快乐和谐的成长和生活环境；社会好评率达到100%；</w:t>
      </w:r>
    </w:p>
    <w:p w14:paraId="1D0CF67F">
      <w:pPr>
        <w:spacing w:after="2"/>
        <w:ind w:firstLine="640" w:firstLineChars="200"/>
        <w:rPr>
          <w:rFonts w:hint="eastAsia" w:ascii="仿宋_GB2312" w:hAnsi="仿宋" w:eastAsia="仿宋_GB2312" w:cs="Times New Roman"/>
          <w:kern w:val="2"/>
          <w:sz w:val="32"/>
          <w:szCs w:val="32"/>
          <w:lang w:val="en-US" w:eastAsia="zh-CN" w:bidi="ar-SA"/>
        </w:rPr>
      </w:pPr>
      <w:r>
        <w:rPr>
          <w:rFonts w:hint="eastAsia" w:ascii="仿宋_GB2312" w:hAnsi="仿宋" w:eastAsia="仿宋_GB2312" w:cs="Times New Roman"/>
          <w:kern w:val="2"/>
          <w:sz w:val="32"/>
          <w:szCs w:val="32"/>
          <w:lang w:val="en-US" w:eastAsia="zh-CN" w:bidi="ar-SA"/>
        </w:rPr>
        <w:t>严格规范内部管理，加强了后勤保障与食品安全管理，消除了安全隐患，加强了消防安全管理，坚持了24小时值班与干部带班制度。</w:t>
      </w:r>
    </w:p>
    <w:p w14:paraId="0CD2C32D">
      <w:pPr>
        <w:pStyle w:val="6"/>
        <w:widowControl/>
        <w:numPr>
          <w:ilvl w:val="0"/>
          <w:numId w:val="1"/>
        </w:numPr>
        <w:spacing w:line="600" w:lineRule="exact"/>
        <w:ind w:left="1360" w:leftChars="0" w:hanging="720" w:firstLineChars="0"/>
        <w:jc w:val="left"/>
        <w:rPr>
          <w:rFonts w:hint="default" w:ascii="Times New Roman" w:hAnsi="Times New Roman" w:eastAsia="黑体" w:cs="Times New Roman"/>
          <w:sz w:val="32"/>
          <w:szCs w:val="32"/>
          <w:highlight w:val="none"/>
          <w:lang w:bidi="ar-SA"/>
        </w:rPr>
      </w:pPr>
      <w:r>
        <w:rPr>
          <w:rFonts w:hint="default" w:ascii="Times New Roman" w:hAnsi="Times New Roman" w:eastAsia="黑体" w:cs="Times New Roman"/>
          <w:sz w:val="32"/>
          <w:szCs w:val="32"/>
          <w:highlight w:val="none"/>
          <w:lang w:bidi="ar-SA"/>
        </w:rPr>
        <w:t>存在的问题及原因分析</w:t>
      </w:r>
    </w:p>
    <w:p w14:paraId="4FA3FDAB">
      <w:pPr>
        <w:ind w:firstLine="480" w:firstLineChars="150"/>
        <w:rPr>
          <w:rFonts w:hint="eastAsia" w:ascii="Times New Roman" w:hAnsi="Times New Roman" w:eastAsia="黑体" w:cs="Times New Roman"/>
          <w:sz w:val="32"/>
          <w:szCs w:val="32"/>
          <w:highlight w:val="none"/>
          <w:lang w:val="en-US" w:eastAsia="zh-CN" w:bidi="ar-SA"/>
        </w:rPr>
      </w:pPr>
      <w:r>
        <w:rPr>
          <w:rFonts w:hint="eastAsia" w:ascii="仿宋_GB2312" w:hAnsi="仿宋" w:eastAsia="仿宋_GB2312"/>
          <w:sz w:val="32"/>
          <w:szCs w:val="32"/>
        </w:rPr>
        <w:t>1、</w:t>
      </w:r>
      <w:r>
        <w:rPr>
          <w:rFonts w:hint="eastAsia" w:ascii="仿宋_GB2312" w:hAnsi="仿宋" w:eastAsia="仿宋_GB2312"/>
          <w:sz w:val="32"/>
          <w:szCs w:val="32"/>
          <w:lang w:val="en-US" w:eastAsia="zh-CN"/>
        </w:rPr>
        <w:t>益阳市儿童福利院增加了社会福利院和未成年保护中心职责</w:t>
      </w:r>
      <w:r>
        <w:rPr>
          <w:rFonts w:hint="eastAsia" w:ascii="仿宋_GB2312" w:hAnsi="仿宋" w:eastAsia="仿宋_GB2312"/>
          <w:sz w:val="32"/>
          <w:szCs w:val="32"/>
        </w:rPr>
        <w:t>范围</w:t>
      </w:r>
      <w:r>
        <w:rPr>
          <w:rFonts w:hint="eastAsia" w:ascii="仿宋_GB2312" w:hAnsi="仿宋" w:eastAsia="仿宋_GB2312"/>
          <w:sz w:val="32"/>
          <w:szCs w:val="32"/>
          <w:lang w:eastAsia="zh-CN"/>
        </w:rPr>
        <w:t>，</w:t>
      </w:r>
      <w:r>
        <w:rPr>
          <w:rFonts w:hint="eastAsia" w:ascii="仿宋_GB2312" w:hAnsi="仿宋" w:eastAsia="仿宋_GB2312"/>
          <w:sz w:val="32"/>
          <w:szCs w:val="32"/>
          <w:lang w:val="en-US" w:eastAsia="zh-CN"/>
        </w:rPr>
        <w:t>业务范围</w:t>
      </w:r>
      <w:r>
        <w:rPr>
          <w:rFonts w:hint="eastAsia" w:ascii="仿宋_GB2312" w:hAnsi="仿宋" w:eastAsia="仿宋_GB2312"/>
          <w:sz w:val="32"/>
          <w:szCs w:val="32"/>
        </w:rPr>
        <w:t>扩大，</w:t>
      </w:r>
      <w:r>
        <w:rPr>
          <w:rFonts w:hint="eastAsia" w:ascii="仿宋_GB2312" w:hAnsi="仿宋" w:eastAsia="仿宋_GB2312"/>
          <w:sz w:val="32"/>
          <w:szCs w:val="32"/>
          <w:lang w:val="en-US" w:eastAsia="zh-CN"/>
        </w:rPr>
        <w:t>运转经费严重不足，不能满足日常工作需求。</w:t>
      </w:r>
    </w:p>
    <w:p w14:paraId="52C65C5E">
      <w:pPr>
        <w:widowControl/>
        <w:spacing w:line="600" w:lineRule="exact"/>
        <w:ind w:firstLine="640" w:firstLineChars="200"/>
        <w:jc w:val="left"/>
        <w:rPr>
          <w:rFonts w:hint="default" w:ascii="Times New Roman" w:hAnsi="Times New Roman" w:eastAsia="仿宋_GB2312" w:cs="Times New Roman"/>
          <w:color w:val="000000"/>
          <w:sz w:val="32"/>
          <w:szCs w:val="32"/>
          <w:highlight w:val="none"/>
          <w:lang w:bidi="ar-SA"/>
        </w:rPr>
      </w:pPr>
      <w:r>
        <w:rPr>
          <w:rFonts w:hint="eastAsia" w:ascii="Times New Roman" w:hAnsi="Times New Roman" w:eastAsia="仿宋_GB2312" w:cs="Times New Roman"/>
          <w:color w:val="000000"/>
          <w:sz w:val="32"/>
          <w:szCs w:val="32"/>
          <w:highlight w:val="none"/>
          <w:lang w:val="en-US" w:eastAsia="zh-CN" w:bidi="ar-SA"/>
        </w:rPr>
        <w:t>2、</w:t>
      </w:r>
      <w:r>
        <w:rPr>
          <w:rFonts w:hint="eastAsia" w:ascii="Times New Roman" w:hAnsi="Times New Roman" w:eastAsia="仿宋_GB2312" w:cs="Times New Roman"/>
          <w:color w:val="000000"/>
          <w:sz w:val="32"/>
          <w:szCs w:val="32"/>
          <w:highlight w:val="none"/>
          <w:lang w:bidi="ar-SA"/>
        </w:rPr>
        <w:t>积极清理往来款项。对于常年挂账的往来，应与相关部门对接，分析形成的原因与现有状况，研究具体解决办法，在政策允许的范围内，尽可能的盘活资产，保障国有资产的安全。</w:t>
      </w:r>
    </w:p>
    <w:p w14:paraId="0E633687">
      <w:pPr>
        <w:widowControl/>
        <w:spacing w:line="600" w:lineRule="exact"/>
        <w:ind w:firstLine="640" w:firstLineChars="200"/>
        <w:jc w:val="left"/>
        <w:rPr>
          <w:rFonts w:hint="default" w:ascii="Times New Roman" w:hAnsi="Times New Roman" w:eastAsia="黑体" w:cs="Times New Roman"/>
          <w:sz w:val="32"/>
          <w:szCs w:val="32"/>
          <w:highlight w:val="none"/>
          <w:lang w:bidi="ar-SA"/>
        </w:rPr>
      </w:pPr>
      <w:r>
        <w:rPr>
          <w:rFonts w:hint="eastAsia" w:ascii="Times New Roman" w:hAnsi="Times New Roman" w:eastAsia="黑体" w:cs="Times New Roman"/>
          <w:sz w:val="32"/>
          <w:szCs w:val="32"/>
          <w:highlight w:val="none"/>
          <w:lang w:val="en-US" w:eastAsia="zh-CN" w:bidi="ar-SA"/>
        </w:rPr>
        <w:t>八</w:t>
      </w:r>
      <w:r>
        <w:rPr>
          <w:rFonts w:hint="default" w:ascii="Times New Roman" w:hAnsi="Times New Roman" w:eastAsia="黑体" w:cs="Times New Roman"/>
          <w:sz w:val="32"/>
          <w:szCs w:val="32"/>
          <w:highlight w:val="none"/>
          <w:lang w:bidi="ar-SA"/>
        </w:rPr>
        <w:t>、下一步改进措施</w:t>
      </w:r>
    </w:p>
    <w:p w14:paraId="654F37B9">
      <w:pPr>
        <w:widowControl/>
        <w:spacing w:line="600" w:lineRule="exact"/>
        <w:ind w:firstLine="645"/>
        <w:jc w:val="left"/>
        <w:rPr>
          <w:rFonts w:hint="eastAsia" w:ascii="Times New Roman" w:hAnsi="Times New Roman" w:eastAsia="仿宋_GB2312" w:cs="Times New Roman"/>
          <w:color w:val="000000"/>
          <w:sz w:val="32"/>
          <w:szCs w:val="32"/>
          <w:highlight w:val="none"/>
          <w:lang w:bidi="ar-SA"/>
        </w:rPr>
      </w:pPr>
      <w:r>
        <w:rPr>
          <w:rFonts w:hint="eastAsia" w:ascii="Times New Roman" w:hAnsi="Times New Roman" w:eastAsia="仿宋_GB2312" w:cs="Times New Roman"/>
          <w:color w:val="000000"/>
          <w:sz w:val="32"/>
          <w:szCs w:val="32"/>
          <w:highlight w:val="none"/>
          <w:lang w:val="en-US" w:eastAsia="zh-CN" w:bidi="ar-SA"/>
        </w:rPr>
        <w:t>1、</w:t>
      </w:r>
      <w:r>
        <w:rPr>
          <w:rFonts w:hint="eastAsia" w:ascii="Times New Roman" w:hAnsi="Times New Roman" w:eastAsia="仿宋_GB2312" w:cs="Times New Roman"/>
          <w:color w:val="000000"/>
          <w:sz w:val="32"/>
          <w:szCs w:val="32"/>
          <w:highlight w:val="none"/>
          <w:lang w:bidi="ar-SA"/>
        </w:rPr>
        <w:t>加大福利服务基础设施建设。</w:t>
      </w:r>
    </w:p>
    <w:p w14:paraId="0DF21AD7">
      <w:pPr>
        <w:widowControl/>
        <w:spacing w:line="600" w:lineRule="exact"/>
        <w:ind w:firstLine="645"/>
        <w:jc w:val="left"/>
        <w:rPr>
          <w:rFonts w:hint="eastAsia" w:ascii="Times New Roman" w:hAnsi="Times New Roman" w:eastAsia="仿宋_GB2312" w:cs="Times New Roman"/>
          <w:color w:val="000000"/>
          <w:sz w:val="32"/>
          <w:szCs w:val="32"/>
          <w:highlight w:val="none"/>
          <w:lang w:bidi="ar-SA"/>
        </w:rPr>
      </w:pPr>
      <w:r>
        <w:rPr>
          <w:rFonts w:hint="eastAsia" w:ascii="Times New Roman" w:hAnsi="Times New Roman" w:eastAsia="仿宋_GB2312" w:cs="Times New Roman"/>
          <w:color w:val="000000"/>
          <w:sz w:val="32"/>
          <w:szCs w:val="32"/>
          <w:highlight w:val="none"/>
          <w:lang w:val="en-US" w:eastAsia="zh-CN" w:bidi="ar-SA"/>
        </w:rPr>
        <w:t>2、</w:t>
      </w:r>
      <w:r>
        <w:rPr>
          <w:rFonts w:hint="eastAsia" w:ascii="Times New Roman" w:hAnsi="Times New Roman" w:eastAsia="仿宋_GB2312" w:cs="Times New Roman"/>
          <w:color w:val="000000"/>
          <w:sz w:val="32"/>
          <w:szCs w:val="32"/>
          <w:highlight w:val="none"/>
          <w:lang w:bidi="ar-SA"/>
        </w:rPr>
        <w:t>在预算、收支、政府采购、资产管理、工程管理、合同管理等方面严格遵守各项制度，共同推动单位内部控制水平的整体提升。</w:t>
      </w:r>
    </w:p>
    <w:p w14:paraId="4F04474A">
      <w:pPr>
        <w:widowControl/>
        <w:spacing w:line="600" w:lineRule="exact"/>
        <w:ind w:firstLine="645"/>
        <w:jc w:val="left"/>
        <w:rPr>
          <w:rFonts w:hint="default" w:ascii="Times New Roman" w:hAnsi="Times New Roman" w:eastAsia="黑体" w:cs="Times New Roman"/>
          <w:sz w:val="32"/>
          <w:szCs w:val="32"/>
          <w:highlight w:val="none"/>
          <w:lang w:bidi="ar-SA"/>
        </w:rPr>
      </w:pPr>
      <w:r>
        <w:rPr>
          <w:rFonts w:hint="eastAsia" w:ascii="Times New Roman" w:hAnsi="Times New Roman" w:eastAsia="仿宋_GB2312" w:cs="Times New Roman"/>
          <w:color w:val="000000"/>
          <w:sz w:val="32"/>
          <w:szCs w:val="32"/>
          <w:highlight w:val="none"/>
          <w:lang w:val="en-US" w:eastAsia="zh-CN" w:bidi="ar-SA"/>
        </w:rPr>
        <w:t>3、</w:t>
      </w:r>
      <w:r>
        <w:rPr>
          <w:rFonts w:hint="eastAsia" w:ascii="Times New Roman" w:hAnsi="Times New Roman" w:eastAsia="仿宋_GB2312" w:cs="Times New Roman"/>
          <w:color w:val="000000"/>
          <w:sz w:val="32"/>
          <w:szCs w:val="32"/>
          <w:highlight w:val="none"/>
          <w:lang w:bidi="ar-SA"/>
        </w:rPr>
        <w:t>积极清理往来款项</w:t>
      </w:r>
      <w:r>
        <w:rPr>
          <w:rFonts w:hint="eastAsia" w:ascii="Times New Roman" w:hAnsi="Times New Roman" w:eastAsia="仿宋_GB2312" w:cs="Times New Roman"/>
          <w:color w:val="000000"/>
          <w:sz w:val="32"/>
          <w:szCs w:val="32"/>
          <w:highlight w:val="none"/>
          <w:lang w:eastAsia="zh-CN" w:bidi="ar-SA"/>
        </w:rPr>
        <w:t>。</w:t>
      </w:r>
    </w:p>
    <w:p w14:paraId="29D1E407">
      <w:pPr>
        <w:widowControl/>
        <w:spacing w:line="600" w:lineRule="exact"/>
        <w:ind w:firstLine="645"/>
        <w:jc w:val="left"/>
        <w:rPr>
          <w:rFonts w:hint="default" w:ascii="Times New Roman" w:hAnsi="Times New Roman" w:eastAsia="黑体" w:cs="Times New Roman"/>
          <w:sz w:val="32"/>
          <w:szCs w:val="32"/>
          <w:highlight w:val="none"/>
          <w:lang w:bidi="ar-SA"/>
        </w:rPr>
      </w:pPr>
      <w:r>
        <w:rPr>
          <w:rFonts w:hint="eastAsia" w:ascii="Times New Roman" w:hAnsi="Times New Roman" w:eastAsia="黑体" w:cs="Times New Roman"/>
          <w:sz w:val="32"/>
          <w:szCs w:val="32"/>
          <w:highlight w:val="none"/>
          <w:lang w:val="en-US" w:eastAsia="zh-CN" w:bidi="ar-SA"/>
        </w:rPr>
        <w:t>九</w:t>
      </w:r>
      <w:r>
        <w:rPr>
          <w:rFonts w:hint="default" w:ascii="Times New Roman" w:hAnsi="Times New Roman" w:eastAsia="黑体" w:cs="Times New Roman"/>
          <w:sz w:val="32"/>
          <w:szCs w:val="32"/>
          <w:highlight w:val="none"/>
          <w:lang w:bidi="ar-SA"/>
        </w:rPr>
        <w:t>、绩效自评结果拟应用和公开情况</w:t>
      </w:r>
    </w:p>
    <w:p w14:paraId="2CCFFC05">
      <w:pPr>
        <w:ind w:firstLine="664" w:firstLineChars="200"/>
        <w:rPr>
          <w:rFonts w:hint="default" w:ascii="Times New Roman" w:hAnsi="Times New Roman" w:eastAsia="黑体" w:cs="Times New Roman"/>
          <w:sz w:val="32"/>
          <w:szCs w:val="32"/>
          <w:highlight w:val="none"/>
          <w:lang w:bidi="ar-SA"/>
        </w:rPr>
      </w:pPr>
      <w:r>
        <w:rPr>
          <w:rFonts w:hint="eastAsia" w:ascii="Times New Roman" w:hAnsi="Times New Roman" w:eastAsia="仿宋_GB2312" w:cs="Times New Roman"/>
          <w:spacing w:val="6"/>
          <w:sz w:val="32"/>
          <w:szCs w:val="32"/>
          <w:highlight w:val="none"/>
          <w:lang w:val="en-US" w:eastAsia="zh-CN" w:bidi="ar-SA"/>
        </w:rPr>
        <w:t>我单位根据绩效自评的要求</w:t>
      </w:r>
      <w:r>
        <w:rPr>
          <w:rFonts w:hint="default" w:ascii="Times New Roman" w:hAnsi="Times New Roman" w:eastAsia="仿宋_GB2312" w:cs="Times New Roman"/>
          <w:spacing w:val="6"/>
          <w:sz w:val="32"/>
          <w:szCs w:val="32"/>
          <w:highlight w:val="none"/>
          <w:lang w:val="en" w:eastAsia="en" w:bidi="ar-SA"/>
        </w:rPr>
        <w:t>成立绩效评价工作组。为保</w:t>
      </w:r>
      <w:r>
        <w:rPr>
          <w:rFonts w:hint="default" w:ascii="Times New Roman" w:hAnsi="Times New Roman" w:eastAsia="仿宋_GB2312" w:cs="Times New Roman"/>
          <w:spacing w:val="6"/>
          <w:sz w:val="32"/>
          <w:szCs w:val="32"/>
          <w:highlight w:val="none"/>
          <w:lang w:bidi="ar-SA"/>
        </w:rPr>
        <w:t>障本项目绩效评价工作顺利开展，</w:t>
      </w:r>
      <w:r>
        <w:rPr>
          <w:rFonts w:hint="eastAsia" w:ascii="Times New Roman" w:hAnsi="Times New Roman" w:eastAsia="仿宋_GB2312" w:cs="Times New Roman"/>
          <w:spacing w:val="6"/>
          <w:sz w:val="32"/>
          <w:szCs w:val="32"/>
          <w:highlight w:val="none"/>
          <w:lang w:val="en-US" w:eastAsia="zh-CN" w:bidi="ar-SA"/>
        </w:rPr>
        <w:t>由院长</w:t>
      </w:r>
      <w:r>
        <w:rPr>
          <w:rFonts w:hint="default" w:ascii="Times New Roman" w:hAnsi="Times New Roman" w:eastAsia="仿宋_GB2312" w:cs="Times New Roman"/>
          <w:spacing w:val="6"/>
          <w:sz w:val="32"/>
          <w:szCs w:val="32"/>
          <w:highlight w:val="none"/>
          <w:lang w:bidi="ar-SA"/>
        </w:rPr>
        <w:t>任组长，</w:t>
      </w:r>
      <w:r>
        <w:rPr>
          <w:rFonts w:hint="eastAsia" w:ascii="Times New Roman" w:hAnsi="Times New Roman" w:eastAsia="仿宋_GB2312" w:cs="Times New Roman"/>
          <w:spacing w:val="6"/>
          <w:sz w:val="32"/>
          <w:szCs w:val="32"/>
          <w:highlight w:val="none"/>
          <w:lang w:val="en-US" w:eastAsia="zh-CN" w:bidi="ar-SA"/>
        </w:rPr>
        <w:t>其他科室</w:t>
      </w:r>
      <w:r>
        <w:rPr>
          <w:rFonts w:hint="default" w:ascii="Times New Roman" w:hAnsi="Times New Roman" w:eastAsia="仿宋_GB2312" w:cs="Times New Roman"/>
          <w:spacing w:val="6"/>
          <w:sz w:val="32"/>
          <w:szCs w:val="32"/>
          <w:highlight w:val="none"/>
          <w:lang w:bidi="ar-SA"/>
        </w:rPr>
        <w:t>成员</w:t>
      </w:r>
      <w:r>
        <w:rPr>
          <w:rFonts w:hint="eastAsia" w:ascii="Times New Roman" w:hAnsi="Times New Roman" w:eastAsia="仿宋_GB2312" w:cs="Times New Roman"/>
          <w:spacing w:val="6"/>
          <w:sz w:val="32"/>
          <w:szCs w:val="32"/>
          <w:highlight w:val="none"/>
          <w:lang w:val="en-US" w:eastAsia="zh-CN" w:bidi="ar-SA"/>
        </w:rPr>
        <w:t>组成</w:t>
      </w:r>
      <w:r>
        <w:rPr>
          <w:rFonts w:hint="default" w:ascii="Times New Roman" w:hAnsi="Times New Roman" w:eastAsia="仿宋_GB2312" w:cs="Times New Roman"/>
          <w:spacing w:val="6"/>
          <w:sz w:val="32"/>
          <w:szCs w:val="32"/>
          <w:highlight w:val="none"/>
          <w:lang w:bidi="ar-SA"/>
        </w:rPr>
        <w:t>绩效评价</w:t>
      </w:r>
      <w:r>
        <w:rPr>
          <w:rFonts w:hint="default" w:ascii="Times New Roman" w:hAnsi="Times New Roman" w:eastAsia="仿宋_GB2312" w:cs="Times New Roman"/>
          <w:spacing w:val="6"/>
          <w:sz w:val="32"/>
          <w:szCs w:val="32"/>
          <w:highlight w:val="none"/>
          <w:lang w:val="en" w:eastAsia="en" w:bidi="ar-SA"/>
        </w:rPr>
        <w:t>工作</w:t>
      </w:r>
      <w:r>
        <w:rPr>
          <w:rFonts w:hint="default" w:ascii="Times New Roman" w:hAnsi="Times New Roman" w:eastAsia="仿宋_GB2312" w:cs="Times New Roman"/>
          <w:spacing w:val="6"/>
          <w:sz w:val="32"/>
          <w:szCs w:val="32"/>
          <w:highlight w:val="none"/>
          <w:lang w:bidi="ar-SA"/>
        </w:rPr>
        <w:t>小组。</w:t>
      </w:r>
      <w:r>
        <w:rPr>
          <w:rFonts w:ascii="仿宋_GB2312" w:hAnsi="仿宋" w:eastAsia="仿宋_GB2312"/>
          <w:sz w:val="32"/>
          <w:szCs w:val="32"/>
        </w:rPr>
        <w:t>围绕年度确定的重点工作目标及综合业绩考核的要求，梳理了各项工作的完成情况</w:t>
      </w:r>
      <w:r>
        <w:rPr>
          <w:rFonts w:hint="eastAsia" w:ascii="仿宋_GB2312" w:hAnsi="仿宋" w:eastAsia="仿宋_GB2312"/>
          <w:sz w:val="32"/>
          <w:szCs w:val="32"/>
        </w:rPr>
        <w:t>，组织实施和分析评价，采取座谈等方式听取情况，检查基本支出、项目支出有关账目，收集整理支出相关资料，并根据各部门报送的绩效自评材料进行分析，</w:t>
      </w:r>
      <w:r>
        <w:rPr>
          <w:rFonts w:ascii="仿宋_GB2312" w:hAnsi="仿宋" w:eastAsia="仿宋_GB2312"/>
          <w:sz w:val="32"/>
          <w:szCs w:val="32"/>
        </w:rPr>
        <w:t>撰写</w:t>
      </w:r>
      <w:r>
        <w:rPr>
          <w:rFonts w:hint="eastAsia" w:ascii="仿宋_GB2312" w:hAnsi="仿宋" w:eastAsia="仿宋_GB2312"/>
          <w:sz w:val="32"/>
          <w:szCs w:val="32"/>
        </w:rPr>
        <w:t>评价报告。</w:t>
      </w:r>
    </w:p>
    <w:p w14:paraId="6A2C4F94">
      <w:pPr>
        <w:widowControl/>
        <w:spacing w:line="600" w:lineRule="exact"/>
        <w:ind w:firstLine="645"/>
        <w:jc w:val="left"/>
        <w:rPr>
          <w:rFonts w:hint="eastAsia" w:ascii="Times New Roman" w:hAnsi="Times New Roman" w:eastAsia="仿宋_GB2312" w:cs="Times New Roman"/>
          <w:color w:val="000000"/>
          <w:sz w:val="32"/>
          <w:szCs w:val="32"/>
          <w:highlight w:val="none"/>
          <w:lang w:val="en-US" w:eastAsia="zh-CN" w:bidi="ar-SA"/>
        </w:rPr>
      </w:pPr>
      <w:r>
        <w:rPr>
          <w:rFonts w:hint="eastAsia" w:ascii="Times New Roman" w:hAnsi="Times New Roman" w:eastAsia="仿宋_GB2312" w:cs="Times New Roman"/>
          <w:color w:val="000000"/>
          <w:sz w:val="32"/>
          <w:szCs w:val="32"/>
          <w:highlight w:val="none"/>
          <w:lang w:val="en-US" w:eastAsia="zh-CN" w:bidi="ar-SA"/>
        </w:rPr>
        <w:t>我单位绩效评价结果接受社会监督。同时，积极运用绩效评价结果，结合贯彻落实文件精神，完善资金的使用管理，提高绩效意识和财政资金的使用效益。</w:t>
      </w:r>
    </w:p>
    <w:p w14:paraId="360DD081">
      <w:bookmarkStart w:id="0" w:name="_GoBack"/>
      <w:bookmarkEnd w:id="0"/>
    </w:p>
    <w:sectPr>
      <w:footerReference r:id="rId3" w:type="default"/>
      <w:pgSz w:w="11906" w:h="16838"/>
      <w:pgMar w:top="2154" w:right="1474" w:bottom="1361" w:left="1587" w:header="0" w:footer="1417"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2000000000000000000"/>
    <w:charset w:val="86"/>
    <w:family w:val="script"/>
    <w:pitch w:val="default"/>
    <w:sig w:usb0="00000000" w:usb1="00000000" w:usb2="00000012"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Segoe UI">
    <w:panose1 w:val="020B0502040204020203"/>
    <w:charset w:val="00"/>
    <w:family w:val="auto"/>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E005DD">
    <w:pPr>
      <w:pStyle w:val="2"/>
      <w:framePr w:w="1161" w:wrap="around" w:vAnchor="text" w:hAnchor="margin" w:xAlign="outside" w:y="4"/>
      <w:jc w:val="center"/>
      <w:rPr>
        <w:rStyle w:val="5"/>
        <w:rFonts w:hint="eastAsia" w:ascii="宋体" w:eastAsia="宋体" w:cs="宋体"/>
        <w:sz w:val="28"/>
        <w:szCs w:val="28"/>
        <w:lang w:bidi="ar-SA"/>
      </w:rPr>
    </w:pPr>
    <w:r>
      <w:rPr>
        <w:rStyle w:val="5"/>
        <w:rFonts w:hint="eastAsia" w:ascii="宋体" w:eastAsia="宋体" w:cs="宋体"/>
        <w:sz w:val="28"/>
        <w:szCs w:val="28"/>
        <w:lang w:bidi="ar-SA"/>
      </w:rPr>
      <w:t xml:space="preserve">— </w:t>
    </w:r>
    <w:r>
      <w:rPr>
        <w:rFonts w:hint="eastAsia" w:ascii="宋体" w:eastAsia="宋体" w:cs="宋体"/>
        <w:sz w:val="28"/>
        <w:szCs w:val="28"/>
        <w:lang w:bidi="ar-SA"/>
      </w:rPr>
      <w:fldChar w:fldCharType="begin"/>
    </w:r>
    <w:r>
      <w:rPr>
        <w:rStyle w:val="5"/>
        <w:rFonts w:hint="eastAsia" w:ascii="宋体" w:eastAsia="宋体" w:cs="宋体"/>
        <w:sz w:val="28"/>
        <w:szCs w:val="28"/>
        <w:lang w:bidi="ar-SA"/>
      </w:rPr>
      <w:instrText xml:space="preserve">PAGE  </w:instrText>
    </w:r>
    <w:r>
      <w:rPr>
        <w:rFonts w:hint="eastAsia" w:ascii="宋体" w:eastAsia="宋体" w:cs="宋体"/>
        <w:sz w:val="28"/>
        <w:szCs w:val="28"/>
        <w:lang w:bidi="ar-SA"/>
      </w:rPr>
      <w:fldChar w:fldCharType="separate"/>
    </w:r>
    <w:r>
      <w:rPr>
        <w:rStyle w:val="5"/>
        <w:rFonts w:hint="eastAsia" w:ascii="宋体" w:eastAsia="宋体" w:cs="宋体"/>
        <w:sz w:val="28"/>
        <w:szCs w:val="28"/>
        <w:lang w:bidi="ar-SA"/>
      </w:rPr>
      <w:t>1</w:t>
    </w:r>
    <w:r>
      <w:rPr>
        <w:rFonts w:hint="eastAsia" w:ascii="宋体" w:eastAsia="宋体" w:cs="宋体"/>
        <w:sz w:val="28"/>
        <w:szCs w:val="28"/>
        <w:lang w:bidi="ar-SA"/>
      </w:rPr>
      <w:fldChar w:fldCharType="end"/>
    </w:r>
    <w:r>
      <w:rPr>
        <w:rStyle w:val="5"/>
        <w:rFonts w:hint="eastAsia" w:ascii="宋体" w:eastAsia="宋体" w:cs="宋体"/>
        <w:sz w:val="28"/>
        <w:szCs w:val="28"/>
        <w:lang w:bidi="ar-SA"/>
      </w:rPr>
      <w:t xml:space="preserve"> —</w:t>
    </w:r>
  </w:p>
  <w:p w14:paraId="2B53849B">
    <w:pPr>
      <w:pStyle w:val="2"/>
      <w:wordWrap w:val="0"/>
      <w:ind w:right="360" w:firstLine="360"/>
      <w:jc w:val="right"/>
      <w:rPr>
        <w:sz w:val="28"/>
        <w:szCs w:val="28"/>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18206AD"/>
    <w:multiLevelType w:val="multilevel"/>
    <w:tmpl w:val="318206AD"/>
    <w:lvl w:ilvl="0" w:tentative="0">
      <w:start w:val="1"/>
      <w:numFmt w:val="japaneseCounting"/>
      <w:lvlText w:val="%1、"/>
      <w:lvlJc w:val="left"/>
      <w:pPr>
        <w:tabs>
          <w:tab w:val="left" w:pos="0"/>
        </w:tabs>
        <w:ind w:left="1360" w:hanging="720"/>
      </w:pPr>
      <w:rPr>
        <w:rFonts w:hint="default"/>
      </w:rPr>
    </w:lvl>
    <w:lvl w:ilvl="1" w:tentative="0">
      <w:start w:val="1"/>
      <w:numFmt w:val="lowerLetter"/>
      <w:lvlText w:val="%2)"/>
      <w:lvlJc w:val="left"/>
      <w:pPr>
        <w:tabs>
          <w:tab w:val="left" w:pos="0"/>
        </w:tabs>
        <w:ind w:left="1480" w:hanging="420"/>
      </w:pPr>
    </w:lvl>
    <w:lvl w:ilvl="2" w:tentative="0">
      <w:start w:val="1"/>
      <w:numFmt w:val="lowerRoman"/>
      <w:lvlText w:val="%3."/>
      <w:lvlJc w:val="right"/>
      <w:pPr>
        <w:tabs>
          <w:tab w:val="left" w:pos="0"/>
        </w:tabs>
        <w:ind w:left="1900" w:hanging="420"/>
      </w:pPr>
    </w:lvl>
    <w:lvl w:ilvl="3" w:tentative="0">
      <w:start w:val="1"/>
      <w:numFmt w:val="decimal"/>
      <w:lvlText w:val="%4."/>
      <w:lvlJc w:val="left"/>
      <w:pPr>
        <w:tabs>
          <w:tab w:val="left" w:pos="0"/>
        </w:tabs>
        <w:ind w:left="2320" w:hanging="420"/>
      </w:pPr>
    </w:lvl>
    <w:lvl w:ilvl="4" w:tentative="0">
      <w:start w:val="1"/>
      <w:numFmt w:val="lowerLetter"/>
      <w:lvlText w:val="%5)"/>
      <w:lvlJc w:val="left"/>
      <w:pPr>
        <w:tabs>
          <w:tab w:val="left" w:pos="0"/>
        </w:tabs>
        <w:ind w:left="2740" w:hanging="420"/>
      </w:pPr>
    </w:lvl>
    <w:lvl w:ilvl="5" w:tentative="0">
      <w:start w:val="1"/>
      <w:numFmt w:val="lowerRoman"/>
      <w:lvlText w:val="%6."/>
      <w:lvlJc w:val="right"/>
      <w:pPr>
        <w:tabs>
          <w:tab w:val="left" w:pos="0"/>
        </w:tabs>
        <w:ind w:left="3160" w:hanging="420"/>
      </w:pPr>
    </w:lvl>
    <w:lvl w:ilvl="6" w:tentative="0">
      <w:start w:val="1"/>
      <w:numFmt w:val="decimal"/>
      <w:lvlText w:val="%7."/>
      <w:lvlJc w:val="left"/>
      <w:pPr>
        <w:tabs>
          <w:tab w:val="left" w:pos="0"/>
        </w:tabs>
        <w:ind w:left="3580" w:hanging="420"/>
      </w:pPr>
    </w:lvl>
    <w:lvl w:ilvl="7" w:tentative="0">
      <w:start w:val="1"/>
      <w:numFmt w:val="lowerLetter"/>
      <w:lvlText w:val="%8)"/>
      <w:lvlJc w:val="left"/>
      <w:pPr>
        <w:tabs>
          <w:tab w:val="left" w:pos="0"/>
        </w:tabs>
        <w:ind w:left="4000" w:hanging="420"/>
      </w:pPr>
    </w:lvl>
    <w:lvl w:ilvl="8" w:tentative="0">
      <w:start w:val="1"/>
      <w:numFmt w:val="lowerRoman"/>
      <w:lvlText w:val="%9."/>
      <w:lvlJc w:val="right"/>
      <w:pPr>
        <w:tabs>
          <w:tab w:val="left" w:pos="0"/>
        </w:tabs>
        <w:ind w:left="4420" w:hanging="420"/>
      </w:pPr>
    </w:lvl>
  </w:abstractNum>
  <w:abstractNum w:abstractNumId="1">
    <w:nsid w:val="79AC1E24"/>
    <w:multiLevelType w:val="multilevel"/>
    <w:tmpl w:val="79AC1E24"/>
    <w:lvl w:ilvl="0" w:tentative="0">
      <w:start w:val="1"/>
      <w:numFmt w:val="japaneseCounting"/>
      <w:lvlText w:val="（%1）"/>
      <w:lvlJc w:val="left"/>
      <w:pPr>
        <w:tabs>
          <w:tab w:val="left" w:pos="0"/>
        </w:tabs>
        <w:ind w:left="1720" w:hanging="1080"/>
      </w:pPr>
      <w:rPr>
        <w:rFonts w:hint="default"/>
      </w:rPr>
    </w:lvl>
    <w:lvl w:ilvl="1" w:tentative="0">
      <w:start w:val="1"/>
      <w:numFmt w:val="lowerLetter"/>
      <w:lvlText w:val="%2)"/>
      <w:lvlJc w:val="left"/>
      <w:pPr>
        <w:tabs>
          <w:tab w:val="left" w:pos="0"/>
        </w:tabs>
        <w:ind w:left="1480" w:hanging="420"/>
      </w:pPr>
    </w:lvl>
    <w:lvl w:ilvl="2" w:tentative="0">
      <w:start w:val="1"/>
      <w:numFmt w:val="lowerRoman"/>
      <w:lvlText w:val="%3."/>
      <w:lvlJc w:val="right"/>
      <w:pPr>
        <w:tabs>
          <w:tab w:val="left" w:pos="0"/>
        </w:tabs>
        <w:ind w:left="1900" w:hanging="420"/>
      </w:pPr>
    </w:lvl>
    <w:lvl w:ilvl="3" w:tentative="0">
      <w:start w:val="1"/>
      <w:numFmt w:val="decimal"/>
      <w:lvlText w:val="%4."/>
      <w:lvlJc w:val="left"/>
      <w:pPr>
        <w:tabs>
          <w:tab w:val="left" w:pos="0"/>
        </w:tabs>
        <w:ind w:left="2320" w:hanging="420"/>
      </w:pPr>
    </w:lvl>
    <w:lvl w:ilvl="4" w:tentative="0">
      <w:start w:val="1"/>
      <w:numFmt w:val="lowerLetter"/>
      <w:lvlText w:val="%5)"/>
      <w:lvlJc w:val="left"/>
      <w:pPr>
        <w:tabs>
          <w:tab w:val="left" w:pos="0"/>
        </w:tabs>
        <w:ind w:left="2740" w:hanging="420"/>
      </w:pPr>
    </w:lvl>
    <w:lvl w:ilvl="5" w:tentative="0">
      <w:start w:val="1"/>
      <w:numFmt w:val="lowerRoman"/>
      <w:lvlText w:val="%6."/>
      <w:lvlJc w:val="right"/>
      <w:pPr>
        <w:tabs>
          <w:tab w:val="left" w:pos="0"/>
        </w:tabs>
        <w:ind w:left="3160" w:hanging="420"/>
      </w:pPr>
    </w:lvl>
    <w:lvl w:ilvl="6" w:tentative="0">
      <w:start w:val="1"/>
      <w:numFmt w:val="decimal"/>
      <w:lvlText w:val="%7."/>
      <w:lvlJc w:val="left"/>
      <w:pPr>
        <w:tabs>
          <w:tab w:val="left" w:pos="0"/>
        </w:tabs>
        <w:ind w:left="3580" w:hanging="420"/>
      </w:pPr>
    </w:lvl>
    <w:lvl w:ilvl="7" w:tentative="0">
      <w:start w:val="1"/>
      <w:numFmt w:val="lowerLetter"/>
      <w:lvlText w:val="%8)"/>
      <w:lvlJc w:val="left"/>
      <w:pPr>
        <w:tabs>
          <w:tab w:val="left" w:pos="0"/>
        </w:tabs>
        <w:ind w:left="4000" w:hanging="420"/>
      </w:pPr>
    </w:lvl>
    <w:lvl w:ilvl="8" w:tentative="0">
      <w:start w:val="1"/>
      <w:numFmt w:val="lowerRoman"/>
      <w:lvlText w:val="%9."/>
      <w:lvlJc w:val="right"/>
      <w:pPr>
        <w:tabs>
          <w:tab w:val="left" w:pos="0"/>
        </w:tabs>
        <w:ind w:left="442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A5NTJlYTdmNDk4MGMwNmIyZmY0OTcwNjc1MmZmYTIifQ=="/>
  </w:docVars>
  <w:rsids>
    <w:rsidRoot w:val="10C55213"/>
    <w:rsid w:val="08FB36E6"/>
    <w:rsid w:val="0A27610A"/>
    <w:rsid w:val="10C55213"/>
    <w:rsid w:val="15051099"/>
    <w:rsid w:val="1767531A"/>
    <w:rsid w:val="1D152A87"/>
    <w:rsid w:val="23843155"/>
    <w:rsid w:val="29477907"/>
    <w:rsid w:val="37047B9C"/>
    <w:rsid w:val="37BA6C67"/>
    <w:rsid w:val="382C144D"/>
    <w:rsid w:val="3B8E3425"/>
    <w:rsid w:val="3C2B6C47"/>
    <w:rsid w:val="3F390E12"/>
    <w:rsid w:val="40A85DEB"/>
    <w:rsid w:val="5DEF74E2"/>
    <w:rsid w:val="5E7032AA"/>
    <w:rsid w:val="60202C27"/>
    <w:rsid w:val="61910E58"/>
    <w:rsid w:val="65F603A9"/>
    <w:rsid w:val="676E43BF"/>
    <w:rsid w:val="684F31FD"/>
    <w:rsid w:val="69BF40A3"/>
    <w:rsid w:val="79FEFBAB"/>
    <w:rsid w:val="7B934AC2"/>
    <w:rsid w:val="DF973A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footer"/>
    <w:basedOn w:val="1"/>
    <w:autoRedefine/>
    <w:qFormat/>
    <w:uiPriority w:val="0"/>
    <w:pPr>
      <w:tabs>
        <w:tab w:val="center" w:pos="4153"/>
        <w:tab w:val="right" w:pos="8306"/>
      </w:tabs>
      <w:snapToGrid w:val="0"/>
      <w:jc w:val="left"/>
    </w:pPr>
    <w:rPr>
      <w:sz w:val="18"/>
      <w:szCs w:val="18"/>
    </w:rPr>
  </w:style>
  <w:style w:type="character" w:styleId="5">
    <w:name w:val="page number"/>
    <w:basedOn w:val="4"/>
    <w:autoRedefine/>
    <w:qFormat/>
    <w:uiPriority w:val="0"/>
  </w:style>
  <w:style w:type="paragraph" w:customStyle="1" w:styleId="6">
    <w:name w:val="列出段落"/>
    <w:basedOn w:val="1"/>
    <w:autoRedefine/>
    <w:qFormat/>
    <w:uiPriority w:val="0"/>
    <w:pPr>
      <w:ind w:firstLine="200" w:firstLineChars="200"/>
    </w:pPr>
  </w:style>
  <w:style w:type="character" w:customStyle="1" w:styleId="7">
    <w:name w:val="peoplefilling"/>
    <w:basedOn w:val="4"/>
    <w:autoRedefine/>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2152</Words>
  <Characters>2333</Characters>
  <Lines>0</Lines>
  <Paragraphs>0</Paragraphs>
  <TotalTime>0</TotalTime>
  <ScaleCrop>false</ScaleCrop>
  <LinksUpToDate>false</LinksUpToDate>
  <CharactersWithSpaces>2337</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2024-03-12T15:38:00Z</dcterms:created>
  <dc:creator>办公室</dc:creator>
  <cp:lastModifiedBy>Administrator</cp:lastModifiedBy>
  <cp:lastPrinted>2024-03-12T15:52:00Z</cp:lastPrinted>
  <dcterms:modified xsi:type="dcterms:W3CDTF">2024-11-06T01:45:34Z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D36301B7E93F47CC908EFAFE7DBA4389_13</vt:lpwstr>
  </property>
</Properties>
</file>