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sz w:val="48"/>
          <w:szCs w:val="48"/>
        </w:rPr>
      </w:pPr>
    </w:p>
    <w:p>
      <w:pPr>
        <w:jc w:val="center"/>
        <w:rPr>
          <w:rFonts w:hint="eastAsia" w:ascii="方正小标宋简体" w:hAnsi="方正小标宋简体" w:eastAsia="方正小标宋简体"/>
          <w:sz w:val="48"/>
          <w:szCs w:val="48"/>
        </w:rPr>
      </w:pPr>
      <w:r>
        <w:rPr>
          <w:rFonts w:hint="eastAsia" w:ascii="方正小标宋简体" w:hAnsi="方正小标宋简体" w:eastAsia="方正小标宋简体"/>
          <w:sz w:val="48"/>
          <w:szCs w:val="48"/>
        </w:rPr>
        <w:t>2023</w:t>
      </w:r>
      <w:r>
        <w:rPr>
          <w:rFonts w:ascii="方正小标宋简体" w:hAnsi="方正小标宋简体" w:eastAsia="方正小标宋简体"/>
          <w:sz w:val="48"/>
          <w:szCs w:val="48"/>
        </w:rPr>
        <w:t>年度</w:t>
      </w:r>
      <w:r>
        <w:rPr>
          <w:rFonts w:hint="eastAsia" w:ascii="方正小标宋简体" w:hAnsi="方正小标宋简体" w:eastAsia="方正小标宋简体"/>
          <w:sz w:val="48"/>
          <w:szCs w:val="48"/>
          <w:lang w:val="en-US" w:eastAsia="zh-CN"/>
        </w:rPr>
        <w:t>益阳市妇幼保健院</w:t>
      </w:r>
      <w:r>
        <w:rPr>
          <w:rFonts w:hint="eastAsia" w:ascii="方正小标宋简体" w:hAnsi="方正小标宋简体" w:eastAsia="方正小标宋简体"/>
          <w:sz w:val="48"/>
          <w:szCs w:val="48"/>
        </w:rPr>
        <w:t>整体支出</w:t>
      </w:r>
    </w:p>
    <w:p>
      <w:pPr>
        <w:jc w:val="center"/>
        <w:rPr>
          <w:rFonts w:hint="eastAsia" w:ascii="方正小标宋简体" w:hAnsi="方正小标宋简体" w:eastAsia="方正小标宋简体"/>
          <w:sz w:val="48"/>
          <w:szCs w:val="48"/>
        </w:rPr>
      </w:pPr>
      <w:r>
        <w:rPr>
          <w:rFonts w:hint="eastAsia" w:ascii="方正小标宋简体" w:hAnsi="方正小标宋简体" w:eastAsia="方正小标宋简体"/>
          <w:sz w:val="48"/>
          <w:szCs w:val="48"/>
        </w:rPr>
        <w:t>绩效自评报告</w:t>
      </w: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jc w:val="center"/>
        <w:rPr>
          <w:rFonts w:eastAsia="黑体"/>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rPr>
          <w:rFonts w:hint="eastAsia" w:eastAsia="黑体"/>
          <w:sz w:val="36"/>
          <w:szCs w:val="36"/>
        </w:rPr>
      </w:pPr>
    </w:p>
    <w:p>
      <w:pPr>
        <w:ind w:firstLine="720" w:firstLineChars="200"/>
        <w:rPr>
          <w:rFonts w:hint="eastAsia" w:eastAsia="黑体"/>
          <w:sz w:val="36"/>
          <w:szCs w:val="36"/>
        </w:rPr>
      </w:pPr>
    </w:p>
    <w:p>
      <w:pPr>
        <w:ind w:firstLine="720" w:firstLineChars="200"/>
        <w:rPr>
          <w:rFonts w:hint="default" w:eastAsia="黑体"/>
          <w:sz w:val="36"/>
          <w:szCs w:val="36"/>
          <w:lang w:val="en-US" w:eastAsia="zh-CN"/>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rPr>
        <w:t xml:space="preserve"> </w:t>
      </w:r>
      <w:r>
        <w:rPr>
          <w:rFonts w:hint="eastAsia" w:eastAsia="黑体"/>
          <w:sz w:val="36"/>
          <w:szCs w:val="36"/>
          <w:u w:val="single"/>
        </w:rPr>
        <w:t xml:space="preserve"> </w:t>
      </w:r>
      <w:r>
        <w:rPr>
          <w:rFonts w:hint="eastAsia" w:eastAsia="黑体"/>
          <w:sz w:val="36"/>
          <w:szCs w:val="36"/>
          <w:u w:val="single"/>
          <w:lang w:val="en-US" w:eastAsia="zh-CN"/>
        </w:rPr>
        <w:t xml:space="preserve">益阳市妇幼保健院 </w:t>
      </w:r>
    </w:p>
    <w:p>
      <w:pPr>
        <w:ind w:firstLine="3240" w:firstLineChars="900"/>
        <w:rPr>
          <w:rFonts w:eastAsia="黑体"/>
          <w:sz w:val="36"/>
          <w:szCs w:val="36"/>
          <w:u w:val="single"/>
        </w:rPr>
      </w:pPr>
      <w:r>
        <w:rPr>
          <w:rFonts w:hint="eastAsia" w:eastAsia="黑体"/>
          <w:sz w:val="36"/>
          <w:szCs w:val="36"/>
          <w:lang w:val="en-US" w:eastAsia="zh-CN"/>
        </w:rPr>
        <w:t>2024</w:t>
      </w:r>
      <w:r>
        <w:rPr>
          <w:rFonts w:hint="eastAsia" w:eastAsia="黑体"/>
          <w:sz w:val="36"/>
          <w:szCs w:val="36"/>
        </w:rPr>
        <w:t>年</w:t>
      </w:r>
      <w:r>
        <w:rPr>
          <w:rFonts w:hint="eastAsia" w:eastAsia="黑体"/>
          <w:sz w:val="36"/>
          <w:szCs w:val="36"/>
          <w:lang w:val="en-US" w:eastAsia="zh-CN"/>
        </w:rPr>
        <w:t>5</w:t>
      </w:r>
      <w:r>
        <w:rPr>
          <w:rFonts w:hint="eastAsia" w:eastAsia="黑体"/>
          <w:sz w:val="36"/>
          <w:szCs w:val="36"/>
        </w:rPr>
        <w:t>月</w:t>
      </w:r>
      <w:r>
        <w:rPr>
          <w:rFonts w:hint="eastAsia" w:eastAsia="黑体"/>
          <w:sz w:val="36"/>
          <w:szCs w:val="36"/>
          <w:lang w:val="en-US" w:eastAsia="zh-CN"/>
        </w:rPr>
        <w:t>21</w:t>
      </w:r>
      <w:r>
        <w:rPr>
          <w:rFonts w:hint="eastAsia" w:eastAsia="黑体"/>
          <w:sz w:val="36"/>
          <w:szCs w:val="36"/>
        </w:rPr>
        <w:t>日</w:t>
      </w:r>
    </w:p>
    <w:p>
      <w:pPr>
        <w:jc w:val="center"/>
        <w:rPr>
          <w:rFonts w:eastAsia="黑体"/>
          <w:szCs w:val="32"/>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p>
    <w:p>
      <w:pPr>
        <w:spacing w:line="7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2023年度</w:t>
      </w:r>
      <w:r>
        <w:rPr>
          <w:rFonts w:hint="eastAsia" w:ascii="方正小标宋简体" w:hAnsi="方正小标宋简体" w:eastAsia="方正小标宋简体"/>
          <w:sz w:val="44"/>
          <w:szCs w:val="44"/>
          <w:lang w:val="en-US" w:eastAsia="zh-CN"/>
        </w:rPr>
        <w:t>益阳市妇幼保健院</w:t>
      </w:r>
      <w:r>
        <w:rPr>
          <w:rFonts w:hint="eastAsia" w:ascii="方正小标宋简体" w:hAnsi="方正小标宋简体" w:eastAsia="方正小标宋简体"/>
          <w:sz w:val="44"/>
          <w:szCs w:val="44"/>
        </w:rPr>
        <w:t>整体支出</w:t>
      </w: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绩效自评报告</w:t>
      </w: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ind w:firstLine="640" w:firstLineChars="200"/>
        <w:rPr>
          <w:rFonts w:eastAsia="黑体"/>
          <w:szCs w:val="32"/>
        </w:rPr>
      </w:pPr>
    </w:p>
    <w:p>
      <w:pPr>
        <w:spacing w:line="600" w:lineRule="exact"/>
        <w:rPr>
          <w:rFonts w:hint="eastAsia" w:ascii="仿宋" w:hAnsi="仿宋" w:eastAsia="仿宋" w:cs="仿宋"/>
          <w:b/>
          <w:bCs/>
          <w:szCs w:val="32"/>
        </w:rPr>
      </w:pPr>
    </w:p>
    <w:p>
      <w:pPr>
        <w:spacing w:line="600" w:lineRule="exact"/>
        <w:rPr>
          <w:rFonts w:hint="eastAsia" w:ascii="仿宋" w:hAnsi="仿宋" w:eastAsia="仿宋" w:cs="仿宋"/>
          <w:b/>
          <w:bCs/>
          <w:szCs w:val="32"/>
        </w:rPr>
      </w:pPr>
    </w:p>
    <w:p>
      <w:pPr>
        <w:spacing w:line="600" w:lineRule="exact"/>
        <w:rPr>
          <w:rFonts w:hint="eastAsia" w:ascii="仿宋" w:hAnsi="仿宋" w:eastAsia="仿宋" w:cs="仿宋"/>
          <w:b/>
          <w:bCs/>
          <w:szCs w:val="32"/>
        </w:rPr>
      </w:pP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部门（单位）基本情况</w:t>
      </w:r>
    </w:p>
    <w:p>
      <w:pPr>
        <w:widowControl w:val="0"/>
        <w:numPr>
          <w:ilvl w:val="0"/>
          <w:numId w:val="2"/>
        </w:numPr>
        <w:spacing w:line="520" w:lineRule="exact"/>
        <w:ind w:firstLine="643" w:firstLineChars="200"/>
        <w:jc w:val="both"/>
        <w:rPr>
          <w:rFonts w:hint="eastAsia" w:ascii="楷体" w:hAnsi="楷体" w:eastAsia="楷体" w:cs="楷体"/>
          <w:b/>
          <w:bCs/>
          <w:szCs w:val="32"/>
          <w:lang w:val="en-US" w:eastAsia="zh-CN"/>
        </w:rPr>
      </w:pPr>
      <w:r>
        <w:rPr>
          <w:rFonts w:hint="eastAsia" w:ascii="楷体" w:hAnsi="楷体" w:eastAsia="楷体" w:cs="楷体"/>
          <w:b/>
          <w:bCs/>
          <w:szCs w:val="32"/>
          <w:lang w:val="en-US" w:eastAsia="zh-CN"/>
        </w:rPr>
        <w:t>职能职责</w:t>
      </w:r>
    </w:p>
    <w:p>
      <w:pPr>
        <w:spacing w:line="520"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肩负贯彻落实《母婴保健法》、实施《中国妇女发展纲要》和《中国儿童发展纲要》的重任。按照省卫健委、市委、市政府和市建委对妇幼健康工作的整体部署，以降低孕产妇死亡率、5岁以下儿童死亡率、剖宫产率、出生缺陷率和保障全市母婴安全为重点，加快妇幼健康服务学科体系建设，为全市妇女儿童提供全生命周期服务。</w:t>
      </w:r>
    </w:p>
    <w:p>
      <w:pPr>
        <w:widowControl w:val="0"/>
        <w:numPr>
          <w:ilvl w:val="0"/>
          <w:numId w:val="2"/>
        </w:numPr>
        <w:spacing w:line="520" w:lineRule="exact"/>
        <w:ind w:firstLine="643" w:firstLineChars="200"/>
        <w:jc w:val="both"/>
        <w:rPr>
          <w:rFonts w:hint="eastAsia" w:ascii="楷体" w:hAnsi="楷体" w:eastAsia="楷体" w:cs="楷体"/>
          <w:b/>
          <w:bCs/>
          <w:szCs w:val="32"/>
          <w:lang w:val="en-US" w:eastAsia="zh-CN"/>
        </w:rPr>
      </w:pPr>
      <w:r>
        <w:rPr>
          <w:rFonts w:hint="eastAsia" w:ascii="楷体" w:hAnsi="楷体" w:eastAsia="楷体" w:cs="楷体"/>
          <w:b/>
          <w:bCs/>
          <w:szCs w:val="32"/>
          <w:lang w:val="en-US" w:eastAsia="zh-CN"/>
        </w:rPr>
        <w:t>机构设置</w:t>
      </w:r>
    </w:p>
    <w:p>
      <w:pPr>
        <w:widowControl w:val="0"/>
        <w:numPr>
          <w:ilvl w:val="0"/>
          <w:numId w:val="0"/>
        </w:numPr>
        <w:spacing w:line="520" w:lineRule="exact"/>
        <w:jc w:val="both"/>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益阳市妇幼保健院目前拥有在岗职工452人，其中在编165人。院内编制床位数300张，开放床位207张。院内开设有孕产保健、妇女保健、儿童保健、计划生育服务四大中心。行政职能科室有：院办、党办、规划财务科、人力资源部、医务部、保健部、护理部、院感科、后勤保障部、创建办、医保科、健教科。</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一般公共预算支出情况</w:t>
      </w:r>
    </w:p>
    <w:p>
      <w:pPr>
        <w:pStyle w:val="5"/>
        <w:widowControl w:val="0"/>
        <w:numPr>
          <w:ilvl w:val="0"/>
          <w:numId w:val="0"/>
        </w:numPr>
        <w:spacing w:line="520" w:lineRule="exact"/>
        <w:jc w:val="both"/>
        <w:rPr>
          <w:rFonts w:hint="eastAsia" w:ascii="仿宋" w:hAnsi="仿宋" w:eastAsia="仿宋" w:cs="仿宋"/>
          <w:kern w:val="2"/>
          <w:sz w:val="32"/>
          <w:szCs w:val="32"/>
          <w:lang w:val="en-US" w:eastAsia="zh-CN" w:bidi="ar-SA"/>
        </w:rPr>
      </w:pPr>
      <w:r>
        <w:rPr>
          <w:rFonts w:hint="eastAsia" w:ascii="仿宋" w:hAnsi="仿宋" w:eastAsia="仿宋" w:cs="仿宋"/>
          <w:szCs w:val="32"/>
          <w:lang w:val="en-US" w:eastAsia="zh-CN"/>
        </w:rPr>
        <w:t xml:space="preserve">   </w:t>
      </w:r>
      <w:r>
        <w:rPr>
          <w:rFonts w:hint="eastAsia" w:ascii="仿宋" w:hAnsi="仿宋" w:eastAsia="仿宋" w:cs="仿宋"/>
          <w:kern w:val="2"/>
          <w:sz w:val="32"/>
          <w:szCs w:val="32"/>
          <w:lang w:val="en-US" w:eastAsia="zh-CN" w:bidi="ar-SA"/>
        </w:rPr>
        <w:t xml:space="preserve"> </w:t>
      </w:r>
      <w:r>
        <w:rPr>
          <w:rFonts w:hint="default" w:ascii="Times New Roman" w:hAnsi="Times New Roman" w:eastAsia="CESI仿宋-GB2312" w:cs="Times New Roman"/>
          <w:kern w:val="2"/>
          <w:sz w:val="32"/>
          <w:szCs w:val="32"/>
          <w:lang w:val="en-US" w:eastAsia="zh-CN" w:bidi="ar-SA"/>
        </w:rPr>
        <w:t xml:space="preserve"> 2023</w:t>
      </w:r>
      <w:r>
        <w:rPr>
          <w:rFonts w:hint="eastAsia" w:ascii="CESI仿宋-GB2312" w:hAnsi="CESI仿宋-GB2312" w:eastAsia="CESI仿宋-GB2312" w:cs="CESI仿宋-GB2312"/>
          <w:kern w:val="2"/>
          <w:sz w:val="32"/>
          <w:szCs w:val="32"/>
          <w:lang w:val="en-US" w:eastAsia="zh-CN" w:bidi="ar-SA"/>
        </w:rPr>
        <w:t>年初预算一般公共预算拨款支出预算为</w:t>
      </w:r>
      <w:r>
        <w:rPr>
          <w:rFonts w:hint="default" w:ascii="Times New Roman" w:hAnsi="Times New Roman" w:eastAsia="CESI仿宋-GB2312" w:cs="Times New Roman"/>
          <w:kern w:val="2"/>
          <w:sz w:val="32"/>
          <w:szCs w:val="32"/>
          <w:lang w:val="en-US" w:eastAsia="zh-CN" w:bidi="ar-SA"/>
        </w:rPr>
        <w:t>678.21</w:t>
      </w:r>
      <w:r>
        <w:rPr>
          <w:rFonts w:hint="eastAsia" w:ascii="CESI仿宋-GB2312" w:hAnsi="CESI仿宋-GB2312" w:eastAsia="CESI仿宋-GB2312" w:cs="CESI仿宋-GB2312"/>
          <w:kern w:val="2"/>
          <w:sz w:val="32"/>
          <w:szCs w:val="32"/>
          <w:lang w:val="en-US" w:eastAsia="zh-CN" w:bidi="ar-SA"/>
        </w:rPr>
        <w:t>万元，其中基本支出641.21万元，占94.54%；项目支出37万元，占5.46%。全年预算数为5899.65万元，全年决算数为5899.65万元：其中基本支出为1564.25万元，占26.51%；项目支出为4335.40万元，占73.49%。具体执行情况如下：</w:t>
      </w:r>
    </w:p>
    <w:p>
      <w:pPr>
        <w:widowControl w:val="0"/>
        <w:numPr>
          <w:ilvl w:val="0"/>
          <w:numId w:val="0"/>
        </w:numPr>
        <w:spacing w:line="520" w:lineRule="exact"/>
        <w:ind w:firstLine="643" w:firstLineChars="200"/>
        <w:jc w:val="both"/>
        <w:rPr>
          <w:rFonts w:hint="eastAsia" w:ascii="楷体" w:hAnsi="楷体" w:eastAsia="楷体" w:cs="楷体"/>
          <w:b/>
          <w:bCs/>
          <w:szCs w:val="32"/>
          <w:lang w:val="en-US" w:eastAsia="zh-CN"/>
        </w:rPr>
      </w:pPr>
      <w:r>
        <w:rPr>
          <w:rFonts w:hint="eastAsia" w:ascii="楷体" w:hAnsi="楷体" w:eastAsia="楷体" w:cs="楷体"/>
          <w:b/>
          <w:bCs/>
          <w:szCs w:val="32"/>
          <w:lang w:val="en-US" w:eastAsia="zh-CN"/>
        </w:rPr>
        <w:t>（一）基本支出情况</w:t>
      </w:r>
    </w:p>
    <w:p>
      <w:pPr>
        <w:pStyle w:val="5"/>
        <w:widowControl w:val="0"/>
        <w:numPr>
          <w:ilvl w:val="0"/>
          <w:numId w:val="0"/>
        </w:numPr>
        <w:spacing w:line="520" w:lineRule="exact"/>
        <w:jc w:val="both"/>
        <w:rPr>
          <w:rFonts w:hint="eastAsia" w:ascii="仿宋" w:hAnsi="仿宋" w:eastAsia="仿宋" w:cs="仿宋"/>
          <w:b/>
          <w:szCs w:val="32"/>
          <w:lang w:val="en-US" w:eastAsia="zh-CN"/>
        </w:rPr>
      </w:pPr>
      <w:r>
        <w:rPr>
          <w:rFonts w:hint="eastAsia" w:ascii="仿宋" w:hAnsi="仿宋" w:eastAsia="仿宋" w:cs="仿宋"/>
          <w:b/>
          <w:szCs w:val="32"/>
          <w:lang w:val="en-US" w:eastAsia="zh-CN"/>
        </w:rPr>
        <w:t xml:space="preserve">    </w:t>
      </w:r>
      <w:r>
        <w:rPr>
          <w:rFonts w:hint="eastAsia" w:ascii="仿宋" w:hAnsi="仿宋" w:eastAsia="仿宋" w:cs="仿宋"/>
          <w:kern w:val="2"/>
          <w:sz w:val="32"/>
          <w:szCs w:val="32"/>
          <w:lang w:val="en-US" w:eastAsia="zh-CN" w:bidi="ar-SA"/>
        </w:rPr>
        <w:t>2023年本部门基本支出预算</w:t>
      </w:r>
      <w:r>
        <w:rPr>
          <w:rFonts w:hint="eastAsia" w:ascii="Times New Roman" w:hAnsi="Times New Roman" w:eastAsia="CESI仿宋-GB2312" w:cs="Times New Roman"/>
          <w:kern w:val="2"/>
          <w:sz w:val="32"/>
          <w:szCs w:val="32"/>
          <w:lang w:val="en-US" w:eastAsia="zh-CN" w:bidi="ar-SA"/>
        </w:rPr>
        <w:t>1564.25</w:t>
      </w:r>
      <w:r>
        <w:rPr>
          <w:rFonts w:hint="eastAsia" w:ascii="仿宋" w:hAnsi="仿宋" w:eastAsia="仿宋" w:cs="仿宋"/>
          <w:kern w:val="2"/>
          <w:sz w:val="32"/>
          <w:szCs w:val="32"/>
          <w:lang w:val="en-US" w:eastAsia="zh-CN" w:bidi="ar-SA"/>
        </w:rPr>
        <w:t>万元，主要是为保障部门正常运转、完成日常工作任务而发生的各项支出，包括用于基本工资、养老保险、医疗保险、津贴补贴等人员经费。</w:t>
      </w:r>
    </w:p>
    <w:p>
      <w:pPr>
        <w:widowControl w:val="0"/>
        <w:numPr>
          <w:ilvl w:val="0"/>
          <w:numId w:val="0"/>
        </w:numPr>
        <w:spacing w:line="520" w:lineRule="exact"/>
        <w:ind w:firstLine="643" w:firstLineChars="200"/>
        <w:jc w:val="both"/>
        <w:rPr>
          <w:rFonts w:hint="eastAsia" w:ascii="楷体" w:hAnsi="楷体" w:eastAsia="楷体" w:cs="楷体"/>
          <w:b/>
          <w:bCs/>
          <w:szCs w:val="32"/>
          <w:lang w:val="en-US" w:eastAsia="zh-CN"/>
        </w:rPr>
      </w:pPr>
      <w:r>
        <w:rPr>
          <w:rFonts w:hint="eastAsia" w:ascii="楷体" w:hAnsi="楷体" w:eastAsia="楷体" w:cs="楷体"/>
          <w:b/>
          <w:bCs/>
          <w:szCs w:val="32"/>
          <w:lang w:val="en-US" w:eastAsia="zh-CN"/>
        </w:rPr>
        <w:t>（二）项目支出情况</w:t>
      </w:r>
    </w:p>
    <w:p>
      <w:pPr>
        <w:pStyle w:val="5"/>
        <w:widowControl w:val="0"/>
        <w:numPr>
          <w:ilvl w:val="0"/>
          <w:numId w:val="0"/>
        </w:numPr>
        <w:spacing w:line="520" w:lineRule="exact"/>
        <w:jc w:val="both"/>
        <w:rPr>
          <w:rFonts w:hint="eastAsia" w:ascii="仿宋" w:hAnsi="仿宋" w:eastAsia="仿宋" w:cs="仿宋"/>
          <w:b/>
          <w:szCs w:val="32"/>
          <w:lang w:val="en-US" w:eastAsia="zh-CN"/>
        </w:rPr>
      </w:pPr>
      <w:r>
        <w:rPr>
          <w:rFonts w:hint="eastAsia" w:ascii="仿宋" w:hAnsi="仿宋" w:eastAsia="仿宋" w:cs="仿宋"/>
          <w:b/>
          <w:szCs w:val="32"/>
          <w:lang w:val="en-US" w:eastAsia="zh-CN"/>
        </w:rPr>
        <w:t xml:space="preserve">    </w:t>
      </w:r>
      <w:r>
        <w:rPr>
          <w:rFonts w:hint="eastAsia" w:ascii="仿宋" w:hAnsi="仿宋" w:eastAsia="仿宋" w:cs="仿宋"/>
          <w:kern w:val="2"/>
          <w:sz w:val="32"/>
          <w:szCs w:val="32"/>
          <w:lang w:val="en-US" w:eastAsia="zh-CN" w:bidi="ar-SA"/>
        </w:rPr>
        <w:t>2023年本部门项目支出预算</w:t>
      </w:r>
      <w:r>
        <w:rPr>
          <w:rFonts w:hint="eastAsia" w:ascii="Times New Roman" w:hAnsi="Times New Roman" w:eastAsia="CESI仿宋-GB2312" w:cs="Times New Roman"/>
          <w:kern w:val="2"/>
          <w:sz w:val="32"/>
          <w:szCs w:val="32"/>
          <w:lang w:val="en-US" w:eastAsia="zh-CN" w:bidi="ar-SA"/>
        </w:rPr>
        <w:t>4335.40</w:t>
      </w:r>
      <w:r>
        <w:rPr>
          <w:rFonts w:hint="eastAsia" w:ascii="仿宋" w:hAnsi="仿宋" w:eastAsia="仿宋" w:cs="仿宋"/>
          <w:kern w:val="2"/>
          <w:sz w:val="32"/>
          <w:szCs w:val="32"/>
          <w:lang w:val="en-US" w:eastAsia="zh-CN" w:bidi="ar-SA"/>
        </w:rPr>
        <w:t>万元，主要是部门为完成特定行政工作任务或事业发展目标而发生的支出，包括妇幼公共卫生专项业务支出等，主要用于全市妇幼公共卫生业务工作培训、妇幼公共卫生项目下区县督导等方面。</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政府性基金预算支出情况</w:t>
      </w:r>
    </w:p>
    <w:p>
      <w:pPr>
        <w:pStyle w:val="5"/>
        <w:widowControl w:val="0"/>
        <w:numPr>
          <w:ilvl w:val="0"/>
          <w:numId w:val="0"/>
        </w:numPr>
        <w:spacing w:line="520" w:lineRule="exact"/>
        <w:jc w:val="both"/>
        <w:rPr>
          <w:rFonts w:hint="default" w:ascii="Times New Roman" w:hAnsi="Times New Roman" w:eastAsia="CESI仿宋-GB2312" w:cs="Times New Roman"/>
          <w:kern w:val="2"/>
          <w:sz w:val="32"/>
          <w:szCs w:val="32"/>
          <w:lang w:val="en-US" w:eastAsia="zh-CN" w:bidi="ar-SA"/>
        </w:rPr>
      </w:pPr>
      <w:r>
        <w:rPr>
          <w:rFonts w:hint="eastAsia" w:ascii="Times New Roman" w:hAnsi="Times New Roman" w:eastAsia="黑体"/>
          <w:szCs w:val="32"/>
          <w:lang w:val="en-US" w:eastAsia="zh-CN"/>
        </w:rPr>
        <w:t xml:space="preserve"> </w:t>
      </w:r>
      <w:r>
        <w:rPr>
          <w:rFonts w:hint="eastAsia" w:ascii="Times New Roman" w:hAnsi="Times New Roman" w:eastAsia="CESI仿宋-GB2312" w:cs="Times New Roman"/>
          <w:kern w:val="2"/>
          <w:sz w:val="32"/>
          <w:szCs w:val="32"/>
          <w:lang w:val="en-US" w:eastAsia="zh-CN" w:bidi="ar-SA"/>
        </w:rPr>
        <w:t xml:space="preserve">   </w:t>
      </w:r>
      <w:r>
        <w:rPr>
          <w:rFonts w:hint="eastAsia" w:ascii="仿宋" w:hAnsi="仿宋" w:eastAsia="仿宋" w:cs="仿宋"/>
          <w:kern w:val="2"/>
          <w:sz w:val="32"/>
          <w:szCs w:val="32"/>
          <w:lang w:val="en-US" w:eastAsia="zh-CN" w:bidi="ar-SA"/>
        </w:rPr>
        <w:t>本部门无政府性基金安排的支出。</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国有资本经营预算支出情况</w:t>
      </w:r>
    </w:p>
    <w:p>
      <w:pPr>
        <w:pStyle w:val="5"/>
        <w:widowControl w:val="0"/>
        <w:numPr>
          <w:ilvl w:val="0"/>
          <w:numId w:val="0"/>
        </w:numPr>
        <w:spacing w:line="520" w:lineRule="exact"/>
        <w:jc w:val="both"/>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w:t>
      </w:r>
      <w:r>
        <w:rPr>
          <w:rFonts w:hint="eastAsia" w:ascii="仿宋" w:hAnsi="仿宋" w:eastAsia="仿宋" w:cs="仿宋"/>
          <w:kern w:val="2"/>
          <w:sz w:val="32"/>
          <w:szCs w:val="32"/>
          <w:lang w:val="en-US" w:eastAsia="zh-CN" w:bidi="ar-SA"/>
        </w:rPr>
        <w:t>本部门无国有资本经营预算支出。</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社会保险基金预算支出情况</w:t>
      </w:r>
    </w:p>
    <w:p>
      <w:pPr>
        <w:pStyle w:val="5"/>
        <w:widowControl w:val="0"/>
        <w:numPr>
          <w:ilvl w:val="0"/>
          <w:numId w:val="0"/>
        </w:numPr>
        <w:spacing w:line="520" w:lineRule="exact"/>
        <w:jc w:val="both"/>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    </w:t>
      </w:r>
      <w:r>
        <w:rPr>
          <w:rFonts w:hint="eastAsia" w:ascii="仿宋" w:hAnsi="仿宋" w:eastAsia="仿宋" w:cs="仿宋"/>
          <w:kern w:val="2"/>
          <w:sz w:val="32"/>
          <w:szCs w:val="32"/>
          <w:lang w:val="en-US" w:eastAsia="zh-CN" w:bidi="ar-SA"/>
        </w:rPr>
        <w:t>本部门无社会保险基金预算支出。</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部门整体支出绩效情况</w:t>
      </w:r>
    </w:p>
    <w:p>
      <w:pPr>
        <w:widowControl w:val="0"/>
        <w:numPr>
          <w:ilvl w:val="0"/>
          <w:numId w:val="0"/>
        </w:numPr>
        <w:spacing w:line="520" w:lineRule="exact"/>
        <w:ind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年度本院整体支出绩效目标为以降低孕产妇死亡率、5岁以下儿童死亡率、剖宫产率、出生缺陷率和保障全市母婴安全为重点，落实好“农村适龄妇女免费两癌筛查”、“免费产前筛查”重点民生实事项目和妇幼重大公共卫生项目。我院协助市卫生健康委出台了《益阳市畅通危重孕产妇救治绿色通道实施方案》、《益阳市危重新生儿救治与转诊实施方案》益卫函〔2023〕15号等相关文件，充分发挥市级危重孕产妇、新生儿救治中心的指导作用。定期下沉基层指导与帮扶，规范转诊行为，加强高危孕产妇及儿童的管理，充分畅通绿色通道，保障了全市的母婴安全。2023年全年实现孕产妇零死亡，5岁以下儿童死亡率为4.53</w:t>
      </w:r>
      <w:r>
        <w:rPr>
          <w:rFonts w:hint="default" w:ascii="Arial" w:hAnsi="Arial" w:eastAsia="仿宋" w:cs="Arial"/>
          <w:kern w:val="2"/>
          <w:sz w:val="32"/>
          <w:szCs w:val="32"/>
          <w:lang w:val="en-US" w:eastAsia="zh-CN" w:bidi="ar-SA"/>
        </w:rPr>
        <w:t>‰</w:t>
      </w:r>
      <w:r>
        <w:rPr>
          <w:rFonts w:hint="eastAsia" w:ascii="仿宋" w:hAnsi="仿宋" w:eastAsia="仿宋" w:cs="仿宋"/>
          <w:kern w:val="2"/>
          <w:sz w:val="32"/>
          <w:szCs w:val="32"/>
          <w:lang w:val="en-US" w:eastAsia="zh-CN" w:bidi="ar-SA"/>
        </w:rPr>
        <w:t>，控制在6</w:t>
      </w:r>
      <w:r>
        <w:rPr>
          <w:rFonts w:hint="default" w:ascii="Arial" w:hAnsi="Arial" w:eastAsia="仿宋" w:cs="Arial"/>
          <w:kern w:val="2"/>
          <w:sz w:val="32"/>
          <w:szCs w:val="32"/>
          <w:lang w:val="en-US" w:eastAsia="zh-CN" w:bidi="ar-SA"/>
        </w:rPr>
        <w:t>‰</w:t>
      </w:r>
      <w:r>
        <w:rPr>
          <w:rFonts w:hint="eastAsia" w:ascii="仿宋" w:hAnsi="仿宋" w:eastAsia="仿宋" w:cs="仿宋"/>
          <w:kern w:val="2"/>
          <w:sz w:val="32"/>
          <w:szCs w:val="32"/>
          <w:lang w:val="en-US" w:eastAsia="zh-CN" w:bidi="ar-SA"/>
        </w:rPr>
        <w:t>以下，实际执行情况为基本完成预期目标，总分110分，本次自评得分为102</w:t>
      </w:r>
      <w:bookmarkStart w:id="0" w:name="_GoBack"/>
      <w:bookmarkEnd w:id="0"/>
      <w:r>
        <w:rPr>
          <w:rFonts w:hint="eastAsia" w:ascii="仿宋" w:hAnsi="仿宋" w:eastAsia="仿宋" w:cs="仿宋"/>
          <w:kern w:val="2"/>
          <w:sz w:val="32"/>
          <w:szCs w:val="32"/>
          <w:lang w:val="en-US" w:eastAsia="zh-CN" w:bidi="ar-SA"/>
        </w:rPr>
        <w:t>分。</w:t>
      </w:r>
    </w:p>
    <w:p>
      <w:pPr>
        <w:widowControl w:val="0"/>
        <w:numPr>
          <w:ilvl w:val="0"/>
          <w:numId w:val="0"/>
        </w:numPr>
        <w:spacing w:line="520" w:lineRule="exact"/>
        <w:ind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主要细化为三个绩效指标，分别为产出指标、效益指标、满意度指标。</w:t>
      </w:r>
    </w:p>
    <w:p>
      <w:pPr>
        <w:widowControl w:val="0"/>
        <w:numPr>
          <w:ilvl w:val="0"/>
          <w:numId w:val="0"/>
        </w:numPr>
        <w:spacing w:line="520" w:lineRule="exact"/>
        <w:ind w:firstLine="643" w:firstLineChars="200"/>
        <w:jc w:val="both"/>
        <w:rPr>
          <w:rFonts w:hint="eastAsia" w:ascii="楷体" w:hAnsi="楷体" w:eastAsia="楷体" w:cs="楷体"/>
          <w:b/>
          <w:bCs/>
          <w:szCs w:val="32"/>
          <w:lang w:val="en-US" w:eastAsia="zh-CN"/>
        </w:rPr>
      </w:pPr>
      <w:r>
        <w:rPr>
          <w:rFonts w:hint="eastAsia" w:ascii="楷体" w:hAnsi="楷体" w:eastAsia="楷体" w:cs="楷体"/>
          <w:b/>
          <w:bCs/>
          <w:szCs w:val="32"/>
          <w:lang w:val="en-US" w:eastAsia="zh-CN"/>
        </w:rPr>
        <w:t>（一）产出指标</w:t>
      </w:r>
    </w:p>
    <w:p>
      <w:pPr>
        <w:widowControl w:val="0"/>
        <w:numPr>
          <w:ilvl w:val="0"/>
          <w:numId w:val="0"/>
        </w:numPr>
        <w:spacing w:line="520" w:lineRule="exact"/>
        <w:jc w:val="both"/>
        <w:rPr>
          <w:rFonts w:hint="eastAsia" w:ascii="仿宋" w:hAnsi="仿宋" w:eastAsia="仿宋" w:cs="仿宋"/>
          <w:kern w:val="2"/>
          <w:sz w:val="32"/>
          <w:szCs w:val="32"/>
          <w:lang w:val="en-US" w:eastAsia="zh-CN" w:bidi="ar-SA"/>
        </w:rPr>
      </w:pPr>
      <w:r>
        <w:rPr>
          <w:rFonts w:hint="eastAsia" w:eastAsia="楷体_GB2312" w:cs="Times New Roman"/>
          <w:b/>
          <w:kern w:val="2"/>
          <w:sz w:val="32"/>
          <w:szCs w:val="32"/>
          <w:lang w:val="en-US" w:eastAsia="zh-CN" w:bidi="ar-SA"/>
        </w:rPr>
        <w:t xml:space="preserve">    </w:t>
      </w:r>
      <w:r>
        <w:rPr>
          <w:rFonts w:hint="eastAsia" w:ascii="仿宋" w:hAnsi="仿宋" w:eastAsia="仿宋" w:cs="仿宋"/>
          <w:kern w:val="2"/>
          <w:sz w:val="32"/>
          <w:szCs w:val="32"/>
          <w:lang w:val="en-US" w:eastAsia="zh-CN" w:bidi="ar-SA"/>
        </w:rPr>
        <w:t>依照设定绩效目标按时按量的完成了各项任务 ，实现了收支平衡。支出按照国家财经法规和财务管理制度规定以及有关专项资金管理办法的规定；资金使用有完整的审批程序和手续；支出符合部门预算批复的用途；资金使用无挤占、挪用、虚列支出等情况。其中：2023年诊疗人次达24.98万人次，超额完成24万人次的绩效指标；出生缺陷率持续性降低，各项指标完成率达目标以上。</w:t>
      </w:r>
    </w:p>
    <w:p>
      <w:pPr>
        <w:widowControl w:val="0"/>
        <w:numPr>
          <w:ilvl w:val="0"/>
          <w:numId w:val="0"/>
        </w:numPr>
        <w:spacing w:line="520" w:lineRule="exact"/>
        <w:ind w:firstLine="643" w:firstLineChars="200"/>
        <w:jc w:val="both"/>
        <w:rPr>
          <w:rFonts w:hint="default" w:ascii="楷体" w:hAnsi="楷体" w:eastAsia="楷体" w:cs="楷体"/>
          <w:b/>
          <w:bCs/>
          <w:szCs w:val="32"/>
          <w:lang w:val="en-US" w:eastAsia="zh-CN"/>
        </w:rPr>
      </w:pPr>
      <w:r>
        <w:rPr>
          <w:rFonts w:hint="eastAsia" w:ascii="楷体" w:hAnsi="楷体" w:eastAsia="楷体" w:cs="楷体"/>
          <w:b/>
          <w:bCs/>
          <w:szCs w:val="32"/>
          <w:lang w:val="en-US" w:eastAsia="zh-CN"/>
        </w:rPr>
        <w:t>（二）效益指标</w:t>
      </w:r>
    </w:p>
    <w:p>
      <w:pPr>
        <w:widowControl w:val="0"/>
        <w:numPr>
          <w:ilvl w:val="0"/>
          <w:numId w:val="0"/>
        </w:numPr>
        <w:spacing w:line="520" w:lineRule="exact"/>
        <w:jc w:val="both"/>
        <w:rPr>
          <w:rFonts w:hint="eastAsia" w:ascii="仿宋" w:hAnsi="仿宋" w:eastAsia="仿宋" w:cs="仿宋"/>
          <w:b/>
          <w:kern w:val="2"/>
          <w:sz w:val="32"/>
          <w:szCs w:val="32"/>
          <w:lang w:val="en-US" w:eastAsia="zh-CN" w:bidi="ar-SA"/>
        </w:rPr>
      </w:pPr>
      <w:r>
        <w:rPr>
          <w:rFonts w:hint="eastAsia" w:eastAsia="楷体_GB2312" w:cs="Times New Roman"/>
          <w:b/>
          <w:kern w:val="2"/>
          <w:sz w:val="32"/>
          <w:szCs w:val="32"/>
          <w:lang w:val="en-US" w:eastAsia="zh-CN" w:bidi="ar-SA"/>
        </w:rPr>
        <w:t xml:space="preserve">    </w:t>
      </w:r>
      <w:r>
        <w:rPr>
          <w:rFonts w:hint="eastAsia" w:ascii="Times New Roman" w:hAnsi="Times New Roman" w:eastAsia="CESI仿宋-GB2312" w:cs="Times New Roman"/>
          <w:kern w:val="2"/>
          <w:sz w:val="32"/>
          <w:szCs w:val="32"/>
          <w:lang w:val="en-US" w:eastAsia="zh-CN" w:bidi="ar-SA"/>
        </w:rPr>
        <w:t xml:space="preserve"> </w:t>
      </w:r>
      <w:r>
        <w:rPr>
          <w:rFonts w:hint="eastAsia" w:ascii="仿宋" w:hAnsi="仿宋" w:eastAsia="仿宋" w:cs="仿宋"/>
          <w:kern w:val="2"/>
          <w:sz w:val="32"/>
          <w:szCs w:val="32"/>
          <w:lang w:val="en-US" w:eastAsia="zh-CN" w:bidi="ar-SA"/>
        </w:rPr>
        <w:t>支出资金及时发挥效益，维持诊断符合率达90%以上，医疗废物处置及排污达市级环保标准，且本院通过官网、微信公众号等社交媒体科普妇幼健康知识、开展妇幼保健知识讲座，关注孤独症患儿身心发展、保质保量的完成了“两癌筛查”“产前优生”“孕前优生”等项目；持续提升全市妇女儿童保健水平。但由于出生率下降的大环境影响下，业务收入为1.32亿元，低于指标值。</w:t>
      </w:r>
    </w:p>
    <w:p>
      <w:pPr>
        <w:widowControl w:val="0"/>
        <w:numPr>
          <w:ilvl w:val="0"/>
          <w:numId w:val="0"/>
        </w:numPr>
        <w:spacing w:line="520" w:lineRule="exact"/>
        <w:ind w:firstLine="643" w:firstLineChars="200"/>
        <w:jc w:val="both"/>
        <w:rPr>
          <w:rFonts w:hint="default" w:ascii="楷体" w:hAnsi="楷体" w:eastAsia="楷体" w:cs="楷体"/>
          <w:b/>
          <w:bCs/>
          <w:szCs w:val="32"/>
          <w:lang w:val="en-US" w:eastAsia="zh-CN"/>
        </w:rPr>
      </w:pPr>
      <w:r>
        <w:rPr>
          <w:rFonts w:hint="eastAsia" w:ascii="楷体" w:hAnsi="楷体" w:eastAsia="楷体" w:cs="楷体"/>
          <w:b/>
          <w:bCs/>
          <w:szCs w:val="32"/>
          <w:lang w:val="en-US" w:eastAsia="zh-CN"/>
        </w:rPr>
        <w:t>（三）满意度指标</w:t>
      </w:r>
    </w:p>
    <w:p>
      <w:pPr>
        <w:widowControl w:val="0"/>
        <w:numPr>
          <w:ilvl w:val="0"/>
          <w:numId w:val="0"/>
        </w:numPr>
        <w:spacing w:line="520" w:lineRule="exact"/>
        <w:jc w:val="both"/>
        <w:rPr>
          <w:rFonts w:hint="eastAsia" w:ascii="仿宋" w:hAnsi="仿宋" w:eastAsia="仿宋" w:cs="仿宋"/>
          <w:b/>
          <w:kern w:val="2"/>
          <w:sz w:val="32"/>
          <w:szCs w:val="32"/>
          <w:lang w:val="en-US" w:eastAsia="zh-CN" w:bidi="ar-SA"/>
        </w:rPr>
      </w:pPr>
      <w:r>
        <w:rPr>
          <w:rFonts w:hint="eastAsia" w:eastAsia="楷体_GB2312" w:cs="Times New Roman"/>
          <w:b/>
          <w:kern w:val="2"/>
          <w:sz w:val="32"/>
          <w:szCs w:val="32"/>
          <w:lang w:val="en-US" w:eastAsia="zh-CN" w:bidi="ar-SA"/>
        </w:rPr>
        <w:t xml:space="preserve">     </w:t>
      </w:r>
      <w:r>
        <w:rPr>
          <w:rFonts w:hint="eastAsia" w:ascii="仿宋" w:hAnsi="仿宋" w:eastAsia="仿宋" w:cs="仿宋"/>
          <w:kern w:val="2"/>
          <w:sz w:val="32"/>
          <w:szCs w:val="32"/>
          <w:lang w:val="en-US" w:eastAsia="zh-CN" w:bidi="ar-SA"/>
        </w:rPr>
        <w:t>加强了对于医生、医技、医辅等服务人员的培训，提升整体服务能力，由此患者对于部门履职效果的满意率不断提高，服务对象满意率基本达90%，高于80%指标率。</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存在的问题及原因分析</w:t>
      </w:r>
    </w:p>
    <w:p>
      <w:pPr>
        <w:pStyle w:val="5"/>
        <w:widowControl w:val="0"/>
        <w:numPr>
          <w:ilvl w:val="0"/>
          <w:numId w:val="0"/>
        </w:numPr>
        <w:spacing w:line="520" w:lineRule="exact"/>
        <w:jc w:val="both"/>
        <w:rPr>
          <w:rFonts w:hint="eastAsia" w:ascii="仿宋" w:hAnsi="仿宋" w:eastAsia="仿宋" w:cs="仿宋"/>
          <w:kern w:val="2"/>
          <w:sz w:val="32"/>
          <w:szCs w:val="32"/>
          <w:lang w:val="en-US" w:eastAsia="zh-CN" w:bidi="ar-SA"/>
        </w:rPr>
      </w:pPr>
      <w:r>
        <w:rPr>
          <w:rFonts w:hint="eastAsia" w:ascii="Times New Roman" w:hAnsi="Times New Roman" w:eastAsia="黑体"/>
          <w:szCs w:val="32"/>
          <w:lang w:val="en-US" w:eastAsia="zh-CN"/>
        </w:rPr>
        <w:t xml:space="preserve">     </w:t>
      </w:r>
      <w:r>
        <w:rPr>
          <w:rFonts w:hint="eastAsia" w:ascii="仿宋" w:hAnsi="仿宋" w:eastAsia="仿宋" w:cs="仿宋"/>
          <w:kern w:val="2"/>
          <w:sz w:val="32"/>
          <w:szCs w:val="32"/>
          <w:lang w:val="en-US" w:eastAsia="zh-CN" w:bidi="ar-SA"/>
        </w:rPr>
        <w:t>我国连续6年出生人口数下降并且转入人口负增长阶段再加上年初新冠疫情的持续性影响，医疗收入低于目标值。所以应对此大环境下，本院对标妇幼专科医院高质量发展要求，我们面临以下问题：</w:t>
      </w:r>
    </w:p>
    <w:p>
      <w:pPr>
        <w:pStyle w:val="5"/>
        <w:widowControl w:val="0"/>
        <w:numPr>
          <w:ilvl w:val="0"/>
          <w:numId w:val="3"/>
        </w:numPr>
        <w:spacing w:line="520" w:lineRule="exact"/>
        <w:ind w:left="800" w:lef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分娩率下降。生育率连续5年下滑，分别为-14.06%、</w:t>
      </w:r>
    </w:p>
    <w:p>
      <w:pPr>
        <w:pStyle w:val="5"/>
        <w:widowControl w:val="0"/>
        <w:numPr>
          <w:ilvl w:val="0"/>
          <w:numId w:val="0"/>
        </w:numPr>
        <w:spacing w:line="520" w:lineRule="exact"/>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-17.06%、-21.86% 、-14.75%、-10.24%，影响产科及下游科室业务收入，妇幼专科医院需探索合适的转型之路。</w:t>
      </w:r>
    </w:p>
    <w:p>
      <w:pPr>
        <w:pStyle w:val="5"/>
        <w:widowControl w:val="0"/>
        <w:numPr>
          <w:ilvl w:val="0"/>
          <w:numId w:val="3"/>
        </w:numPr>
        <w:spacing w:line="520" w:lineRule="exact"/>
        <w:ind w:left="800" w:lef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医疗技术水平亟待提高，相比较于综合医院手术</w:t>
      </w:r>
    </w:p>
    <w:p>
      <w:pPr>
        <w:pStyle w:val="5"/>
        <w:widowControl w:val="0"/>
        <w:numPr>
          <w:ilvl w:val="0"/>
          <w:numId w:val="0"/>
        </w:numPr>
        <w:spacing w:line="520" w:lineRule="exact"/>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种类较单一，高危病种的救治能力、学科建设能力受限，导致医院综合救治能力稍有欠缺。所以也需政府的支持，帮助我们进一步加强妇幼能力建设，进一步改善益阳市妇女儿童的就医环境。</w:t>
      </w:r>
    </w:p>
    <w:p>
      <w:pPr>
        <w:pStyle w:val="5"/>
        <w:widowControl w:val="0"/>
        <w:numPr>
          <w:ilvl w:val="0"/>
          <w:numId w:val="3"/>
        </w:numPr>
        <w:spacing w:line="520" w:lineRule="exact"/>
        <w:ind w:left="800" w:leftChars="0" w:firstLine="0" w:firstLineChars="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绩效考核机制未充分完善，导致医院内审制度、</w:t>
      </w:r>
    </w:p>
    <w:p>
      <w:pPr>
        <w:pStyle w:val="5"/>
        <w:widowControl w:val="0"/>
        <w:numPr>
          <w:ilvl w:val="0"/>
          <w:numId w:val="0"/>
        </w:numPr>
        <w:spacing w:line="520" w:lineRule="exact"/>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预算执行不到位。</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（一）提供“全生命周期”的妇幼健康服务。健全“孕期—产时—产后—康养”一体化妇幼健康服务体系，发挥妇幼专科优势，为孕产妇从备孕到产后的全生命周期“保驾护航”。</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（二）建设服务型专科医院。虽然分娩率历年下降，但</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是高龄产妇、二胎孕妇越来越多，所以对于医疗技术、服务质量的要求也更高了，孕产妇对于生产舒适度要求也提高了，所以仍需持续对于妇产能力建设强关注，给予孕产妇更专业、更细致化的服务。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（三）完善绩效考核机制。加强绩效目标管理，开展</w:t>
      </w:r>
    </w:p>
    <w:p>
      <w:pPr>
        <w:pStyle w:val="5"/>
        <w:widowControl w:val="0"/>
        <w:numPr>
          <w:ilvl w:val="0"/>
          <w:numId w:val="0"/>
        </w:numPr>
        <w:spacing w:line="520" w:lineRule="exact"/>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绩效运行跟踪监控，将预算执行情况与绩效考核挂钩，同时也需加强对院内医务人员的培训，激发员工的创造性和积极性，同时也有利于推动医院的高质量发展。</w:t>
      </w:r>
    </w:p>
    <w:p>
      <w:pPr>
        <w:pStyle w:val="5"/>
        <w:widowControl w:val="0"/>
        <w:numPr>
          <w:ilvl w:val="0"/>
          <w:numId w:val="0"/>
        </w:numPr>
        <w:spacing w:line="520" w:lineRule="exact"/>
        <w:jc w:val="both"/>
        <w:rPr>
          <w:rFonts w:hint="default" w:ascii="仿宋" w:hAnsi="仿宋" w:eastAsia="仿宋" w:cs="仿宋"/>
          <w:kern w:val="2"/>
          <w:sz w:val="32"/>
          <w:szCs w:val="32"/>
          <w:lang w:val="en-US" w:eastAsia="zh-CN" w:bidi="ar-SA"/>
        </w:rPr>
      </w:pP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按要求展开自评及公开。</w:t>
      </w:r>
    </w:p>
    <w:p>
      <w:pPr>
        <w:pStyle w:val="5"/>
        <w:numPr>
          <w:ilvl w:val="0"/>
          <w:numId w:val="1"/>
        </w:numPr>
        <w:spacing w:line="520" w:lineRule="exact"/>
        <w:ind w:left="0" w:leftChars="0" w:firstLine="640" w:firstLineChars="200"/>
        <w:rPr>
          <w:rFonts w:hint="eastAsia" w:ascii="Times New Roman" w:hAnsi="Times New Roman" w:eastAsia="黑体"/>
          <w:szCs w:val="32"/>
        </w:rPr>
      </w:pPr>
      <w:r>
        <w:rPr>
          <w:rFonts w:hint="eastAsia" w:ascii="Times New Roman" w:hAnsi="Times New Roman" w:eastAsia="黑体"/>
          <w:szCs w:val="32"/>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lang w:val="en-US" w:eastAsia="zh-CN" w:bidi="ar-SA"/>
        </w:rPr>
      </w:pPr>
    </w:p>
    <w:p>
      <w:pPr>
        <w:spacing w:line="520" w:lineRule="exact"/>
        <w:rPr>
          <w:rFonts w:hint="eastAsia"/>
          <w:szCs w:val="32"/>
        </w:rPr>
      </w:pPr>
      <w:r>
        <w:rPr>
          <w:rFonts w:hint="eastAsia"/>
          <w:szCs w:val="32"/>
        </w:rPr>
        <w:t>附件：</w:t>
      </w:r>
    </w:p>
    <w:p>
      <w:pPr>
        <w:spacing w:line="520" w:lineRule="exact"/>
        <w:ind w:firstLine="640" w:firstLineChars="200"/>
        <w:rPr>
          <w:szCs w:val="32"/>
        </w:rPr>
      </w:pPr>
      <w:r>
        <w:rPr>
          <w:szCs w:val="32"/>
        </w:rPr>
        <w:t>1、部门整体支出绩效评价基础数据表</w:t>
      </w:r>
    </w:p>
    <w:p>
      <w:pPr>
        <w:spacing w:line="520" w:lineRule="exact"/>
        <w:ind w:firstLine="640" w:firstLineChars="200"/>
        <w:rPr>
          <w:szCs w:val="32"/>
        </w:rPr>
      </w:pPr>
      <w:r>
        <w:rPr>
          <w:szCs w:val="32"/>
        </w:rPr>
        <w:t>2、部门整体支出绩效自评表</w:t>
      </w:r>
    </w:p>
    <w:p>
      <w:pPr>
        <w:spacing w:line="520" w:lineRule="exact"/>
        <w:ind w:firstLine="640" w:firstLineChars="200"/>
        <w:rPr>
          <w:szCs w:val="32"/>
        </w:rPr>
      </w:pPr>
      <w:r>
        <w:rPr>
          <w:szCs w:val="32"/>
        </w:rPr>
        <w:t>3、项目支出绩效自评表（每个一级项目支出一张表）</w:t>
      </w:r>
    </w:p>
    <w:p>
      <w:pPr>
        <w:spacing w:line="520" w:lineRule="exact"/>
        <w:ind w:firstLine="640" w:firstLineChars="200"/>
        <w:rPr>
          <w:szCs w:val="32"/>
        </w:rPr>
      </w:pPr>
      <w:r>
        <w:rPr>
          <w:szCs w:val="32"/>
        </w:rPr>
        <w:t>4、政府性基金预算支出情况表</w:t>
      </w:r>
      <w:r>
        <w:rPr>
          <w:rFonts w:hint="eastAsia"/>
          <w:szCs w:val="32"/>
        </w:rPr>
        <w:t>（如有）</w:t>
      </w:r>
    </w:p>
    <w:p>
      <w:pPr>
        <w:spacing w:line="520" w:lineRule="exact"/>
        <w:ind w:firstLine="640" w:firstLineChars="200"/>
        <w:rPr>
          <w:szCs w:val="32"/>
        </w:rPr>
      </w:pPr>
      <w:r>
        <w:rPr>
          <w:szCs w:val="32"/>
        </w:rPr>
        <w:t>5、国有资本经营预算支出情况表</w:t>
      </w:r>
      <w:r>
        <w:rPr>
          <w:rFonts w:hint="eastAsia"/>
          <w:szCs w:val="32"/>
        </w:rPr>
        <w:t>（如有）</w:t>
      </w:r>
    </w:p>
    <w:p>
      <w:pPr>
        <w:spacing w:line="520" w:lineRule="exact"/>
        <w:ind w:firstLine="640" w:firstLineChars="200"/>
        <w:rPr>
          <w:rFonts w:hint="eastAsia"/>
          <w:szCs w:val="32"/>
        </w:rPr>
      </w:pPr>
      <w:r>
        <w:rPr>
          <w:szCs w:val="32"/>
        </w:rPr>
        <w:t>6、社会保险基金预算支出情况表</w:t>
      </w:r>
      <w:r>
        <w:rPr>
          <w:rFonts w:hint="eastAsia"/>
          <w:szCs w:val="32"/>
        </w:rPr>
        <w:t>（如有）</w:t>
      </w: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ind w:firstLine="640" w:firstLineChars="200"/>
        <w:rPr>
          <w:rFonts w:hint="eastAsia"/>
          <w:szCs w:val="32"/>
        </w:rPr>
      </w:pPr>
    </w:p>
    <w:p>
      <w:pPr>
        <w:spacing w:line="520" w:lineRule="exact"/>
        <w:rPr>
          <w:rFonts w:ascii="方正小标宋简体" w:hAnsi="方正小标宋简体" w:eastAsia="方正小标宋简体"/>
          <w:kern w:val="0"/>
          <w:sz w:val="36"/>
          <w:szCs w:val="36"/>
        </w:rPr>
      </w:pPr>
      <w:r>
        <w:rPr>
          <w:rFonts w:hint="eastAsia"/>
          <w:szCs w:val="32"/>
        </w:rPr>
        <w:t>附件1</w:t>
      </w:r>
    </w:p>
    <w:p>
      <w:pPr>
        <w:spacing w:line="600" w:lineRule="exact"/>
        <w:jc w:val="center"/>
        <w:rPr>
          <w:rFonts w:ascii="方正小标宋简体" w:hAnsi="方正小标宋简体" w:eastAsia="方正小标宋简体"/>
          <w:kern w:val="0"/>
          <w:sz w:val="36"/>
          <w:szCs w:val="36"/>
        </w:rPr>
      </w:pPr>
      <w:r>
        <w:rPr>
          <w:rFonts w:ascii="方正小标宋简体" w:hAnsi="方正小标宋简体" w:eastAsia="方正小标宋简体"/>
          <w:kern w:val="0"/>
          <w:sz w:val="36"/>
          <w:szCs w:val="36"/>
        </w:rPr>
        <w:t>202</w:t>
      </w:r>
      <w:r>
        <w:rPr>
          <w:rFonts w:hint="eastAsia" w:ascii="方正小标宋简体" w:hAnsi="方正小标宋简体" w:eastAsia="方正小标宋简体"/>
          <w:kern w:val="0"/>
          <w:sz w:val="36"/>
          <w:szCs w:val="36"/>
        </w:rPr>
        <w:t>3</w:t>
      </w:r>
      <w:r>
        <w:rPr>
          <w:rFonts w:ascii="方正小标宋简体" w:hAnsi="方正小标宋简体" w:eastAsia="方正小标宋简体"/>
          <w:kern w:val="0"/>
          <w:sz w:val="36"/>
          <w:szCs w:val="36"/>
        </w:rPr>
        <w:t>年度部门整体支出绩效评价基础数据表</w:t>
      </w:r>
    </w:p>
    <w:tbl>
      <w:tblPr>
        <w:tblStyle w:val="2"/>
        <w:tblW w:w="9580" w:type="dxa"/>
        <w:jc w:val="center"/>
        <w:tblInd w:w="0" w:type="dxa"/>
        <w:tblLayout w:type="fixed"/>
        <w:tblCellMar>
          <w:top w:w="0" w:type="dxa"/>
          <w:left w:w="108" w:type="dxa"/>
          <w:bottom w:w="0" w:type="dxa"/>
          <w:right w:w="108" w:type="dxa"/>
        </w:tblCellMar>
      </w:tblPr>
      <w:tblGrid>
        <w:gridCol w:w="3544"/>
        <w:gridCol w:w="817"/>
        <w:gridCol w:w="1112"/>
        <w:gridCol w:w="1067"/>
        <w:gridCol w:w="1127"/>
        <w:gridCol w:w="949"/>
        <w:gridCol w:w="964"/>
      </w:tblGrid>
      <w:tr>
        <w:tblPrEx>
          <w:tblLayout w:type="fixed"/>
          <w:tblCellMar>
            <w:top w:w="0" w:type="dxa"/>
            <w:left w:w="108" w:type="dxa"/>
            <w:bottom w:w="0" w:type="dxa"/>
            <w:right w:w="108" w:type="dxa"/>
          </w:tblCellMar>
        </w:tblPrEx>
        <w:trPr>
          <w:trHeight w:val="466" w:hRule="atLeast"/>
          <w:jc w:val="center"/>
        </w:trPr>
        <w:tc>
          <w:tcPr>
            <w:tcW w:w="35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财政供养人员情况（人）</w:t>
            </w:r>
          </w:p>
        </w:tc>
        <w:tc>
          <w:tcPr>
            <w:tcW w:w="19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1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2023年实际在职人数</w:t>
            </w:r>
          </w:p>
        </w:tc>
        <w:tc>
          <w:tcPr>
            <w:tcW w:w="19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tblPrEx>
          <w:tblLayout w:type="fixed"/>
          <w:tblCellMar>
            <w:top w:w="0" w:type="dxa"/>
            <w:left w:w="108" w:type="dxa"/>
            <w:bottom w:w="0" w:type="dxa"/>
            <w:right w:w="108" w:type="dxa"/>
          </w:tblCellMar>
        </w:tblPrEx>
        <w:trPr>
          <w:trHeight w:val="378" w:hRule="atLeast"/>
          <w:jc w:val="center"/>
        </w:trPr>
        <w:tc>
          <w:tcPr>
            <w:tcW w:w="3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1"/>
                <w:szCs w:val="21"/>
              </w:rPr>
            </w:pPr>
          </w:p>
        </w:tc>
        <w:tc>
          <w:tcPr>
            <w:tcW w:w="192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165</w:t>
            </w:r>
          </w:p>
        </w:tc>
        <w:tc>
          <w:tcPr>
            <w:tcW w:w="21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kern w:val="0"/>
                <w:sz w:val="21"/>
                <w:szCs w:val="21"/>
                <w:lang w:val="en-US"/>
              </w:rPr>
            </w:pPr>
            <w:r>
              <w:rPr>
                <w:rFonts w:hint="eastAsia" w:ascii="Times New Roman" w:hAnsi="Times New Roman"/>
                <w:kern w:val="0"/>
                <w:sz w:val="21"/>
                <w:szCs w:val="21"/>
                <w:lang w:val="en-US" w:eastAsia="zh-CN"/>
              </w:rPr>
              <w:t>452</w:t>
            </w:r>
          </w:p>
        </w:tc>
        <w:tc>
          <w:tcPr>
            <w:tcW w:w="19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273.94%</w:t>
            </w:r>
            <w:r>
              <w:rPr>
                <w:rFonts w:ascii="Times New Roman" w:hAnsi="Times New Roman"/>
                <w:kern w:val="0"/>
                <w:sz w:val="21"/>
                <w:szCs w:val="21"/>
              </w:rPr>
              <w:t>　</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经费控制情况（万元）</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2022年决算数</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2023年预算数</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2023年决算数</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Cs w:val="21"/>
              </w:rPr>
            </w:pPr>
            <w:r>
              <w:rPr>
                <w:rFonts w:hint="eastAsia" w:ascii="仿宋" w:hAnsi="仿宋" w:eastAsia="仿宋" w:cs="仿宋"/>
                <w:kern w:val="0"/>
                <w:sz w:val="21"/>
                <w:szCs w:val="21"/>
              </w:rPr>
              <w:t>三公经费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cs="Times New Roman"/>
                <w:b w:val="0"/>
                <w:bCs w:val="0"/>
                <w:kern w:val="0"/>
                <w:szCs w:val="21"/>
              </w:rPr>
            </w:pPr>
            <w:r>
              <w:rPr>
                <w:rFonts w:hint="default" w:ascii="Times New Roman" w:hAnsi="Times New Roman" w:cs="Times New Roman"/>
                <w:b w:val="0"/>
                <w:bCs w:val="0"/>
                <w:kern w:val="0"/>
                <w:sz w:val="21"/>
                <w:szCs w:val="21"/>
                <w:lang w:val="en-US" w:eastAsia="zh-CN"/>
              </w:rPr>
              <w:t>0</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lang w:val="en-US" w:eastAsia="zh-CN"/>
              </w:rPr>
              <w:t>0</w:t>
            </w:r>
            <w:r>
              <w:rPr>
                <w:rFonts w:hint="default" w:ascii="Times New Roman" w:hAnsi="Times New Roman" w:cs="Times New Roman"/>
                <w:b w:val="0"/>
                <w:bCs w:val="0"/>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630" w:firstLineChars="300"/>
              <w:rPr>
                <w:rFonts w:hint="eastAsia" w:ascii="仿宋" w:hAnsi="仿宋" w:eastAsia="仿宋" w:cs="仿宋"/>
                <w:kern w:val="0"/>
                <w:sz w:val="21"/>
                <w:szCs w:val="21"/>
              </w:rPr>
            </w:pPr>
            <w:r>
              <w:rPr>
                <w:rFonts w:hint="eastAsia" w:ascii="仿宋" w:hAnsi="仿宋" w:eastAsia="仿宋" w:cs="仿宋"/>
                <w:kern w:val="0"/>
                <w:sz w:val="21"/>
                <w:szCs w:val="21"/>
              </w:rPr>
              <w:t xml:space="preserve"> 其中：公车购置</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cs="Times New Roman"/>
                <w:b w:val="0"/>
                <w:bCs w:val="0"/>
                <w:kern w:val="0"/>
                <w:sz w:val="21"/>
                <w:szCs w:val="21"/>
              </w:rPr>
            </w:pPr>
            <w:r>
              <w:rPr>
                <w:rFonts w:hint="eastAsia" w:ascii="Times New Roman" w:hAnsi="Times New Roman" w:cs="Times New Roman"/>
                <w:b w:val="0"/>
                <w:bCs w:val="0"/>
                <w:kern w:val="0"/>
                <w:sz w:val="21"/>
                <w:szCs w:val="21"/>
                <w:lang w:val="en-US" w:eastAsia="zh-CN"/>
              </w:rPr>
              <w:t>0</w:t>
            </w:r>
            <w:r>
              <w:rPr>
                <w:rFonts w:hint="default" w:ascii="Times New Roman" w:hAnsi="Times New Roman" w:cs="Times New Roman"/>
                <w:b w:val="0"/>
                <w:bCs w:val="0"/>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cs="Times New Roman"/>
                <w:b w:val="0"/>
                <w:bCs w:val="0"/>
                <w:kern w:val="0"/>
                <w:sz w:val="21"/>
                <w:szCs w:val="21"/>
                <w:lang w:val="en-US" w:eastAsia="zh-CN"/>
              </w:rPr>
            </w:pPr>
            <w:r>
              <w:rPr>
                <w:rFonts w:hint="eastAsia" w:ascii="Times New Roman" w:hAnsi="Times New Roman" w:cs="Times New Roman"/>
                <w:b w:val="0"/>
                <w:bCs w:val="0"/>
                <w:kern w:val="0"/>
                <w:sz w:val="21"/>
                <w:szCs w:val="21"/>
                <w:lang w:val="en-US" w:eastAsia="zh-CN"/>
              </w:rPr>
              <w:t>0</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公车运行维护</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cs="Times New Roman"/>
                <w:b w:val="0"/>
                <w:bCs w:val="0"/>
                <w:kern w:val="0"/>
                <w:sz w:val="21"/>
                <w:szCs w:val="21"/>
              </w:rPr>
            </w:pPr>
            <w:r>
              <w:rPr>
                <w:rFonts w:hint="eastAsia" w:ascii="Times New Roman" w:hAnsi="Times New Roman" w:cs="Times New Roman"/>
                <w:b w:val="0"/>
                <w:bCs w:val="0"/>
                <w:kern w:val="0"/>
                <w:sz w:val="21"/>
                <w:szCs w:val="21"/>
                <w:lang w:val="en-US" w:eastAsia="zh-CN"/>
              </w:rPr>
              <w:t>0</w:t>
            </w:r>
            <w:r>
              <w:rPr>
                <w:rFonts w:hint="default" w:ascii="Times New Roman" w:hAnsi="Times New Roman" w:cs="Times New Roman"/>
                <w:b w:val="0"/>
                <w:bCs w:val="0"/>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cs="Times New Roman"/>
                <w:b w:val="0"/>
                <w:bCs w:val="0"/>
                <w:kern w:val="0"/>
                <w:sz w:val="21"/>
                <w:szCs w:val="21"/>
                <w:lang w:val="en-US" w:eastAsia="zh-CN"/>
              </w:rPr>
            </w:pPr>
            <w:r>
              <w:rPr>
                <w:rFonts w:hint="eastAsia" w:ascii="Times New Roman" w:hAnsi="Times New Roman" w:cs="Times New Roman"/>
                <w:b w:val="0"/>
                <w:bCs w:val="0"/>
                <w:kern w:val="0"/>
                <w:sz w:val="21"/>
                <w:szCs w:val="21"/>
                <w:lang w:val="en-US" w:eastAsia="zh-CN"/>
              </w:rPr>
              <w:t>0</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lang w:val="en-US" w:eastAsia="zh-CN"/>
              </w:rPr>
              <w:t>0</w:t>
            </w:r>
            <w:r>
              <w:rPr>
                <w:rFonts w:hint="default" w:ascii="Times New Roman" w:hAnsi="Times New Roman" w:cs="Times New Roman"/>
                <w:b w:val="0"/>
                <w:bCs w:val="0"/>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lang w:val="en-US" w:eastAsia="zh-CN"/>
              </w:rPr>
              <w:t>0</w:t>
            </w:r>
            <w:r>
              <w:rPr>
                <w:rFonts w:hint="default" w:ascii="Times New Roman" w:hAnsi="Times New Roman" w:cs="Times New Roman"/>
                <w:b w:val="0"/>
                <w:bCs w:val="0"/>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kern w:val="0"/>
                <w:sz w:val="21"/>
                <w:szCs w:val="21"/>
                <w:lang w:val="en-US" w:eastAsia="zh-CN"/>
              </w:rPr>
              <w:t>0</w:t>
            </w:r>
            <w:r>
              <w:rPr>
                <w:rFonts w:hint="default" w:ascii="Times New Roman" w:hAnsi="Times New Roman" w:cs="Times New Roman"/>
                <w:b w:val="0"/>
                <w:bCs w:val="0"/>
                <w:kern w:val="0"/>
                <w:sz w:val="21"/>
                <w:szCs w:val="21"/>
              </w:rPr>
              <w:t>　</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项目支出：</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1、业务工作经费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37</w:t>
            </w:r>
            <w:r>
              <w:rPr>
                <w:rFonts w:ascii="Times New Roman" w:hAnsi="Times New Roman"/>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37</w:t>
            </w:r>
            <w:r>
              <w:rPr>
                <w:rFonts w:ascii="Times New Roman" w:hAnsi="Times New Roman"/>
                <w:kern w:val="0"/>
                <w:sz w:val="21"/>
                <w:szCs w:val="21"/>
              </w:rPr>
              <w:t>　</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color w:val="auto"/>
                <w:kern w:val="0"/>
                <w:sz w:val="21"/>
                <w:szCs w:val="21"/>
              </w:rPr>
            </w:pPr>
            <w:r>
              <w:rPr>
                <w:rFonts w:hint="eastAsia" w:ascii="Times New Roman" w:hAnsi="Times New Roman"/>
                <w:color w:val="auto"/>
                <w:kern w:val="0"/>
                <w:sz w:val="21"/>
                <w:szCs w:val="21"/>
                <w:lang w:val="en-US" w:eastAsia="zh-CN"/>
              </w:rPr>
              <w:t>37.00</w:t>
            </w:r>
            <w:r>
              <w:rPr>
                <w:rFonts w:ascii="Times New Roman" w:hAnsi="Times New Roman"/>
                <w:color w:val="auto"/>
                <w:kern w:val="0"/>
                <w:sz w:val="21"/>
                <w:szCs w:val="21"/>
              </w:rPr>
              <w:t>　</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2、运行维护经费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Times New Roman" w:hAnsi="Times New Roman" w:eastAsia="仿宋_GB2312"/>
                <w:color w:val="auto"/>
                <w:kern w:val="0"/>
                <w:sz w:val="21"/>
                <w:szCs w:val="21"/>
                <w:lang w:val="en-US" w:eastAsia="zh-CN"/>
              </w:rPr>
            </w:pPr>
            <w:r>
              <w:rPr>
                <w:rFonts w:hint="eastAsia" w:ascii="Times New Roman" w:hAnsi="Times New Roman"/>
                <w:color w:val="auto"/>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3、市级专项资金（一个专项一行）</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公用经费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kern w:val="0"/>
                <w:sz w:val="21"/>
                <w:szCs w:val="21"/>
                <w:lang w:val="en-US"/>
              </w:rPr>
            </w:pP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0</w:t>
            </w:r>
            <w:r>
              <w:rPr>
                <w:rFonts w:ascii="Times New Roman" w:hAnsi="Times New Roman"/>
                <w:kern w:val="0"/>
                <w:sz w:val="21"/>
                <w:szCs w:val="21"/>
              </w:rPr>
              <w:t>　</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21"/>
                <w:szCs w:val="21"/>
                <w:lang w:val="en-US" w:eastAsia="zh-CN"/>
              </w:rPr>
            </w:pP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0</w:t>
            </w:r>
            <w:r>
              <w:rPr>
                <w:rFonts w:ascii="Times New Roman" w:hAnsi="Times New Roman"/>
                <w:kern w:val="0"/>
                <w:sz w:val="21"/>
                <w:szCs w:val="21"/>
              </w:rPr>
              <w:t>　</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会议费、培训费</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　</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0</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政府采购金额</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4961.00</w:t>
            </w:r>
            <w:r>
              <w:rPr>
                <w:rFonts w:ascii="Times New Roman" w:hAnsi="Times New Roman"/>
                <w:kern w:val="0"/>
                <w:sz w:val="21"/>
                <w:szCs w:val="21"/>
              </w:rPr>
              <w:t>　</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hint="eastAsia" w:ascii="Times New Roman" w:hAnsi="Times New Roman"/>
                <w:kern w:val="0"/>
                <w:sz w:val="21"/>
                <w:szCs w:val="21"/>
                <w:lang w:val="en-US" w:eastAsia="zh-CN"/>
              </w:rPr>
              <w:t>336</w:t>
            </w:r>
            <w:r>
              <w:rPr>
                <w:rFonts w:ascii="Times New Roman" w:hAnsi="Times New Roman"/>
                <w:kern w:val="0"/>
                <w:sz w:val="21"/>
                <w:szCs w:val="21"/>
              </w:rPr>
              <w:t>　</w:t>
            </w:r>
          </w:p>
        </w:tc>
      </w:tr>
      <w:tr>
        <w:tblPrEx>
          <w:tblLayout w:type="fixed"/>
          <w:tblCellMar>
            <w:top w:w="0" w:type="dxa"/>
            <w:left w:w="108" w:type="dxa"/>
            <w:bottom w:w="0" w:type="dxa"/>
            <w:right w:w="108" w:type="dxa"/>
          </w:tblCellMar>
        </w:tblPrEx>
        <w:trPr>
          <w:trHeight w:val="466"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 w:val="21"/>
                <w:szCs w:val="21"/>
              </w:rPr>
            </w:pPr>
            <w:r>
              <w:rPr>
                <w:rFonts w:hint="eastAsia" w:ascii="仿宋" w:hAnsi="仿宋" w:eastAsia="仿宋" w:cs="仿宋"/>
                <w:kern w:val="0"/>
                <w:sz w:val="21"/>
                <w:szCs w:val="21"/>
              </w:rPr>
              <w:t xml:space="preserve">部门基本支出预算调整 </w:t>
            </w:r>
          </w:p>
        </w:tc>
        <w:tc>
          <w:tcPr>
            <w:tcW w:w="1929"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w:t>
            </w:r>
          </w:p>
        </w:tc>
        <w:tc>
          <w:tcPr>
            <w:tcW w:w="2194"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color w:val="FF0000"/>
                <w:kern w:val="0"/>
                <w:sz w:val="21"/>
                <w:szCs w:val="21"/>
              </w:rPr>
            </w:pPr>
            <w:r>
              <w:rPr>
                <w:rFonts w:hint="eastAsia" w:ascii="Times New Roman" w:hAnsi="Times New Roman"/>
                <w:color w:val="auto"/>
                <w:kern w:val="0"/>
                <w:sz w:val="21"/>
                <w:szCs w:val="21"/>
                <w:lang w:val="en-US" w:eastAsia="zh-CN"/>
              </w:rPr>
              <w:t>923.04</w:t>
            </w:r>
            <w:r>
              <w:rPr>
                <w:rFonts w:ascii="Times New Roman" w:hAnsi="Times New Roman"/>
                <w:color w:val="auto"/>
                <w:kern w:val="0"/>
                <w:sz w:val="21"/>
                <w:szCs w:val="21"/>
              </w:rPr>
              <w:t>　</w:t>
            </w:r>
          </w:p>
        </w:tc>
        <w:tc>
          <w:tcPr>
            <w:tcW w:w="1913" w:type="dxa"/>
            <w:gridSpan w:val="2"/>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color w:val="FF0000"/>
                <w:kern w:val="0"/>
                <w:sz w:val="21"/>
                <w:szCs w:val="21"/>
              </w:rPr>
            </w:pPr>
            <w:r>
              <w:rPr>
                <w:rFonts w:ascii="Times New Roman" w:hAnsi="Times New Roman"/>
                <w:color w:val="FF0000"/>
                <w:kern w:val="0"/>
                <w:sz w:val="21"/>
                <w:szCs w:val="21"/>
              </w:rPr>
              <w:t>　</w:t>
            </w:r>
          </w:p>
        </w:tc>
      </w:tr>
      <w:tr>
        <w:tblPrEx>
          <w:tblLayout w:type="fixed"/>
          <w:tblCellMar>
            <w:top w:w="0" w:type="dxa"/>
            <w:left w:w="108" w:type="dxa"/>
            <w:bottom w:w="0" w:type="dxa"/>
            <w:right w:w="108" w:type="dxa"/>
          </w:tblCellMar>
        </w:tblPrEx>
        <w:trPr>
          <w:trHeight w:val="1062" w:hRule="atLeast"/>
          <w:jc w:val="center"/>
        </w:trPr>
        <w:tc>
          <w:tcPr>
            <w:tcW w:w="3544"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楼堂馆所控制情况</w:t>
            </w:r>
            <w:r>
              <w:rPr>
                <w:rFonts w:hint="eastAsia" w:ascii="仿宋" w:hAnsi="仿宋" w:eastAsia="仿宋" w:cs="仿宋"/>
                <w:kern w:val="0"/>
                <w:sz w:val="21"/>
                <w:szCs w:val="21"/>
              </w:rPr>
              <w:br w:type="textWrapping"/>
            </w:r>
            <w:r>
              <w:rPr>
                <w:rFonts w:hint="eastAsia" w:ascii="仿宋" w:hAnsi="仿宋" w:eastAsia="仿宋" w:cs="仿宋"/>
                <w:kern w:val="0"/>
                <w:sz w:val="21"/>
                <w:szCs w:val="21"/>
              </w:rPr>
              <w:t>（2023年完工项目）</w:t>
            </w:r>
          </w:p>
        </w:tc>
        <w:tc>
          <w:tcPr>
            <w:tcW w:w="8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10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96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tblPrEx>
          <w:tblLayout w:type="fixed"/>
          <w:tblCellMar>
            <w:top w:w="0" w:type="dxa"/>
            <w:left w:w="108" w:type="dxa"/>
            <w:bottom w:w="0" w:type="dxa"/>
            <w:right w:w="108" w:type="dxa"/>
          </w:tblCellMar>
        </w:tblPrEx>
        <w:trPr>
          <w:trHeight w:val="532" w:hRule="atLeast"/>
          <w:jc w:val="center"/>
        </w:trPr>
        <w:tc>
          <w:tcPr>
            <w:tcW w:w="354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1"/>
                <w:szCs w:val="21"/>
              </w:rPr>
            </w:pPr>
          </w:p>
        </w:tc>
        <w:tc>
          <w:tcPr>
            <w:tcW w:w="8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6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599" w:hRule="atLeast"/>
          <w:jc w:val="center"/>
        </w:trPr>
        <w:tc>
          <w:tcPr>
            <w:tcW w:w="354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厉行节约保障措施</w:t>
            </w:r>
          </w:p>
        </w:tc>
        <w:tc>
          <w:tcPr>
            <w:tcW w:w="6036"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bl>
    <w:p>
      <w:pPr>
        <w:widowControl/>
        <w:spacing w:line="300" w:lineRule="exact"/>
        <w:jc w:val="left"/>
        <w:rPr>
          <w:rFonts w:hint="eastAsia" w:ascii="仿宋" w:hAnsi="仿宋" w:eastAsia="仿宋" w:cs="仿宋"/>
          <w:kern w:val="0"/>
          <w:sz w:val="22"/>
          <w:szCs w:val="22"/>
        </w:rPr>
      </w:pPr>
      <w:r>
        <w:rPr>
          <w:rFonts w:hint="eastAsia" w:ascii="仿宋" w:hAnsi="仿宋" w:eastAsia="仿宋" w:cs="仿宋"/>
          <w:kern w:val="0"/>
          <w:sz w:val="22"/>
          <w:szCs w:val="22"/>
        </w:rPr>
        <w:t>说明：“项目支出”需要填报基本支出以外的所有项目支出情况，“运行维护经费”填报项目支出中用于人员类和公用运转类的支出。“公用经费”填报基本支出中的一般商品和服务支出。</w:t>
      </w:r>
    </w:p>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填表人：        填报日期：          联系电话：            单位负责人签字：</w:t>
      </w:r>
    </w:p>
    <w:p>
      <w:pPr>
        <w:widowControl/>
        <w:jc w:val="left"/>
        <w:rPr>
          <w:rFonts w:hint="eastAsia" w:ascii="仿宋" w:hAnsi="仿宋" w:eastAsia="仿宋" w:cs="仿宋"/>
          <w:kern w:val="0"/>
          <w:sz w:val="22"/>
          <w:szCs w:val="22"/>
        </w:rPr>
      </w:pPr>
    </w:p>
    <w:p>
      <w:pPr>
        <w:spacing w:line="520" w:lineRule="exact"/>
        <w:rPr>
          <w:rFonts w:hint="eastAsia" w:ascii="仿宋" w:hAnsi="仿宋" w:eastAsia="仿宋" w:cs="仿宋"/>
          <w:kern w:val="0"/>
          <w:sz w:val="22"/>
          <w:szCs w:val="22"/>
        </w:rPr>
      </w:pPr>
      <w:r>
        <w:rPr>
          <w:rFonts w:hint="eastAsia"/>
          <w:szCs w:val="32"/>
        </w:rPr>
        <w:t>附件</w:t>
      </w:r>
      <w:r>
        <w:rPr>
          <w:rFonts w:hint="eastAsia"/>
          <w:szCs w:val="32"/>
          <w:lang w:val="en-US" w:eastAsia="zh-CN"/>
        </w:rPr>
        <w:t>2</w:t>
      </w:r>
    </w:p>
    <w:p>
      <w:pPr>
        <w:widowControl/>
        <w:spacing w:line="400" w:lineRule="exact"/>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202</w:t>
      </w:r>
      <w:r>
        <w:rPr>
          <w:rFonts w:hint="eastAsia" w:ascii="Times New Roman" w:hAnsi="Times New Roman" w:eastAsia="方正小标宋_GBK"/>
          <w:color w:val="000000"/>
          <w:kern w:val="0"/>
          <w:sz w:val="36"/>
          <w:szCs w:val="36"/>
        </w:rPr>
        <w:t>3</w:t>
      </w:r>
      <w:r>
        <w:rPr>
          <w:rFonts w:ascii="Times New Roman" w:hAnsi="Times New Roman" w:eastAsia="方正小标宋_GBK"/>
          <w:color w:val="000000"/>
          <w:kern w:val="0"/>
          <w:sz w:val="36"/>
          <w:szCs w:val="36"/>
        </w:rPr>
        <w:t>年度部门整体支出绩效自评表</w:t>
      </w:r>
    </w:p>
    <w:tbl>
      <w:tblPr>
        <w:tblStyle w:val="2"/>
        <w:tblW w:w="10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312"/>
        <w:gridCol w:w="881"/>
        <w:gridCol w:w="1594"/>
        <w:gridCol w:w="244"/>
        <w:gridCol w:w="956"/>
        <w:gridCol w:w="956"/>
        <w:gridCol w:w="863"/>
        <w:gridCol w:w="656"/>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891" w:type="dxa"/>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预算部门、单位名称</w:t>
            </w:r>
          </w:p>
        </w:tc>
        <w:tc>
          <w:tcPr>
            <w:tcW w:w="9195" w:type="dxa"/>
            <w:gridSpan w:val="9"/>
            <w:noWrap w:val="0"/>
            <w:vAlign w:val="center"/>
          </w:tcPr>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益阳市妇幼保健院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vMerge w:val="restart"/>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年度预</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算申请</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（万元）</w:t>
            </w:r>
          </w:p>
        </w:tc>
        <w:tc>
          <w:tcPr>
            <w:tcW w:w="2193" w:type="dxa"/>
            <w:gridSpan w:val="2"/>
            <w:noWrap w:val="0"/>
            <w:vAlign w:val="center"/>
          </w:tcPr>
          <w:p>
            <w:pPr>
              <w:jc w:val="center"/>
              <w:rPr>
                <w:rFonts w:hint="eastAsia" w:ascii="仿宋" w:hAnsi="仿宋" w:eastAsia="仿宋" w:cs="仿宋"/>
                <w:sz w:val="21"/>
                <w:szCs w:val="21"/>
              </w:rPr>
            </w:pPr>
          </w:p>
        </w:tc>
        <w:tc>
          <w:tcPr>
            <w:tcW w:w="1594"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年初</w:t>
            </w:r>
          </w:p>
          <w:p>
            <w:pPr>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1200" w:type="dxa"/>
            <w:gridSpan w:val="2"/>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56"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全年</w:t>
            </w:r>
          </w:p>
          <w:p>
            <w:pPr>
              <w:jc w:val="center"/>
              <w:rPr>
                <w:rFonts w:hint="eastAsia" w:ascii="仿宋" w:hAnsi="仿宋" w:eastAsia="仿宋" w:cs="仿宋"/>
                <w:sz w:val="21"/>
                <w:szCs w:val="21"/>
              </w:rPr>
            </w:pPr>
            <w:r>
              <w:rPr>
                <w:rFonts w:hint="eastAsia" w:ascii="仿宋" w:hAnsi="仿宋" w:eastAsia="仿宋" w:cs="仿宋"/>
                <w:sz w:val="21"/>
                <w:szCs w:val="21"/>
              </w:rPr>
              <w:t>执行数</w:t>
            </w:r>
          </w:p>
        </w:tc>
        <w:tc>
          <w:tcPr>
            <w:tcW w:w="863"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分值</w:t>
            </w:r>
          </w:p>
        </w:tc>
        <w:tc>
          <w:tcPr>
            <w:tcW w:w="656"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733"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91" w:type="dxa"/>
            <w:vMerge w:val="continue"/>
            <w:noWrap w:val="0"/>
            <w:vAlign w:val="center"/>
          </w:tcPr>
          <w:p>
            <w:pPr>
              <w:widowControl/>
              <w:jc w:val="center"/>
              <w:rPr>
                <w:color w:val="000000"/>
                <w:kern w:val="0"/>
                <w:sz w:val="21"/>
                <w:szCs w:val="21"/>
              </w:rPr>
            </w:pPr>
          </w:p>
        </w:tc>
        <w:tc>
          <w:tcPr>
            <w:tcW w:w="2193" w:type="dxa"/>
            <w:gridSpan w:val="2"/>
            <w:noWrap w:val="0"/>
            <w:vAlign w:val="center"/>
          </w:tcPr>
          <w:p>
            <w:pPr>
              <w:jc w:val="center"/>
              <w:rPr>
                <w:sz w:val="21"/>
                <w:szCs w:val="21"/>
              </w:rPr>
            </w:pPr>
            <w:r>
              <w:rPr>
                <w:rFonts w:hint="eastAsia" w:ascii="仿宋" w:hAnsi="仿宋" w:eastAsia="仿宋" w:cs="仿宋"/>
                <w:color w:val="000000"/>
                <w:kern w:val="0"/>
                <w:sz w:val="21"/>
                <w:szCs w:val="21"/>
              </w:rPr>
              <w:t>年度资金总额</w:t>
            </w:r>
          </w:p>
        </w:tc>
        <w:tc>
          <w:tcPr>
            <w:tcW w:w="1594" w:type="dxa"/>
            <w:noWrap w:val="0"/>
            <w:vAlign w:val="center"/>
          </w:tcPr>
          <w:p>
            <w:pPr>
              <w:jc w:val="center"/>
              <w:rPr>
                <w:rFonts w:hint="default" w:eastAsia="仿宋_GB2312"/>
                <w:sz w:val="21"/>
                <w:szCs w:val="21"/>
                <w:lang w:val="en-US" w:eastAsia="zh-CN"/>
              </w:rPr>
            </w:pPr>
            <w:r>
              <w:rPr>
                <w:rFonts w:hint="eastAsia"/>
                <w:sz w:val="21"/>
                <w:szCs w:val="21"/>
                <w:lang w:val="en-US" w:eastAsia="zh-CN"/>
              </w:rPr>
              <w:t>678.21</w:t>
            </w:r>
          </w:p>
        </w:tc>
        <w:tc>
          <w:tcPr>
            <w:tcW w:w="1200" w:type="dxa"/>
            <w:gridSpan w:val="2"/>
            <w:noWrap w:val="0"/>
            <w:vAlign w:val="center"/>
          </w:tcPr>
          <w:p>
            <w:pPr>
              <w:jc w:val="center"/>
              <w:rPr>
                <w:rFonts w:hint="default" w:eastAsia="仿宋_GB2312"/>
                <w:sz w:val="21"/>
                <w:szCs w:val="21"/>
                <w:lang w:val="en-US" w:eastAsia="zh-CN"/>
              </w:rPr>
            </w:pPr>
            <w:r>
              <w:rPr>
                <w:rFonts w:hint="eastAsia"/>
                <w:sz w:val="21"/>
                <w:szCs w:val="21"/>
                <w:lang w:val="en-US" w:eastAsia="zh-CN"/>
              </w:rPr>
              <w:t>5899.65</w:t>
            </w:r>
          </w:p>
        </w:tc>
        <w:tc>
          <w:tcPr>
            <w:tcW w:w="956" w:type="dxa"/>
            <w:noWrap w:val="0"/>
            <w:vAlign w:val="center"/>
          </w:tcPr>
          <w:p>
            <w:pPr>
              <w:jc w:val="center"/>
              <w:rPr>
                <w:rFonts w:hint="default" w:eastAsia="仿宋_GB2312"/>
                <w:sz w:val="21"/>
                <w:szCs w:val="21"/>
                <w:lang w:val="en-US" w:eastAsia="zh-CN"/>
              </w:rPr>
            </w:pPr>
            <w:r>
              <w:rPr>
                <w:rFonts w:hint="eastAsia"/>
                <w:sz w:val="21"/>
                <w:szCs w:val="21"/>
                <w:lang w:val="en-US" w:eastAsia="zh-CN"/>
              </w:rPr>
              <w:t>5899.65</w:t>
            </w:r>
          </w:p>
        </w:tc>
        <w:tc>
          <w:tcPr>
            <w:tcW w:w="863" w:type="dxa"/>
            <w:noWrap w:val="0"/>
            <w:vAlign w:val="center"/>
          </w:tcPr>
          <w:p>
            <w:pPr>
              <w:jc w:val="center"/>
              <w:rPr>
                <w:sz w:val="21"/>
                <w:szCs w:val="21"/>
              </w:rPr>
            </w:pPr>
            <w:r>
              <w:rPr>
                <w:sz w:val="21"/>
                <w:szCs w:val="21"/>
              </w:rPr>
              <w:t>10</w:t>
            </w:r>
          </w:p>
        </w:tc>
        <w:tc>
          <w:tcPr>
            <w:tcW w:w="656" w:type="dxa"/>
            <w:noWrap w:val="0"/>
            <w:vAlign w:val="center"/>
          </w:tcPr>
          <w:p>
            <w:pPr>
              <w:jc w:val="center"/>
              <w:rPr>
                <w:rFonts w:hint="default" w:eastAsia="仿宋_GB2312"/>
                <w:sz w:val="21"/>
                <w:szCs w:val="21"/>
                <w:lang w:val="en-US" w:eastAsia="zh-CN"/>
              </w:rPr>
            </w:pPr>
            <w:r>
              <w:rPr>
                <w:rFonts w:hint="eastAsia"/>
                <w:sz w:val="21"/>
                <w:szCs w:val="21"/>
                <w:lang w:val="en-US" w:eastAsia="zh-CN"/>
              </w:rPr>
              <w:t>100%</w:t>
            </w:r>
          </w:p>
        </w:tc>
        <w:tc>
          <w:tcPr>
            <w:tcW w:w="1733" w:type="dxa"/>
            <w:noWrap w:val="0"/>
            <w:vAlign w:val="center"/>
          </w:tcPr>
          <w:p>
            <w:pPr>
              <w:jc w:val="center"/>
              <w:rPr>
                <w:rFonts w:hint="default" w:eastAsia="仿宋_GB2312"/>
                <w:sz w:val="21"/>
                <w:szCs w:val="21"/>
                <w:lang w:val="en-US" w:eastAsia="zh-CN"/>
              </w:rPr>
            </w:pPr>
            <w:r>
              <w:rPr>
                <w:rFonts w:hint="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vMerge w:val="continue"/>
            <w:noWrap w:val="0"/>
            <w:vAlign w:val="center"/>
          </w:tcPr>
          <w:p>
            <w:pPr>
              <w:widowControl/>
              <w:jc w:val="left"/>
              <w:rPr>
                <w:color w:val="000000"/>
                <w:kern w:val="0"/>
                <w:sz w:val="21"/>
                <w:szCs w:val="21"/>
              </w:rPr>
            </w:pPr>
          </w:p>
        </w:tc>
        <w:tc>
          <w:tcPr>
            <w:tcW w:w="4987" w:type="dxa"/>
            <w:gridSpan w:val="5"/>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208" w:type="dxa"/>
            <w:gridSpan w:val="4"/>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vMerge w:val="continue"/>
            <w:noWrap w:val="0"/>
            <w:vAlign w:val="center"/>
          </w:tcPr>
          <w:p>
            <w:pPr>
              <w:widowControl/>
              <w:jc w:val="left"/>
              <w:rPr>
                <w:color w:val="000000"/>
                <w:kern w:val="0"/>
                <w:sz w:val="21"/>
                <w:szCs w:val="21"/>
              </w:rPr>
            </w:pPr>
          </w:p>
        </w:tc>
        <w:tc>
          <w:tcPr>
            <w:tcW w:w="4987" w:type="dxa"/>
            <w:gridSpan w:val="5"/>
            <w:noWrap w:val="0"/>
            <w:vAlign w:val="center"/>
          </w:tcPr>
          <w:p>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xml:space="preserve">  其中：  一般公共预算：</w:t>
            </w:r>
            <w:r>
              <w:rPr>
                <w:rFonts w:hint="default" w:ascii="Times New Roman" w:hAnsi="Times New Roman" w:eastAsia="仿宋" w:cs="Times New Roman"/>
                <w:color w:val="000000"/>
                <w:kern w:val="0"/>
                <w:sz w:val="21"/>
                <w:szCs w:val="21"/>
                <w:lang w:val="en-US" w:eastAsia="zh-CN"/>
              </w:rPr>
              <w:t>4994.57</w:t>
            </w:r>
          </w:p>
        </w:tc>
        <w:tc>
          <w:tcPr>
            <w:tcW w:w="4208" w:type="dxa"/>
            <w:gridSpan w:val="4"/>
            <w:noWrap w:val="0"/>
            <w:vAlign w:val="center"/>
          </w:tcPr>
          <w:p>
            <w:pPr>
              <w:widowControl/>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Times New Roman" w:hAnsi="Times New Roman" w:eastAsia="仿宋" w:cs="Times New Roman"/>
                <w:color w:val="000000"/>
                <w:kern w:val="0"/>
                <w:sz w:val="21"/>
                <w:szCs w:val="21"/>
                <w:lang w:val="en-US" w:eastAsia="zh-CN"/>
              </w:rPr>
              <w:t>1564.25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vMerge w:val="continue"/>
            <w:noWrap w:val="0"/>
            <w:vAlign w:val="center"/>
          </w:tcPr>
          <w:p>
            <w:pPr>
              <w:widowControl/>
              <w:jc w:val="left"/>
              <w:rPr>
                <w:color w:val="000000"/>
                <w:kern w:val="0"/>
                <w:sz w:val="21"/>
                <w:szCs w:val="21"/>
              </w:rPr>
            </w:pPr>
          </w:p>
        </w:tc>
        <w:tc>
          <w:tcPr>
            <w:tcW w:w="4987" w:type="dxa"/>
            <w:gridSpan w:val="5"/>
            <w:noWrap w:val="0"/>
            <w:vAlign w:val="center"/>
          </w:tcPr>
          <w:p>
            <w:pPr>
              <w:widowControl/>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Times New Roman" w:hAnsi="Times New Roman" w:eastAsia="仿宋" w:cs="Times New Roman"/>
                <w:color w:val="000000"/>
                <w:kern w:val="0"/>
                <w:sz w:val="21"/>
                <w:szCs w:val="21"/>
                <w:lang w:val="en-US" w:eastAsia="zh-CN"/>
              </w:rPr>
              <w:t>905.08</w:t>
            </w:r>
          </w:p>
        </w:tc>
        <w:tc>
          <w:tcPr>
            <w:tcW w:w="4208" w:type="dxa"/>
            <w:gridSpan w:val="4"/>
            <w:noWrap w:val="0"/>
            <w:vAlign w:val="center"/>
          </w:tcPr>
          <w:p>
            <w:pPr>
              <w:widowControl/>
              <w:ind w:firstLine="630" w:firstLineChars="3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Times New Roman" w:hAnsi="Times New Roman" w:eastAsia="仿宋" w:cs="Times New Roman"/>
                <w:color w:val="000000"/>
                <w:kern w:val="0"/>
                <w:sz w:val="21"/>
                <w:szCs w:val="21"/>
                <w:lang w:val="en-US" w:eastAsia="zh-CN"/>
              </w:rPr>
              <w:t>4335.40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vMerge w:val="continue"/>
            <w:noWrap w:val="0"/>
            <w:vAlign w:val="center"/>
          </w:tcPr>
          <w:p>
            <w:pPr>
              <w:widowControl/>
              <w:jc w:val="left"/>
              <w:rPr>
                <w:color w:val="000000"/>
                <w:kern w:val="0"/>
                <w:sz w:val="21"/>
                <w:szCs w:val="21"/>
              </w:rPr>
            </w:pPr>
          </w:p>
        </w:tc>
        <w:tc>
          <w:tcPr>
            <w:tcW w:w="4987" w:type="dxa"/>
            <w:gridSpan w:val="5"/>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208" w:type="dxa"/>
            <w:gridSpan w:val="4"/>
            <w:noWrap w:val="0"/>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vMerge w:val="continue"/>
            <w:noWrap w:val="0"/>
            <w:vAlign w:val="center"/>
          </w:tcPr>
          <w:p>
            <w:pPr>
              <w:widowControl/>
              <w:jc w:val="left"/>
              <w:rPr>
                <w:color w:val="000000"/>
                <w:kern w:val="0"/>
                <w:sz w:val="21"/>
                <w:szCs w:val="21"/>
              </w:rPr>
            </w:pPr>
          </w:p>
        </w:tc>
        <w:tc>
          <w:tcPr>
            <w:tcW w:w="4987" w:type="dxa"/>
            <w:gridSpan w:val="5"/>
            <w:noWrap w:val="0"/>
            <w:vAlign w:val="center"/>
          </w:tcPr>
          <w:p>
            <w:pPr>
              <w:widowControl/>
              <w:ind w:firstLine="1470" w:firstLineChars="7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4208" w:type="dxa"/>
            <w:gridSpan w:val="4"/>
            <w:noWrap w:val="0"/>
            <w:vAlign w:val="center"/>
          </w:tcPr>
          <w:p>
            <w:pPr>
              <w:widowControl/>
              <w:jc w:val="left"/>
              <w:rPr>
                <w:rFonts w:hint="eastAsia" w:ascii="仿宋" w:hAnsi="仿宋" w:eastAsia="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1" w:type="dxa"/>
            <w:vMerge w:val="restart"/>
            <w:noWrap w:val="0"/>
            <w:vAlign w:val="center"/>
          </w:tcPr>
          <w:p>
            <w:pPr>
              <w:widowControl/>
              <w:jc w:val="center"/>
              <w:rPr>
                <w:color w:val="000000"/>
                <w:kern w:val="0"/>
                <w:sz w:val="21"/>
                <w:szCs w:val="21"/>
              </w:rPr>
            </w:pPr>
            <w:r>
              <w:rPr>
                <w:color w:val="000000"/>
                <w:kern w:val="0"/>
                <w:sz w:val="21"/>
                <w:szCs w:val="21"/>
              </w:rPr>
              <w:t>年度总体目标</w:t>
            </w:r>
          </w:p>
        </w:tc>
        <w:tc>
          <w:tcPr>
            <w:tcW w:w="4987" w:type="dxa"/>
            <w:gridSpan w:val="5"/>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预期目标</w:t>
            </w:r>
          </w:p>
        </w:tc>
        <w:tc>
          <w:tcPr>
            <w:tcW w:w="4208" w:type="dxa"/>
            <w:gridSpan w:val="4"/>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891" w:type="dxa"/>
            <w:vMerge w:val="continue"/>
            <w:noWrap w:val="0"/>
            <w:vAlign w:val="center"/>
          </w:tcPr>
          <w:p>
            <w:pPr>
              <w:widowControl/>
              <w:jc w:val="left"/>
              <w:rPr>
                <w:color w:val="000000"/>
                <w:kern w:val="0"/>
                <w:sz w:val="21"/>
                <w:szCs w:val="21"/>
              </w:rPr>
            </w:pPr>
          </w:p>
        </w:tc>
        <w:tc>
          <w:tcPr>
            <w:tcW w:w="4987" w:type="dxa"/>
            <w:gridSpan w:val="5"/>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以降低孕产妇死亡率、5岁以下儿童死亡率、剖宫产率、出生缺陷率和保障全市母婴安全为重点，落实好“农村适龄妇女免费两癌筛查”、“免费产前筛查”重点民生实事项目和妇幼重大公共卫生项目。　　</w:t>
            </w:r>
          </w:p>
        </w:tc>
        <w:tc>
          <w:tcPr>
            <w:tcW w:w="4208" w:type="dxa"/>
            <w:gridSpan w:val="4"/>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基本完成预期目标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891" w:type="dxa"/>
            <w:vMerge w:val="restart"/>
            <w:noWrap w:val="0"/>
            <w:vAlign w:val="center"/>
          </w:tcPr>
          <w:p>
            <w:pPr>
              <w:widowControl/>
              <w:jc w:val="center"/>
              <w:rPr>
                <w:color w:val="000000"/>
                <w:kern w:val="0"/>
                <w:sz w:val="21"/>
                <w:szCs w:val="21"/>
              </w:rPr>
            </w:pPr>
            <w:r>
              <w:rPr>
                <w:color w:val="000000"/>
                <w:kern w:val="0"/>
                <w:sz w:val="21"/>
                <w:szCs w:val="21"/>
              </w:rPr>
              <w:t>绩</w:t>
            </w:r>
          </w:p>
          <w:p>
            <w:pPr>
              <w:widowControl/>
              <w:jc w:val="center"/>
              <w:rPr>
                <w:color w:val="000000"/>
                <w:kern w:val="0"/>
                <w:sz w:val="21"/>
                <w:szCs w:val="21"/>
              </w:rPr>
            </w:pPr>
            <w:r>
              <w:rPr>
                <w:color w:val="000000"/>
                <w:kern w:val="0"/>
                <w:sz w:val="21"/>
                <w:szCs w:val="21"/>
              </w:rPr>
              <w:t>效</w:t>
            </w:r>
          </w:p>
          <w:p>
            <w:pPr>
              <w:widowControl/>
              <w:jc w:val="center"/>
              <w:rPr>
                <w:color w:val="000000"/>
                <w:kern w:val="0"/>
                <w:sz w:val="21"/>
                <w:szCs w:val="21"/>
              </w:rPr>
            </w:pPr>
            <w:r>
              <w:rPr>
                <w:color w:val="000000"/>
                <w:kern w:val="0"/>
                <w:sz w:val="21"/>
                <w:szCs w:val="21"/>
              </w:rPr>
              <w:t>指</w:t>
            </w:r>
          </w:p>
          <w:p>
            <w:pPr>
              <w:widowControl/>
              <w:jc w:val="center"/>
              <w:rPr>
                <w:color w:val="000000"/>
                <w:kern w:val="0"/>
                <w:sz w:val="21"/>
                <w:szCs w:val="21"/>
              </w:rPr>
            </w:pPr>
            <w:r>
              <w:rPr>
                <w:color w:val="000000"/>
                <w:kern w:val="0"/>
                <w:sz w:val="21"/>
                <w:szCs w:val="21"/>
              </w:rPr>
              <w:t>标</w:t>
            </w:r>
          </w:p>
        </w:tc>
        <w:tc>
          <w:tcPr>
            <w:tcW w:w="1312" w:type="dxa"/>
            <w:noWrap w:val="0"/>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881" w:type="dxa"/>
            <w:noWrap w:val="0"/>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838" w:type="dxa"/>
            <w:gridSpan w:val="2"/>
            <w:noWrap w:val="0"/>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956" w:type="dxa"/>
            <w:noWrap w:val="0"/>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年度指标值</w:t>
            </w:r>
          </w:p>
        </w:tc>
        <w:tc>
          <w:tcPr>
            <w:tcW w:w="956" w:type="dxa"/>
            <w:noWrap w:val="0"/>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w:t>
            </w:r>
          </w:p>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完成值</w:t>
            </w:r>
          </w:p>
        </w:tc>
        <w:tc>
          <w:tcPr>
            <w:tcW w:w="863" w:type="dxa"/>
            <w:noWrap w:val="0"/>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656" w:type="dxa"/>
            <w:noWrap w:val="0"/>
            <w:vAlign w:val="center"/>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自评得分</w:t>
            </w:r>
          </w:p>
        </w:tc>
        <w:tc>
          <w:tcPr>
            <w:tcW w:w="1733" w:type="dxa"/>
            <w:noWrap w:val="0"/>
            <w:vAlign w:val="top"/>
          </w:tcPr>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pPr>
              <w:widowControl/>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891" w:type="dxa"/>
            <w:vMerge w:val="continue"/>
            <w:noWrap w:val="0"/>
            <w:vAlign w:val="center"/>
          </w:tcPr>
          <w:p>
            <w:pPr>
              <w:jc w:val="center"/>
              <w:rPr>
                <w:color w:val="000000"/>
                <w:kern w:val="0"/>
                <w:sz w:val="21"/>
                <w:szCs w:val="21"/>
              </w:rPr>
            </w:pPr>
          </w:p>
        </w:tc>
        <w:tc>
          <w:tcPr>
            <w:tcW w:w="1312" w:type="dxa"/>
            <w:vMerge w:val="restart"/>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rPr>
              <w:t>分)</w:t>
            </w: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数量指标</w:t>
            </w:r>
          </w:p>
        </w:tc>
        <w:tc>
          <w:tcPr>
            <w:tcW w:w="1838" w:type="dxa"/>
            <w:gridSpan w:val="2"/>
            <w:noWrap w:val="0"/>
            <w:vAlign w:val="center"/>
          </w:tcPr>
          <w:p>
            <w:pPr>
              <w:widowControl/>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年诊疗人次</w:t>
            </w:r>
          </w:p>
        </w:tc>
        <w:tc>
          <w:tcPr>
            <w:tcW w:w="956" w:type="dxa"/>
            <w:noWrap w:val="0"/>
            <w:vAlign w:val="center"/>
          </w:tcPr>
          <w:p>
            <w:pPr>
              <w:widowControl/>
              <w:jc w:val="left"/>
              <w:rPr>
                <w:rFonts w:hint="default" w:eastAsia="仿宋_GB2312"/>
                <w:color w:val="000000"/>
                <w:kern w:val="0"/>
                <w:sz w:val="21"/>
                <w:szCs w:val="21"/>
                <w:lang w:val="en-US" w:eastAsia="zh-CN"/>
              </w:rPr>
            </w:pPr>
            <w:r>
              <w:rPr>
                <w:rFonts w:hint="eastAsia"/>
                <w:color w:val="000000"/>
                <w:kern w:val="0"/>
                <w:sz w:val="21"/>
                <w:szCs w:val="21"/>
                <w:lang w:val="en-US" w:eastAsia="zh-CN"/>
              </w:rPr>
              <w:t>240000</w:t>
            </w:r>
          </w:p>
        </w:tc>
        <w:tc>
          <w:tcPr>
            <w:tcW w:w="956" w:type="dxa"/>
            <w:noWrap w:val="0"/>
            <w:vAlign w:val="center"/>
          </w:tcPr>
          <w:p>
            <w:pPr>
              <w:keepNext w:val="0"/>
              <w:keepLines w:val="0"/>
              <w:widowControl/>
              <w:suppressLineNumbers w:val="0"/>
              <w:jc w:val="both"/>
              <w:textAlignment w:val="center"/>
              <w:rPr>
                <w:color w:val="000000"/>
                <w:kern w:val="0"/>
                <w:sz w:val="21"/>
                <w:szCs w:val="21"/>
              </w:rPr>
            </w:pPr>
            <w:r>
              <w:rPr>
                <w:rFonts w:hint="eastAsia"/>
                <w:color w:val="000000"/>
                <w:kern w:val="0"/>
                <w:sz w:val="21"/>
                <w:szCs w:val="21"/>
                <w:lang w:val="en-US" w:eastAsia="zh-CN"/>
              </w:rPr>
              <w:t>249841</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15</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15</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91" w:type="dxa"/>
            <w:vMerge w:val="continue"/>
            <w:noWrap w:val="0"/>
            <w:vAlign w:val="center"/>
          </w:tcPr>
          <w:p>
            <w:pPr>
              <w:jc w:val="center"/>
              <w:rPr>
                <w:color w:val="000000"/>
                <w:kern w:val="0"/>
                <w:sz w:val="21"/>
                <w:szCs w:val="21"/>
              </w:rPr>
            </w:pPr>
          </w:p>
        </w:tc>
        <w:tc>
          <w:tcPr>
            <w:tcW w:w="1312" w:type="dxa"/>
            <w:vMerge w:val="continue"/>
            <w:noWrap w:val="0"/>
            <w:vAlign w:val="center"/>
          </w:tcPr>
          <w:p>
            <w:pPr>
              <w:jc w:val="left"/>
              <w:rPr>
                <w:rFonts w:hint="eastAsia" w:ascii="仿宋" w:hAnsi="仿宋" w:eastAsia="仿宋" w:cs="仿宋"/>
                <w:color w:val="000000"/>
                <w:kern w:val="0"/>
                <w:sz w:val="21"/>
                <w:szCs w:val="21"/>
              </w:rPr>
            </w:pP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质量指标</w:t>
            </w:r>
          </w:p>
        </w:tc>
        <w:tc>
          <w:tcPr>
            <w:tcW w:w="1838" w:type="dxa"/>
            <w:gridSpan w:val="2"/>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降低出生缺陷</w:t>
            </w:r>
          </w:p>
        </w:tc>
        <w:tc>
          <w:tcPr>
            <w:tcW w:w="956" w:type="dxa"/>
            <w:noWrap w:val="0"/>
            <w:vAlign w:val="center"/>
          </w:tcPr>
          <w:p>
            <w:pPr>
              <w:widowControl/>
              <w:jc w:val="left"/>
              <w:rPr>
                <w:rFonts w:hint="default" w:eastAsia="仿宋_GB2312"/>
                <w:color w:val="000000"/>
                <w:kern w:val="0"/>
                <w:sz w:val="21"/>
                <w:szCs w:val="21"/>
                <w:lang w:val="en-US" w:eastAsia="zh-CN"/>
              </w:rPr>
            </w:pPr>
            <w:r>
              <w:rPr>
                <w:rFonts w:hint="eastAsia" w:ascii="仿宋" w:hAnsi="仿宋" w:eastAsia="仿宋" w:cs="仿宋"/>
                <w:color w:val="000000"/>
                <w:kern w:val="0"/>
                <w:sz w:val="21"/>
                <w:szCs w:val="21"/>
                <w:lang w:val="en-US" w:eastAsia="zh-CN"/>
              </w:rPr>
              <w:t>降低</w:t>
            </w:r>
          </w:p>
        </w:tc>
        <w:tc>
          <w:tcPr>
            <w:tcW w:w="956" w:type="dxa"/>
            <w:noWrap w:val="0"/>
            <w:vAlign w:val="center"/>
          </w:tcPr>
          <w:p>
            <w:pPr>
              <w:widowControl/>
              <w:jc w:val="left"/>
              <w:rPr>
                <w:rFonts w:hint="default" w:eastAsia="仿宋_GB2312"/>
                <w:color w:val="000000"/>
                <w:kern w:val="0"/>
                <w:sz w:val="21"/>
                <w:szCs w:val="21"/>
                <w:lang w:val="en-US" w:eastAsia="zh-CN"/>
              </w:rPr>
            </w:pPr>
            <w:r>
              <w:rPr>
                <w:rFonts w:hint="eastAsia"/>
                <w:color w:val="000000"/>
                <w:kern w:val="0"/>
                <w:sz w:val="21"/>
                <w:szCs w:val="21"/>
                <w:lang w:val="en-US" w:eastAsia="zh-CN"/>
              </w:rPr>
              <w:t>已</w:t>
            </w:r>
            <w:r>
              <w:rPr>
                <w:rFonts w:hint="eastAsia" w:ascii="仿宋" w:hAnsi="仿宋" w:eastAsia="仿宋" w:cs="仿宋"/>
                <w:color w:val="000000"/>
                <w:kern w:val="0"/>
                <w:sz w:val="21"/>
                <w:szCs w:val="21"/>
                <w:lang w:val="en-US" w:eastAsia="zh-CN"/>
              </w:rPr>
              <w:t>降低</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891" w:type="dxa"/>
            <w:vMerge w:val="continue"/>
            <w:noWrap w:val="0"/>
            <w:vAlign w:val="center"/>
          </w:tcPr>
          <w:p>
            <w:pPr>
              <w:jc w:val="center"/>
              <w:rPr>
                <w:color w:val="000000"/>
                <w:kern w:val="0"/>
                <w:sz w:val="21"/>
                <w:szCs w:val="21"/>
              </w:rPr>
            </w:pPr>
          </w:p>
        </w:tc>
        <w:tc>
          <w:tcPr>
            <w:tcW w:w="1312" w:type="dxa"/>
            <w:vMerge w:val="continue"/>
            <w:noWrap w:val="0"/>
            <w:vAlign w:val="center"/>
          </w:tcPr>
          <w:p>
            <w:pPr>
              <w:jc w:val="left"/>
              <w:rPr>
                <w:rFonts w:hint="eastAsia" w:ascii="仿宋" w:hAnsi="仿宋" w:eastAsia="仿宋" w:cs="仿宋"/>
                <w:color w:val="000000"/>
                <w:kern w:val="0"/>
                <w:sz w:val="21"/>
                <w:szCs w:val="21"/>
              </w:rPr>
            </w:pP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838" w:type="dxa"/>
            <w:gridSpan w:val="2"/>
            <w:noWrap w:val="0"/>
            <w:vAlign w:val="center"/>
          </w:tcPr>
          <w:p>
            <w:pPr>
              <w:widowControl/>
              <w:jc w:val="both"/>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完成及时性</w:t>
            </w:r>
          </w:p>
        </w:tc>
        <w:tc>
          <w:tcPr>
            <w:tcW w:w="956" w:type="dxa"/>
            <w:noWrap w:val="0"/>
            <w:vAlign w:val="center"/>
          </w:tcPr>
          <w:p>
            <w:pPr>
              <w:widowControl/>
              <w:jc w:val="left"/>
              <w:rPr>
                <w:rFonts w:hint="default" w:eastAsia="仿宋_GB2312"/>
                <w:color w:val="000000"/>
                <w:kern w:val="0"/>
                <w:sz w:val="21"/>
                <w:szCs w:val="21"/>
                <w:lang w:val="en-US" w:eastAsia="zh-CN"/>
              </w:rPr>
            </w:pPr>
            <w:r>
              <w:rPr>
                <w:rFonts w:hint="eastAsia" w:eastAsia="仿宋_GB2312"/>
                <w:color w:val="000000"/>
                <w:kern w:val="0"/>
                <w:sz w:val="21"/>
                <w:szCs w:val="21"/>
                <w:lang w:eastAsia="zh-CN"/>
              </w:rPr>
              <w:t>≥</w:t>
            </w:r>
            <w:r>
              <w:rPr>
                <w:rFonts w:hint="eastAsia"/>
                <w:color w:val="000000"/>
                <w:kern w:val="0"/>
                <w:sz w:val="21"/>
                <w:szCs w:val="21"/>
                <w:lang w:val="en-US" w:eastAsia="zh-CN"/>
              </w:rPr>
              <w:t>90%</w:t>
            </w:r>
          </w:p>
        </w:tc>
        <w:tc>
          <w:tcPr>
            <w:tcW w:w="956" w:type="dxa"/>
            <w:noWrap w:val="0"/>
            <w:vAlign w:val="center"/>
          </w:tcPr>
          <w:p>
            <w:pPr>
              <w:widowControl/>
              <w:jc w:val="left"/>
              <w:rPr>
                <w:color w:val="000000"/>
                <w:kern w:val="0"/>
                <w:sz w:val="21"/>
                <w:szCs w:val="21"/>
              </w:rPr>
            </w:pPr>
            <w:r>
              <w:rPr>
                <w:rFonts w:hint="eastAsia"/>
                <w:color w:val="000000"/>
                <w:kern w:val="0"/>
                <w:sz w:val="21"/>
                <w:szCs w:val="21"/>
                <w:lang w:val="en-US" w:eastAsia="zh-CN"/>
              </w:rPr>
              <w:t>100%</w:t>
            </w:r>
            <w:r>
              <w:rPr>
                <w:color w:val="000000"/>
                <w:kern w:val="0"/>
                <w:sz w:val="21"/>
                <w:szCs w:val="21"/>
              </w:rPr>
              <w:t>　</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91" w:type="dxa"/>
            <w:vMerge w:val="continue"/>
            <w:noWrap w:val="0"/>
            <w:vAlign w:val="center"/>
          </w:tcPr>
          <w:p>
            <w:pPr>
              <w:jc w:val="center"/>
              <w:rPr>
                <w:color w:val="000000"/>
                <w:kern w:val="0"/>
                <w:sz w:val="21"/>
                <w:szCs w:val="21"/>
              </w:rPr>
            </w:pPr>
          </w:p>
        </w:tc>
        <w:tc>
          <w:tcPr>
            <w:tcW w:w="1312" w:type="dxa"/>
            <w:vMerge w:val="continue"/>
            <w:noWrap w:val="0"/>
            <w:vAlign w:val="center"/>
          </w:tcPr>
          <w:p>
            <w:pPr>
              <w:jc w:val="left"/>
              <w:rPr>
                <w:rFonts w:hint="eastAsia" w:ascii="仿宋" w:hAnsi="仿宋" w:eastAsia="仿宋" w:cs="仿宋"/>
                <w:color w:val="000000"/>
                <w:kern w:val="0"/>
                <w:sz w:val="21"/>
                <w:szCs w:val="21"/>
              </w:rPr>
            </w:pP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838" w:type="dxa"/>
            <w:gridSpan w:val="2"/>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成本可控性</w:t>
            </w:r>
          </w:p>
        </w:tc>
        <w:tc>
          <w:tcPr>
            <w:tcW w:w="956" w:type="dxa"/>
            <w:noWrap w:val="0"/>
            <w:vAlign w:val="center"/>
          </w:tcPr>
          <w:p>
            <w:pPr>
              <w:widowControl/>
              <w:jc w:val="left"/>
              <w:rPr>
                <w:rFonts w:hint="default" w:eastAsia="仿宋_GB2312"/>
                <w:color w:val="000000"/>
                <w:kern w:val="0"/>
                <w:sz w:val="21"/>
                <w:szCs w:val="21"/>
                <w:lang w:val="en-US" w:eastAsia="zh-CN"/>
              </w:rPr>
            </w:pPr>
            <w:r>
              <w:rPr>
                <w:rFonts w:hint="eastAsia" w:ascii="仿宋" w:hAnsi="仿宋" w:eastAsia="仿宋" w:cs="仿宋"/>
                <w:color w:val="000000"/>
                <w:kern w:val="0"/>
                <w:sz w:val="21"/>
                <w:szCs w:val="21"/>
                <w:lang w:val="en-US" w:eastAsia="zh-CN"/>
              </w:rPr>
              <w:t>收支结余</w:t>
            </w:r>
            <w:r>
              <w:rPr>
                <w:rFonts w:hint="eastAsia" w:eastAsia="仿宋_GB2312"/>
                <w:color w:val="000000"/>
                <w:kern w:val="0"/>
                <w:sz w:val="21"/>
                <w:szCs w:val="21"/>
                <w:lang w:eastAsia="zh-CN"/>
              </w:rPr>
              <w:t>≥</w:t>
            </w:r>
            <w:r>
              <w:rPr>
                <w:rFonts w:hint="eastAsia"/>
                <w:color w:val="000000"/>
                <w:kern w:val="0"/>
                <w:sz w:val="21"/>
                <w:szCs w:val="21"/>
                <w:lang w:val="en-US" w:eastAsia="zh-CN"/>
              </w:rPr>
              <w:t>0</w:t>
            </w:r>
          </w:p>
        </w:tc>
        <w:tc>
          <w:tcPr>
            <w:tcW w:w="956" w:type="dxa"/>
            <w:noWrap w:val="0"/>
            <w:vAlign w:val="center"/>
          </w:tcPr>
          <w:p>
            <w:pPr>
              <w:widowControl/>
              <w:jc w:val="left"/>
              <w:rPr>
                <w:color w:val="000000"/>
                <w:kern w:val="0"/>
                <w:sz w:val="21"/>
                <w:szCs w:val="21"/>
              </w:rPr>
            </w:pPr>
            <w:r>
              <w:rPr>
                <w:rFonts w:hint="eastAsia" w:ascii="仿宋" w:hAnsi="仿宋" w:eastAsia="仿宋" w:cs="仿宋"/>
                <w:color w:val="000000"/>
                <w:kern w:val="0"/>
                <w:sz w:val="21"/>
                <w:szCs w:val="21"/>
                <w:lang w:val="en-US" w:eastAsia="zh-CN"/>
              </w:rPr>
              <w:t>收支结余</w:t>
            </w:r>
            <w:r>
              <w:rPr>
                <w:rFonts w:hint="eastAsia" w:eastAsia="仿宋_GB2312"/>
                <w:color w:val="000000"/>
                <w:kern w:val="0"/>
                <w:sz w:val="21"/>
                <w:szCs w:val="21"/>
                <w:lang w:eastAsia="zh-CN"/>
              </w:rPr>
              <w:t>≥</w:t>
            </w:r>
            <w:r>
              <w:rPr>
                <w:rFonts w:hint="eastAsia"/>
                <w:color w:val="000000"/>
                <w:kern w:val="0"/>
                <w:sz w:val="21"/>
                <w:szCs w:val="21"/>
                <w:lang w:val="en-US" w:eastAsia="zh-CN"/>
              </w:rPr>
              <w:t>0</w:t>
            </w:r>
            <w:r>
              <w:rPr>
                <w:color w:val="000000"/>
                <w:kern w:val="0"/>
                <w:sz w:val="21"/>
                <w:szCs w:val="21"/>
              </w:rPr>
              <w:t>　</w:t>
            </w:r>
          </w:p>
        </w:tc>
        <w:tc>
          <w:tcPr>
            <w:tcW w:w="863" w:type="dxa"/>
            <w:noWrap w:val="0"/>
            <w:vAlign w:val="center"/>
          </w:tcPr>
          <w:p>
            <w:pPr>
              <w:widowControl/>
              <w:jc w:val="left"/>
              <w:rPr>
                <w:rFonts w:hint="default"/>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91" w:type="dxa"/>
            <w:vMerge w:val="continue"/>
            <w:noWrap w:val="0"/>
            <w:vAlign w:val="center"/>
          </w:tcPr>
          <w:p>
            <w:pPr>
              <w:jc w:val="center"/>
              <w:rPr>
                <w:color w:val="000000"/>
                <w:kern w:val="0"/>
                <w:sz w:val="21"/>
                <w:szCs w:val="21"/>
              </w:rPr>
            </w:pPr>
          </w:p>
        </w:tc>
        <w:tc>
          <w:tcPr>
            <w:tcW w:w="1312" w:type="dxa"/>
            <w:vMerge w:val="restart"/>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w:t>
            </w:r>
          </w:p>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val="en-US" w:eastAsia="zh-CN"/>
              </w:rPr>
              <w:t>45</w:t>
            </w:r>
            <w:r>
              <w:rPr>
                <w:rFonts w:hint="eastAsia" w:ascii="仿宋" w:hAnsi="仿宋" w:eastAsia="仿宋" w:cs="仿宋"/>
                <w:color w:val="000000"/>
                <w:kern w:val="0"/>
                <w:sz w:val="21"/>
                <w:szCs w:val="21"/>
              </w:rPr>
              <w:t>分）　</w:t>
            </w: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经济效</w:t>
            </w:r>
          </w:p>
          <w:p>
            <w:pPr>
              <w:widowControl/>
              <w:ind w:firstLine="210" w:firstLineChars="1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838" w:type="dxa"/>
            <w:gridSpan w:val="2"/>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业务收入</w:t>
            </w:r>
          </w:p>
        </w:tc>
        <w:tc>
          <w:tcPr>
            <w:tcW w:w="956" w:type="dxa"/>
            <w:noWrap w:val="0"/>
            <w:vAlign w:val="center"/>
          </w:tcPr>
          <w:p>
            <w:pPr>
              <w:widowControl/>
              <w:jc w:val="left"/>
              <w:rPr>
                <w:rFonts w:hint="default"/>
                <w:color w:val="000000"/>
                <w:kern w:val="0"/>
                <w:sz w:val="21"/>
                <w:szCs w:val="21"/>
                <w:lang w:val="en-US"/>
              </w:rPr>
            </w:pPr>
            <w:r>
              <w:rPr>
                <w:rFonts w:hint="eastAsia" w:eastAsia="仿宋_GB2312"/>
                <w:color w:val="000000"/>
                <w:kern w:val="0"/>
                <w:sz w:val="21"/>
                <w:szCs w:val="21"/>
                <w:lang w:eastAsia="zh-CN"/>
              </w:rPr>
              <w:t>≥</w:t>
            </w:r>
            <w:r>
              <w:rPr>
                <w:rFonts w:hint="eastAsia"/>
                <w:color w:val="000000"/>
                <w:kern w:val="0"/>
                <w:sz w:val="21"/>
                <w:szCs w:val="21"/>
                <w:lang w:val="en-US" w:eastAsia="zh-CN"/>
              </w:rPr>
              <w:t>1.4亿元</w:t>
            </w:r>
          </w:p>
        </w:tc>
        <w:tc>
          <w:tcPr>
            <w:tcW w:w="956" w:type="dxa"/>
            <w:noWrap w:val="0"/>
            <w:vAlign w:val="center"/>
          </w:tcPr>
          <w:p>
            <w:pPr>
              <w:widowControl/>
              <w:jc w:val="left"/>
              <w:rPr>
                <w:color w:val="000000"/>
                <w:kern w:val="0"/>
                <w:sz w:val="21"/>
                <w:szCs w:val="21"/>
              </w:rPr>
            </w:pPr>
            <w:r>
              <w:rPr>
                <w:rFonts w:hint="eastAsia"/>
                <w:color w:val="000000"/>
                <w:kern w:val="0"/>
                <w:sz w:val="21"/>
                <w:szCs w:val="21"/>
                <w:lang w:val="en-US" w:eastAsia="zh-CN"/>
              </w:rPr>
              <w:t>1.32</w:t>
            </w:r>
            <w:r>
              <w:rPr>
                <w:color w:val="000000"/>
                <w:kern w:val="0"/>
                <w:sz w:val="21"/>
                <w:szCs w:val="21"/>
              </w:rPr>
              <w:t>　</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15</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7</w:t>
            </w:r>
          </w:p>
        </w:tc>
        <w:tc>
          <w:tcPr>
            <w:tcW w:w="1733" w:type="dxa"/>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原因：出生率下降导致收入下滑</w:t>
            </w:r>
          </w:p>
          <w:p>
            <w:pPr>
              <w:widowControl/>
              <w:jc w:val="left"/>
              <w:rPr>
                <w:color w:val="000000"/>
                <w:kern w:val="0"/>
                <w:sz w:val="21"/>
                <w:szCs w:val="21"/>
              </w:rPr>
            </w:pPr>
            <w:r>
              <w:rPr>
                <w:rFonts w:hint="eastAsia" w:ascii="仿宋" w:hAnsi="仿宋" w:eastAsia="仿宋" w:cs="仿宋"/>
                <w:color w:val="000000"/>
                <w:kern w:val="0"/>
                <w:sz w:val="21"/>
                <w:szCs w:val="21"/>
                <w:lang w:val="en-US" w:eastAsia="zh-CN"/>
              </w:rPr>
              <w:t>改进措施：新增医美、托幼、生殖康复项目，拓展服务项目，加强推广吸引患者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891" w:type="dxa"/>
            <w:vMerge w:val="continue"/>
            <w:noWrap w:val="0"/>
            <w:vAlign w:val="center"/>
          </w:tcPr>
          <w:p>
            <w:pPr>
              <w:jc w:val="center"/>
              <w:rPr>
                <w:color w:val="000000"/>
                <w:kern w:val="0"/>
                <w:sz w:val="21"/>
                <w:szCs w:val="21"/>
              </w:rPr>
            </w:pPr>
          </w:p>
        </w:tc>
        <w:tc>
          <w:tcPr>
            <w:tcW w:w="1312" w:type="dxa"/>
            <w:vMerge w:val="continue"/>
            <w:noWrap w:val="0"/>
            <w:vAlign w:val="center"/>
          </w:tcPr>
          <w:p>
            <w:pPr>
              <w:jc w:val="left"/>
              <w:rPr>
                <w:rFonts w:hint="eastAsia" w:ascii="仿宋" w:hAnsi="仿宋" w:eastAsia="仿宋" w:cs="仿宋"/>
                <w:color w:val="000000"/>
                <w:kern w:val="0"/>
                <w:sz w:val="21"/>
                <w:szCs w:val="21"/>
              </w:rPr>
            </w:pP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社会效</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838" w:type="dxa"/>
            <w:gridSpan w:val="2"/>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诊断符合率</w:t>
            </w:r>
          </w:p>
        </w:tc>
        <w:tc>
          <w:tcPr>
            <w:tcW w:w="956" w:type="dxa"/>
            <w:noWrap w:val="0"/>
            <w:vAlign w:val="center"/>
          </w:tcPr>
          <w:p>
            <w:pPr>
              <w:widowControl/>
              <w:jc w:val="left"/>
              <w:rPr>
                <w:color w:val="000000"/>
                <w:kern w:val="0"/>
                <w:sz w:val="21"/>
                <w:szCs w:val="21"/>
              </w:rPr>
            </w:pPr>
            <w:r>
              <w:rPr>
                <w:rFonts w:hint="eastAsia" w:eastAsia="仿宋_GB2312"/>
                <w:color w:val="000000"/>
                <w:kern w:val="0"/>
                <w:sz w:val="21"/>
                <w:szCs w:val="21"/>
                <w:lang w:eastAsia="zh-CN"/>
              </w:rPr>
              <w:t>≥</w:t>
            </w:r>
            <w:r>
              <w:rPr>
                <w:rFonts w:hint="eastAsia"/>
                <w:color w:val="000000"/>
                <w:kern w:val="0"/>
                <w:sz w:val="21"/>
                <w:szCs w:val="21"/>
                <w:lang w:val="en-US" w:eastAsia="zh-CN"/>
              </w:rPr>
              <w:t>90%</w:t>
            </w:r>
            <w:r>
              <w:rPr>
                <w:color w:val="000000"/>
                <w:kern w:val="0"/>
                <w:sz w:val="21"/>
                <w:szCs w:val="21"/>
              </w:rPr>
              <w:t>　</w:t>
            </w:r>
          </w:p>
        </w:tc>
        <w:tc>
          <w:tcPr>
            <w:tcW w:w="956" w:type="dxa"/>
            <w:noWrap w:val="0"/>
            <w:vAlign w:val="center"/>
          </w:tcPr>
          <w:p>
            <w:pPr>
              <w:widowControl/>
              <w:jc w:val="left"/>
              <w:rPr>
                <w:rFonts w:hint="eastAsia" w:eastAsia="仿宋_GB2312"/>
                <w:color w:val="000000"/>
                <w:kern w:val="0"/>
                <w:sz w:val="21"/>
                <w:szCs w:val="21"/>
                <w:lang w:val="en-US" w:eastAsia="zh-CN"/>
              </w:rPr>
            </w:pPr>
            <w:r>
              <w:rPr>
                <w:rFonts w:hint="eastAsia"/>
                <w:color w:val="000000"/>
                <w:kern w:val="0"/>
                <w:sz w:val="21"/>
                <w:szCs w:val="21"/>
                <w:lang w:val="en-US" w:eastAsia="zh-CN"/>
              </w:rPr>
              <w:t>达标</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891" w:type="dxa"/>
            <w:vMerge w:val="continue"/>
            <w:noWrap w:val="0"/>
            <w:vAlign w:val="center"/>
          </w:tcPr>
          <w:p>
            <w:pPr>
              <w:jc w:val="center"/>
              <w:rPr>
                <w:color w:val="000000"/>
                <w:kern w:val="0"/>
                <w:sz w:val="21"/>
                <w:szCs w:val="21"/>
              </w:rPr>
            </w:pPr>
          </w:p>
        </w:tc>
        <w:tc>
          <w:tcPr>
            <w:tcW w:w="1312" w:type="dxa"/>
            <w:vMerge w:val="continue"/>
            <w:noWrap w:val="0"/>
            <w:vAlign w:val="center"/>
          </w:tcPr>
          <w:p>
            <w:pPr>
              <w:jc w:val="left"/>
              <w:rPr>
                <w:rFonts w:hint="eastAsia" w:ascii="仿宋" w:hAnsi="仿宋" w:eastAsia="仿宋" w:cs="仿宋"/>
                <w:color w:val="000000"/>
                <w:kern w:val="0"/>
                <w:sz w:val="21"/>
                <w:szCs w:val="21"/>
              </w:rPr>
            </w:pP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生态效</w:t>
            </w:r>
          </w:p>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838" w:type="dxa"/>
            <w:gridSpan w:val="2"/>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医疗废物处置及排污</w:t>
            </w:r>
          </w:p>
        </w:tc>
        <w:tc>
          <w:tcPr>
            <w:tcW w:w="956" w:type="dxa"/>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达市级环保标准</w:t>
            </w:r>
            <w:r>
              <w:rPr>
                <w:rFonts w:hint="eastAsia" w:ascii="仿宋" w:hAnsi="仿宋" w:eastAsia="仿宋" w:cs="仿宋"/>
                <w:color w:val="000000"/>
                <w:kern w:val="0"/>
                <w:sz w:val="21"/>
                <w:szCs w:val="21"/>
              </w:rPr>
              <w:t>　</w:t>
            </w:r>
          </w:p>
        </w:tc>
        <w:tc>
          <w:tcPr>
            <w:tcW w:w="956" w:type="dxa"/>
            <w:noWrap w:val="0"/>
            <w:vAlign w:val="center"/>
          </w:tcPr>
          <w:p>
            <w:pPr>
              <w:widowControl/>
              <w:jc w:val="left"/>
              <w:rPr>
                <w:rFonts w:hint="eastAsia" w:eastAsia="仿宋_GB2312"/>
                <w:color w:val="000000"/>
                <w:kern w:val="0"/>
                <w:sz w:val="21"/>
                <w:szCs w:val="21"/>
                <w:lang w:val="en-US" w:eastAsia="zh-CN"/>
              </w:rPr>
            </w:pPr>
            <w:r>
              <w:rPr>
                <w:rFonts w:hint="eastAsia"/>
                <w:color w:val="000000"/>
                <w:kern w:val="0"/>
                <w:sz w:val="21"/>
                <w:szCs w:val="21"/>
                <w:lang w:val="en-US" w:eastAsia="zh-CN"/>
              </w:rPr>
              <w:t>达到</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891" w:type="dxa"/>
            <w:vMerge w:val="continue"/>
            <w:noWrap w:val="0"/>
            <w:vAlign w:val="center"/>
          </w:tcPr>
          <w:p>
            <w:pPr>
              <w:widowControl/>
              <w:jc w:val="center"/>
              <w:rPr>
                <w:color w:val="000000"/>
                <w:kern w:val="0"/>
                <w:sz w:val="21"/>
                <w:szCs w:val="21"/>
              </w:rPr>
            </w:pPr>
          </w:p>
        </w:tc>
        <w:tc>
          <w:tcPr>
            <w:tcW w:w="1312" w:type="dxa"/>
            <w:vMerge w:val="continue"/>
            <w:noWrap w:val="0"/>
            <w:vAlign w:val="center"/>
          </w:tcPr>
          <w:p>
            <w:pPr>
              <w:widowControl/>
              <w:jc w:val="left"/>
              <w:rPr>
                <w:rFonts w:hint="eastAsia" w:ascii="仿宋" w:hAnsi="仿宋" w:eastAsia="仿宋" w:cs="仿宋"/>
                <w:color w:val="000000"/>
                <w:kern w:val="0"/>
                <w:sz w:val="21"/>
                <w:szCs w:val="21"/>
              </w:rPr>
            </w:pP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可持续影响指标</w:t>
            </w:r>
          </w:p>
        </w:tc>
        <w:tc>
          <w:tcPr>
            <w:tcW w:w="1838" w:type="dxa"/>
            <w:gridSpan w:val="2"/>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提高全市妇女儿童保健水平</w:t>
            </w:r>
          </w:p>
        </w:tc>
        <w:tc>
          <w:tcPr>
            <w:tcW w:w="956" w:type="dxa"/>
            <w:noWrap w:val="0"/>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提高</w:t>
            </w:r>
            <w:r>
              <w:rPr>
                <w:rFonts w:hint="eastAsia" w:ascii="仿宋" w:hAnsi="仿宋" w:eastAsia="仿宋" w:cs="仿宋"/>
                <w:color w:val="000000"/>
                <w:kern w:val="0"/>
                <w:sz w:val="21"/>
                <w:szCs w:val="21"/>
              </w:rPr>
              <w:t>　</w:t>
            </w:r>
          </w:p>
        </w:tc>
        <w:tc>
          <w:tcPr>
            <w:tcW w:w="956" w:type="dxa"/>
            <w:noWrap w:val="0"/>
            <w:vAlign w:val="center"/>
          </w:tcPr>
          <w:p>
            <w:pPr>
              <w:widowControl/>
              <w:jc w:val="left"/>
              <w:rPr>
                <w:rFonts w:hint="eastAsia" w:eastAsia="仿宋_GB2312"/>
                <w:color w:val="000000"/>
                <w:kern w:val="0"/>
                <w:sz w:val="21"/>
                <w:szCs w:val="21"/>
                <w:lang w:val="en-US" w:eastAsia="zh-CN"/>
              </w:rPr>
            </w:pPr>
            <w:r>
              <w:rPr>
                <w:rFonts w:hint="eastAsia"/>
                <w:color w:val="000000"/>
                <w:kern w:val="0"/>
                <w:sz w:val="21"/>
                <w:szCs w:val="21"/>
                <w:lang w:val="en-US" w:eastAsia="zh-CN"/>
              </w:rPr>
              <w:t>已提高</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891" w:type="dxa"/>
            <w:vMerge w:val="continue"/>
            <w:noWrap w:val="0"/>
            <w:vAlign w:val="center"/>
          </w:tcPr>
          <w:p>
            <w:pPr>
              <w:jc w:val="left"/>
              <w:rPr>
                <w:color w:val="000000"/>
                <w:kern w:val="0"/>
                <w:sz w:val="21"/>
                <w:szCs w:val="21"/>
              </w:rPr>
            </w:pPr>
          </w:p>
        </w:tc>
        <w:tc>
          <w:tcPr>
            <w:tcW w:w="1312" w:type="dxa"/>
            <w:noWrap w:val="0"/>
            <w:vAlign w:val="center"/>
          </w:tcPr>
          <w:p>
            <w:pPr>
              <w:widowControl/>
              <w:jc w:val="center"/>
              <w:rPr>
                <w:color w:val="000000"/>
                <w:kern w:val="0"/>
                <w:sz w:val="21"/>
                <w:szCs w:val="21"/>
              </w:rPr>
            </w:pPr>
            <w:r>
              <w:rPr>
                <w:color w:val="000000"/>
                <w:kern w:val="0"/>
                <w:sz w:val="21"/>
                <w:szCs w:val="21"/>
              </w:rPr>
              <w:t>满意度</w:t>
            </w:r>
          </w:p>
          <w:p>
            <w:pPr>
              <w:widowControl/>
              <w:jc w:val="center"/>
              <w:rPr>
                <w:color w:val="000000"/>
                <w:kern w:val="0"/>
                <w:sz w:val="21"/>
                <w:szCs w:val="21"/>
              </w:rPr>
            </w:pPr>
            <w:r>
              <w:rPr>
                <w:color w:val="000000"/>
                <w:kern w:val="0"/>
                <w:sz w:val="21"/>
                <w:szCs w:val="21"/>
              </w:rPr>
              <w:t>指标</w:t>
            </w:r>
          </w:p>
          <w:p>
            <w:pPr>
              <w:widowControl/>
              <w:jc w:val="center"/>
              <w:rPr>
                <w:color w:val="000000"/>
                <w:kern w:val="0"/>
                <w:sz w:val="21"/>
                <w:szCs w:val="21"/>
              </w:rPr>
            </w:pPr>
            <w:r>
              <w:rPr>
                <w:color w:val="000000"/>
                <w:kern w:val="0"/>
                <w:sz w:val="21"/>
                <w:szCs w:val="21"/>
              </w:rPr>
              <w:t>（10分）</w:t>
            </w:r>
          </w:p>
        </w:tc>
        <w:tc>
          <w:tcPr>
            <w:tcW w:w="881" w:type="dxa"/>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服务对象满意度指标</w:t>
            </w:r>
          </w:p>
        </w:tc>
        <w:tc>
          <w:tcPr>
            <w:tcW w:w="1838" w:type="dxa"/>
            <w:gridSpan w:val="2"/>
            <w:noWrap w:val="0"/>
            <w:vAlign w:val="center"/>
          </w:tcPr>
          <w:p>
            <w:pPr>
              <w:widowControl/>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服务对象满意率</w:t>
            </w:r>
          </w:p>
        </w:tc>
        <w:tc>
          <w:tcPr>
            <w:tcW w:w="956" w:type="dxa"/>
            <w:noWrap w:val="0"/>
            <w:vAlign w:val="center"/>
          </w:tcPr>
          <w:p>
            <w:pPr>
              <w:widowControl/>
              <w:jc w:val="left"/>
              <w:rPr>
                <w:color w:val="000000"/>
                <w:kern w:val="0"/>
                <w:sz w:val="21"/>
                <w:szCs w:val="21"/>
              </w:rPr>
            </w:pPr>
            <w:r>
              <w:rPr>
                <w:rFonts w:hint="eastAsia" w:eastAsia="仿宋_GB2312"/>
                <w:color w:val="000000"/>
                <w:kern w:val="0"/>
                <w:sz w:val="21"/>
                <w:szCs w:val="21"/>
                <w:lang w:eastAsia="zh-CN"/>
              </w:rPr>
              <w:t>≥</w:t>
            </w:r>
            <w:r>
              <w:rPr>
                <w:rFonts w:hint="eastAsia"/>
                <w:color w:val="000000"/>
                <w:kern w:val="0"/>
                <w:sz w:val="21"/>
                <w:szCs w:val="21"/>
                <w:lang w:val="en-US" w:eastAsia="zh-CN"/>
              </w:rPr>
              <w:t>80%</w:t>
            </w:r>
          </w:p>
        </w:tc>
        <w:tc>
          <w:tcPr>
            <w:tcW w:w="956" w:type="dxa"/>
            <w:noWrap w:val="0"/>
            <w:vAlign w:val="center"/>
          </w:tcPr>
          <w:p>
            <w:pPr>
              <w:widowControl/>
              <w:jc w:val="left"/>
              <w:rPr>
                <w:rFonts w:hint="default" w:eastAsia="仿宋_GB2312"/>
                <w:color w:val="000000"/>
                <w:kern w:val="0"/>
                <w:sz w:val="21"/>
                <w:szCs w:val="21"/>
                <w:lang w:val="en-US" w:eastAsia="zh-CN"/>
              </w:rPr>
            </w:pPr>
            <w:r>
              <w:rPr>
                <w:rFonts w:hint="eastAsia"/>
                <w:color w:val="000000"/>
                <w:kern w:val="0"/>
                <w:sz w:val="21"/>
                <w:szCs w:val="21"/>
                <w:lang w:val="en-US" w:eastAsia="zh-CN"/>
              </w:rPr>
              <w:t>90%</w:t>
            </w:r>
          </w:p>
        </w:tc>
        <w:tc>
          <w:tcPr>
            <w:tcW w:w="863" w:type="dxa"/>
            <w:noWrap w:val="0"/>
            <w:vAlign w:val="center"/>
          </w:tcPr>
          <w:p>
            <w:pPr>
              <w:widowControl/>
              <w:jc w:val="left"/>
              <w:rPr>
                <w:rFonts w:hint="default" w:eastAsia="仿宋_GB2312"/>
                <w:color w:val="000000"/>
                <w:kern w:val="0"/>
                <w:sz w:val="21"/>
                <w:szCs w:val="21"/>
                <w:lang w:val="en-US" w:eastAsia="zh-CN"/>
              </w:rPr>
            </w:pPr>
            <w:r>
              <w:rPr>
                <w:color w:val="000000"/>
                <w:kern w:val="0"/>
                <w:sz w:val="21"/>
                <w:szCs w:val="21"/>
              </w:rPr>
              <w:t>　</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w:t>
            </w:r>
          </w:p>
        </w:tc>
        <w:tc>
          <w:tcPr>
            <w:tcW w:w="1733" w:type="dxa"/>
            <w:noWrap w:val="0"/>
            <w:vAlign w:val="center"/>
          </w:tcPr>
          <w:p>
            <w:pPr>
              <w:widowControl/>
              <w:jc w:val="left"/>
              <w:rPr>
                <w:color w:val="000000"/>
                <w:kern w:val="0"/>
                <w:sz w:val="21"/>
                <w:szCs w:val="21"/>
              </w:rPr>
            </w:pPr>
            <w:r>
              <w:rPr>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34" w:type="dxa"/>
            <w:gridSpan w:val="7"/>
            <w:noWrap w:val="0"/>
            <w:vAlign w:val="center"/>
          </w:tcPr>
          <w:p>
            <w:pPr>
              <w:widowControl/>
              <w:jc w:val="center"/>
              <w:rPr>
                <w:color w:val="000000"/>
                <w:kern w:val="0"/>
                <w:sz w:val="21"/>
                <w:szCs w:val="21"/>
              </w:rPr>
            </w:pPr>
            <w:r>
              <w:rPr>
                <w:rFonts w:hint="eastAsia" w:ascii="仿宋" w:hAnsi="仿宋" w:eastAsia="仿宋" w:cs="仿宋"/>
                <w:color w:val="000000"/>
                <w:kern w:val="0"/>
                <w:sz w:val="21"/>
                <w:szCs w:val="21"/>
              </w:rPr>
              <w:t>总分</w:t>
            </w:r>
          </w:p>
        </w:tc>
        <w:tc>
          <w:tcPr>
            <w:tcW w:w="863" w:type="dxa"/>
            <w:noWrap w:val="0"/>
            <w:vAlign w:val="center"/>
          </w:tcPr>
          <w:p>
            <w:pPr>
              <w:widowControl/>
              <w:jc w:val="center"/>
              <w:rPr>
                <w:rFonts w:hint="default" w:eastAsia="仿宋_GB2312"/>
                <w:color w:val="000000"/>
                <w:kern w:val="0"/>
                <w:sz w:val="21"/>
                <w:szCs w:val="21"/>
                <w:lang w:val="en-US" w:eastAsia="zh-CN"/>
              </w:rPr>
            </w:pPr>
            <w:r>
              <w:rPr>
                <w:color w:val="000000"/>
                <w:kern w:val="0"/>
                <w:sz w:val="21"/>
                <w:szCs w:val="21"/>
              </w:rPr>
              <w:t>1</w:t>
            </w:r>
            <w:r>
              <w:rPr>
                <w:rFonts w:hint="eastAsia"/>
                <w:color w:val="000000"/>
                <w:kern w:val="0"/>
                <w:sz w:val="21"/>
                <w:szCs w:val="21"/>
                <w:lang w:val="en-US" w:eastAsia="zh-CN"/>
              </w:rPr>
              <w:t>10</w:t>
            </w:r>
          </w:p>
        </w:tc>
        <w:tc>
          <w:tcPr>
            <w:tcW w:w="656" w:type="dxa"/>
            <w:noWrap w:val="0"/>
            <w:vAlign w:val="center"/>
          </w:tcPr>
          <w:p>
            <w:pPr>
              <w:widowControl/>
              <w:jc w:val="center"/>
              <w:rPr>
                <w:rFonts w:hint="default" w:eastAsia="仿宋_GB2312"/>
                <w:color w:val="000000"/>
                <w:kern w:val="0"/>
                <w:sz w:val="21"/>
                <w:szCs w:val="21"/>
                <w:lang w:val="en-US" w:eastAsia="zh-CN"/>
              </w:rPr>
            </w:pPr>
            <w:r>
              <w:rPr>
                <w:rFonts w:hint="eastAsia"/>
                <w:color w:val="000000"/>
                <w:kern w:val="0"/>
                <w:sz w:val="21"/>
                <w:szCs w:val="21"/>
                <w:lang w:val="en-US" w:eastAsia="zh-CN"/>
              </w:rPr>
              <w:t>102</w:t>
            </w:r>
          </w:p>
        </w:tc>
        <w:tc>
          <w:tcPr>
            <w:tcW w:w="1733" w:type="dxa"/>
            <w:noWrap w:val="0"/>
            <w:vAlign w:val="center"/>
          </w:tcPr>
          <w:p>
            <w:pPr>
              <w:widowControl/>
              <w:jc w:val="left"/>
              <w:rPr>
                <w:color w:val="000000"/>
                <w:kern w:val="0"/>
                <w:sz w:val="21"/>
                <w:szCs w:val="21"/>
              </w:rPr>
            </w:pPr>
            <w:r>
              <w:rPr>
                <w:color w:val="000000"/>
                <w:kern w:val="0"/>
                <w:sz w:val="21"/>
                <w:szCs w:val="21"/>
              </w:rPr>
              <w:t>　</w:t>
            </w:r>
          </w:p>
        </w:tc>
      </w:tr>
    </w:tbl>
    <w:p>
      <w:pPr>
        <w:widowControl/>
        <w:jc w:val="left"/>
        <w:rPr>
          <w:rFonts w:ascii="Times New Roman" w:hAnsi="Times New Roman"/>
          <w:kern w:val="0"/>
          <w:sz w:val="21"/>
          <w:szCs w:val="21"/>
        </w:rPr>
      </w:pPr>
    </w:p>
    <w:p>
      <w:pPr>
        <w:spacing w:line="520" w:lineRule="exact"/>
        <w:ind w:firstLine="420" w:firstLineChars="200"/>
        <w:rPr>
          <w:rFonts w:hint="eastAsia"/>
          <w:szCs w:val="32"/>
        </w:rPr>
      </w:pPr>
      <w:r>
        <w:rPr>
          <w:rFonts w:hint="eastAsia" w:ascii="仿宋" w:hAnsi="仿宋" w:eastAsia="仿宋" w:cs="仿宋"/>
          <w:kern w:val="0"/>
          <w:sz w:val="21"/>
          <w:szCs w:val="21"/>
        </w:rPr>
        <w:t>填表人：           填报日期：              联系电话：                单位负责人签字：</w:t>
      </w:r>
      <w:r>
        <w:rPr>
          <w:rFonts w:ascii="Times New Roman" w:hAnsi="Times New Roman"/>
          <w:kern w:val="0"/>
          <w:sz w:val="21"/>
          <w:szCs w:val="21"/>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D731A8"/>
    <w:multiLevelType w:val="singleLevel"/>
    <w:tmpl w:val="DCD731A8"/>
    <w:lvl w:ilvl="0" w:tentative="0">
      <w:start w:val="1"/>
      <w:numFmt w:val="chineseCounting"/>
      <w:suff w:val="nothing"/>
      <w:lvlText w:val="（%1）"/>
      <w:lvlJc w:val="left"/>
      <w:rPr>
        <w:rFonts w:hint="eastAsia"/>
      </w:rPr>
    </w:lvl>
  </w:abstractNum>
  <w:abstractNum w:abstractNumId="1">
    <w:nsid w:val="EA2EFB66"/>
    <w:multiLevelType w:val="singleLevel"/>
    <w:tmpl w:val="EA2EFB66"/>
    <w:lvl w:ilvl="0" w:tentative="0">
      <w:start w:val="1"/>
      <w:numFmt w:val="decimal"/>
      <w:lvlText w:val="%1."/>
      <w:lvlJc w:val="left"/>
      <w:pPr>
        <w:tabs>
          <w:tab w:val="left" w:pos="312"/>
        </w:tabs>
        <w:ind w:left="800" w:leftChars="0" w:firstLine="0" w:firstLineChars="0"/>
      </w:pPr>
    </w:lvl>
  </w:abstractNum>
  <w:abstractNum w:abstractNumId="2">
    <w:nsid w:val="071A788C"/>
    <w:multiLevelType w:val="singleLevel"/>
    <w:tmpl w:val="071A788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YmVmZDc4MjRkODk1MTNlZjQ5MjBjMTQ2MDI1NTgifQ=="/>
  </w:docVars>
  <w:rsids>
    <w:rsidRoot w:val="3EA86A6B"/>
    <w:rsid w:val="055B5677"/>
    <w:rsid w:val="0BE51890"/>
    <w:rsid w:val="197F26E3"/>
    <w:rsid w:val="318C7399"/>
    <w:rsid w:val="3294384E"/>
    <w:rsid w:val="39C56ADD"/>
    <w:rsid w:val="3EA86A6B"/>
    <w:rsid w:val="44677434"/>
    <w:rsid w:val="4BF95B6C"/>
    <w:rsid w:val="4F13037E"/>
    <w:rsid w:val="51424A44"/>
    <w:rsid w:val="66B36D76"/>
    <w:rsid w:val="670A48BC"/>
    <w:rsid w:val="6EE06C03"/>
    <w:rsid w:val="6F0532E4"/>
    <w:rsid w:val="767C5F27"/>
    <w:rsid w:val="7B6E17B6"/>
    <w:rsid w:val="7DE7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2024-05-13T08:26:00Z</dcterms:created>
  <dc:creator>喜喜</dc:creator>
  <cp:lastModifiedBy>喜喜</cp:lastModifiedBy>
  <cp:lastPrinted>2024-05-21T08:12:00Z</cp:lastPrinted>
  <dcterms:modified xsi:type="dcterms:W3CDTF">2024-05-28T10:50:13Z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6A9DEBDEE2254C37BCAB32404EAB0B10_13</vt:lpwstr>
  </property>
</Properties>
</file>