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E8" w:rsidRDefault="00BB5C52">
      <w:pPr>
        <w:overflowPunct w:val="0"/>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sz w:val="44"/>
          <w:szCs w:val="44"/>
        </w:rPr>
        <w:t>年度益阳市机关事务管理局</w:t>
      </w:r>
    </w:p>
    <w:p w:rsidR="00A80DE8" w:rsidRDefault="00BB5C52">
      <w:pPr>
        <w:overflowPunct w:val="0"/>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整体支出绩效自评报告</w:t>
      </w:r>
    </w:p>
    <w:p w:rsidR="00A80DE8" w:rsidRDefault="00A80DE8">
      <w:pPr>
        <w:pStyle w:val="1"/>
        <w:overflowPunct w:val="0"/>
        <w:spacing w:line="600" w:lineRule="exact"/>
        <w:jc w:val="center"/>
        <w:rPr>
          <w:rFonts w:ascii="Times New Roman" w:hAnsi="Times New Roman"/>
        </w:rPr>
      </w:pPr>
    </w:p>
    <w:p w:rsidR="00A80DE8" w:rsidRDefault="00BB5C52">
      <w:pPr>
        <w:overflowPunct w:val="0"/>
        <w:spacing w:line="600" w:lineRule="exact"/>
        <w:ind w:firstLineChars="200" w:firstLine="640"/>
        <w:rPr>
          <w:rFonts w:ascii="Times New Roman" w:eastAsia="方正黑体_GBK" w:hAnsi="Times New Roman"/>
          <w:szCs w:val="32"/>
        </w:rPr>
      </w:pPr>
      <w:r>
        <w:rPr>
          <w:rFonts w:ascii="Times New Roman" w:eastAsia="方正黑体_GBK" w:hAnsi="Times New Roman"/>
          <w:szCs w:val="32"/>
        </w:rPr>
        <w:t>一、单位基本情况</w:t>
      </w:r>
    </w:p>
    <w:p w:rsidR="00A80DE8" w:rsidRDefault="00BB5C52">
      <w:pPr>
        <w:overflowPunct w:val="0"/>
        <w:autoSpaceDE w:val="0"/>
        <w:autoSpaceDN w:val="0"/>
        <w:adjustRightInd w:val="0"/>
        <w:spacing w:line="600" w:lineRule="exact"/>
        <w:ind w:firstLineChars="200" w:firstLine="643"/>
        <w:rPr>
          <w:rFonts w:ascii="Times New Roman" w:eastAsia="方正仿宋_GBK" w:hAnsi="Times New Roman"/>
          <w:szCs w:val="32"/>
        </w:rPr>
      </w:pPr>
      <w:r>
        <w:rPr>
          <w:rFonts w:ascii="Times New Roman" w:eastAsia="方正仿宋_GBK" w:hAnsi="Times New Roman"/>
          <w:b/>
          <w:bCs/>
          <w:szCs w:val="32"/>
        </w:rPr>
        <w:t>1.</w:t>
      </w:r>
      <w:r>
        <w:rPr>
          <w:rFonts w:ascii="Times New Roman" w:eastAsia="方正仿宋_GBK" w:hAnsi="Times New Roman"/>
          <w:b/>
          <w:bCs/>
          <w:szCs w:val="32"/>
        </w:rPr>
        <w:t>主要职能。</w:t>
      </w:r>
      <w:r>
        <w:rPr>
          <w:rFonts w:ascii="Times New Roman" w:eastAsia="方正仿宋_GBK" w:hAnsi="Times New Roman"/>
          <w:szCs w:val="32"/>
        </w:rPr>
        <w:t>主要负责市直国有资产、办公用房、公务用车、公共机构节能、市本级党政机关国内公务接待工作管理，负责市委市政府机关四个大院的后勤保障及市级交流领导住房保障和生活服务。</w:t>
      </w:r>
    </w:p>
    <w:p w:rsidR="00A80DE8" w:rsidRDefault="00BB5C52">
      <w:pPr>
        <w:overflowPunct w:val="0"/>
        <w:snapToGrid w:val="0"/>
        <w:spacing w:line="600" w:lineRule="exact"/>
        <w:ind w:firstLineChars="200" w:firstLine="643"/>
        <w:rPr>
          <w:rFonts w:ascii="Times New Roman" w:eastAsia="方正仿宋_GBK" w:hAnsi="Times New Roman"/>
          <w:szCs w:val="32"/>
        </w:rPr>
      </w:pPr>
      <w:r>
        <w:rPr>
          <w:rFonts w:ascii="Times New Roman" w:eastAsia="方正仿宋_GBK" w:hAnsi="Times New Roman"/>
          <w:b/>
          <w:bCs/>
          <w:szCs w:val="32"/>
        </w:rPr>
        <w:t>2.</w:t>
      </w:r>
      <w:r>
        <w:rPr>
          <w:rFonts w:ascii="Times New Roman" w:eastAsia="方正仿宋_GBK" w:hAnsi="Times New Roman"/>
          <w:b/>
          <w:bCs/>
          <w:szCs w:val="32"/>
        </w:rPr>
        <w:t>机构情况。</w:t>
      </w:r>
      <w:r>
        <w:rPr>
          <w:rFonts w:ascii="Times New Roman" w:eastAsia="方正仿宋_GBK" w:hAnsi="Times New Roman"/>
          <w:szCs w:val="32"/>
        </w:rPr>
        <w:t>市机关事务管理局为市政府组成部门，内设办公室、国有资产管理与财务科、办公用房管理科、公务用车管理科、公共机构节能与公共事务管理科、机关党委</w:t>
      </w:r>
      <w:r>
        <w:rPr>
          <w:rFonts w:ascii="Times New Roman" w:eastAsia="方正仿宋_GBK" w:hAnsi="Times New Roman"/>
          <w:szCs w:val="32"/>
        </w:rPr>
        <w:t>6</w:t>
      </w:r>
      <w:r>
        <w:rPr>
          <w:rFonts w:ascii="Times New Roman" w:eastAsia="方正仿宋_GBK" w:hAnsi="Times New Roman"/>
          <w:szCs w:val="32"/>
        </w:rPr>
        <w:t>个科室，下设市公务用车服务中心、市机关服务中心</w:t>
      </w:r>
      <w:r>
        <w:rPr>
          <w:rFonts w:ascii="Times New Roman" w:eastAsia="方正仿宋_GBK" w:hAnsi="Times New Roman"/>
          <w:szCs w:val="32"/>
        </w:rPr>
        <w:t>2</w:t>
      </w:r>
      <w:r>
        <w:rPr>
          <w:rFonts w:ascii="Times New Roman" w:eastAsia="方正仿宋_GBK" w:hAnsi="Times New Roman"/>
          <w:szCs w:val="32"/>
        </w:rPr>
        <w:t>个正科级公益一类事业单位（财务未独立，由局机关统一管理）。整体支出绩效单位构成包括局机关本级，无二级单位。</w:t>
      </w:r>
    </w:p>
    <w:p w:rsidR="00A80DE8" w:rsidRDefault="00BB5C52">
      <w:pPr>
        <w:overflowPunct w:val="0"/>
        <w:snapToGrid w:val="0"/>
        <w:spacing w:line="600" w:lineRule="exact"/>
        <w:ind w:firstLineChars="200" w:firstLine="643"/>
        <w:rPr>
          <w:rFonts w:ascii="Times New Roman" w:eastAsia="方正仿宋_GBK" w:hAnsi="Times New Roman"/>
          <w:szCs w:val="32"/>
        </w:rPr>
      </w:pPr>
      <w:r>
        <w:rPr>
          <w:rFonts w:ascii="Times New Roman" w:eastAsia="方正仿宋_GBK" w:hAnsi="Times New Roman"/>
          <w:b/>
          <w:bCs/>
          <w:szCs w:val="32"/>
        </w:rPr>
        <w:t>3.</w:t>
      </w:r>
      <w:r>
        <w:rPr>
          <w:rFonts w:ascii="Times New Roman" w:eastAsia="方正仿宋_GBK" w:hAnsi="Times New Roman"/>
          <w:b/>
          <w:bCs/>
          <w:szCs w:val="32"/>
        </w:rPr>
        <w:t>人员情况。</w:t>
      </w:r>
      <w:r>
        <w:rPr>
          <w:rFonts w:ascii="Times New Roman" w:eastAsia="方正仿宋_GBK" w:hAnsi="Times New Roman"/>
          <w:szCs w:val="32"/>
        </w:rPr>
        <w:t>市机关事务管理局共有编制</w:t>
      </w:r>
      <w:r>
        <w:rPr>
          <w:rFonts w:ascii="Times New Roman" w:eastAsia="方正仿宋_GBK" w:hAnsi="Times New Roman"/>
          <w:szCs w:val="32"/>
        </w:rPr>
        <w:t>33</w:t>
      </w:r>
      <w:r>
        <w:rPr>
          <w:rFonts w:ascii="Times New Roman" w:eastAsia="方正仿宋_GBK" w:hAnsi="Times New Roman"/>
          <w:szCs w:val="32"/>
        </w:rPr>
        <w:t>个，其中机关行政编制</w:t>
      </w:r>
      <w:r>
        <w:rPr>
          <w:rFonts w:ascii="Times New Roman" w:eastAsia="方正仿宋_GBK" w:hAnsi="Times New Roman"/>
          <w:szCs w:val="32"/>
        </w:rPr>
        <w:t>14</w:t>
      </w:r>
      <w:r>
        <w:rPr>
          <w:rFonts w:ascii="Times New Roman" w:eastAsia="方正仿宋_GBK" w:hAnsi="Times New Roman"/>
          <w:szCs w:val="32"/>
        </w:rPr>
        <w:t>个、机关后勤编制</w:t>
      </w:r>
      <w:r>
        <w:rPr>
          <w:rFonts w:ascii="Times New Roman" w:eastAsia="方正仿宋_GBK" w:hAnsi="Times New Roman"/>
          <w:szCs w:val="32"/>
        </w:rPr>
        <w:t>7</w:t>
      </w:r>
      <w:r>
        <w:rPr>
          <w:rFonts w:ascii="Times New Roman" w:eastAsia="方正仿宋_GBK" w:hAnsi="Times New Roman"/>
          <w:szCs w:val="32"/>
        </w:rPr>
        <w:t>个、局属事业编制</w:t>
      </w:r>
      <w:r>
        <w:rPr>
          <w:rFonts w:ascii="Times New Roman" w:eastAsia="方正仿宋_GBK" w:hAnsi="Times New Roman"/>
          <w:szCs w:val="32"/>
        </w:rPr>
        <w:t>12</w:t>
      </w:r>
      <w:r>
        <w:rPr>
          <w:rFonts w:ascii="Times New Roman" w:eastAsia="方正仿宋_GBK" w:hAnsi="Times New Roman"/>
          <w:szCs w:val="32"/>
        </w:rPr>
        <w:t>个，年末实有在职人数</w:t>
      </w:r>
      <w:r>
        <w:rPr>
          <w:rFonts w:ascii="Times New Roman" w:eastAsia="方正仿宋_GBK" w:hAnsi="Times New Roman"/>
          <w:szCs w:val="32"/>
        </w:rPr>
        <w:t>28</w:t>
      </w:r>
      <w:r>
        <w:rPr>
          <w:rFonts w:ascii="Times New Roman" w:eastAsia="方正仿宋_GBK" w:hAnsi="Times New Roman"/>
          <w:szCs w:val="32"/>
        </w:rPr>
        <w:t>人，退休人员</w:t>
      </w:r>
      <w:r>
        <w:rPr>
          <w:rFonts w:ascii="Times New Roman" w:eastAsia="方正仿宋_GBK" w:hAnsi="Times New Roman"/>
          <w:szCs w:val="32"/>
        </w:rPr>
        <w:t>10</w:t>
      </w:r>
      <w:r>
        <w:rPr>
          <w:rFonts w:ascii="Times New Roman" w:eastAsia="方正仿宋_GBK" w:hAnsi="Times New Roman"/>
          <w:szCs w:val="32"/>
        </w:rPr>
        <w:t>人。</w:t>
      </w:r>
    </w:p>
    <w:p w:rsidR="00A80DE8" w:rsidRDefault="00BB5C52">
      <w:pPr>
        <w:overflowPunct w:val="0"/>
        <w:spacing w:line="600" w:lineRule="exact"/>
        <w:ind w:firstLineChars="200" w:firstLine="640"/>
        <w:rPr>
          <w:rFonts w:ascii="Times New Roman" w:eastAsia="方正黑体_GBK" w:hAnsi="Times New Roman"/>
          <w:szCs w:val="32"/>
        </w:rPr>
      </w:pPr>
      <w:r>
        <w:rPr>
          <w:rFonts w:ascii="Times New Roman" w:eastAsia="方正黑体_GBK" w:hAnsi="Times New Roman"/>
          <w:szCs w:val="32"/>
        </w:rPr>
        <w:t>二、一般公共预算支出情况</w:t>
      </w:r>
    </w:p>
    <w:p w:rsidR="00A80DE8" w:rsidRDefault="00BB5C52">
      <w:pPr>
        <w:overflowPunct w:val="0"/>
        <w:spacing w:line="600" w:lineRule="exact"/>
        <w:ind w:firstLineChars="200" w:firstLine="640"/>
        <w:rPr>
          <w:rFonts w:ascii="Times New Roman" w:hAnsi="Times New Roman"/>
          <w:szCs w:val="32"/>
        </w:rPr>
      </w:pPr>
      <w:r>
        <w:rPr>
          <w:rFonts w:ascii="Times New Roman" w:eastAsia="方正仿宋_GBK" w:hAnsi="Times New Roman"/>
          <w:szCs w:val="32"/>
        </w:rPr>
        <w:t>2023</w:t>
      </w:r>
      <w:r>
        <w:rPr>
          <w:rFonts w:ascii="Times New Roman" w:eastAsia="方正仿宋_GBK" w:hAnsi="Times New Roman"/>
          <w:szCs w:val="32"/>
        </w:rPr>
        <w:t>年度市机关事务管理局一般公共预算支出</w:t>
      </w:r>
      <w:r>
        <w:rPr>
          <w:rFonts w:ascii="Times New Roman" w:eastAsia="方正仿宋_GBK" w:hAnsi="Times New Roman"/>
          <w:szCs w:val="32"/>
        </w:rPr>
        <w:t>3148.01</w:t>
      </w:r>
      <w:r>
        <w:rPr>
          <w:rFonts w:ascii="Times New Roman" w:eastAsia="方正仿宋_GBK" w:hAnsi="Times New Roman"/>
          <w:szCs w:val="32"/>
        </w:rPr>
        <w:t>万元，占当年总支出的</w:t>
      </w:r>
      <w:r>
        <w:rPr>
          <w:rFonts w:ascii="Times New Roman" w:eastAsia="方正仿宋_GBK" w:hAnsi="Times New Roman"/>
          <w:szCs w:val="32"/>
        </w:rPr>
        <w:t>100%</w:t>
      </w:r>
      <w:r>
        <w:rPr>
          <w:rFonts w:ascii="Times New Roman" w:eastAsia="方正仿宋_GBK" w:hAnsi="Times New Roman"/>
          <w:szCs w:val="32"/>
        </w:rPr>
        <w:t>。</w:t>
      </w:r>
      <w:r w:rsidRPr="006D4FA8">
        <w:rPr>
          <w:rFonts w:ascii="Times New Roman" w:eastAsia="方正仿宋_GBK" w:hAnsi="Times New Roman"/>
          <w:szCs w:val="32"/>
        </w:rPr>
        <w:t>全年执行数</w:t>
      </w:r>
      <w:r w:rsidRPr="006D4FA8">
        <w:rPr>
          <w:rFonts w:ascii="Times New Roman" w:eastAsia="方正仿宋_GBK" w:hAnsi="Times New Roman"/>
          <w:szCs w:val="32"/>
        </w:rPr>
        <w:t>3148.01</w:t>
      </w:r>
      <w:r w:rsidRPr="006D4FA8">
        <w:rPr>
          <w:rFonts w:ascii="Times New Roman" w:eastAsia="方正仿宋_GBK" w:hAnsi="Times New Roman"/>
          <w:szCs w:val="32"/>
        </w:rPr>
        <w:t>万元，执行率</w:t>
      </w:r>
      <w:r w:rsidRPr="006D4FA8">
        <w:rPr>
          <w:rFonts w:ascii="Times New Roman" w:eastAsia="方正仿宋_GBK" w:hAnsi="Times New Roman"/>
          <w:szCs w:val="32"/>
        </w:rPr>
        <w:t>100%</w:t>
      </w:r>
      <w:r w:rsidRPr="006D4FA8">
        <w:rPr>
          <w:rFonts w:ascii="Times New Roman" w:eastAsia="方正仿宋_GBK" w:hAnsi="Times New Roman"/>
          <w:szCs w:val="32"/>
        </w:rPr>
        <w:t>。其中，基本支出</w:t>
      </w:r>
      <w:r w:rsidRPr="006D4FA8">
        <w:rPr>
          <w:rFonts w:ascii="Times New Roman" w:eastAsia="方正仿宋_GBK" w:hAnsi="Times New Roman"/>
          <w:szCs w:val="32"/>
        </w:rPr>
        <w:t>664.24</w:t>
      </w:r>
      <w:r w:rsidRPr="006D4FA8">
        <w:rPr>
          <w:rFonts w:ascii="Times New Roman" w:eastAsia="方正仿宋_GBK" w:hAnsi="Times New Roman"/>
          <w:szCs w:val="32"/>
        </w:rPr>
        <w:t>万元，项目支出</w:t>
      </w:r>
      <w:r w:rsidRPr="006D4FA8">
        <w:rPr>
          <w:rFonts w:ascii="Times New Roman" w:eastAsia="方正仿宋_GBK" w:hAnsi="Times New Roman"/>
          <w:szCs w:val="32"/>
        </w:rPr>
        <w:t>2483.77</w:t>
      </w:r>
      <w:r w:rsidRPr="006D4FA8">
        <w:rPr>
          <w:rFonts w:ascii="Times New Roman" w:eastAsia="方正仿宋_GBK" w:hAnsi="Times New Roman"/>
          <w:szCs w:val="32"/>
        </w:rPr>
        <w:t>万元。</w:t>
      </w:r>
    </w:p>
    <w:p w:rsidR="00A80DE8" w:rsidRDefault="00BB5C52">
      <w:pPr>
        <w:numPr>
          <w:ilvl w:val="0"/>
          <w:numId w:val="1"/>
        </w:numPr>
        <w:overflowPunct w:val="0"/>
        <w:spacing w:line="600" w:lineRule="exact"/>
        <w:ind w:firstLineChars="200" w:firstLine="640"/>
        <w:rPr>
          <w:rFonts w:ascii="Times New Roman" w:eastAsia="方正楷体_GBK" w:hAnsi="Times New Roman"/>
          <w:szCs w:val="32"/>
        </w:rPr>
      </w:pPr>
      <w:r>
        <w:rPr>
          <w:rFonts w:ascii="Times New Roman" w:eastAsia="方正楷体_GBK" w:hAnsi="Times New Roman"/>
          <w:szCs w:val="32"/>
        </w:rPr>
        <w:lastRenderedPageBreak/>
        <w:t>基本支出情况</w:t>
      </w:r>
    </w:p>
    <w:p w:rsidR="00A80DE8" w:rsidRPr="00A91F6B" w:rsidRDefault="00BB5C52">
      <w:pPr>
        <w:overflowPunct w:val="0"/>
        <w:spacing w:line="600" w:lineRule="exact"/>
        <w:jc w:val="center"/>
        <w:rPr>
          <w:rFonts w:ascii="Times New Roman" w:eastAsia="方正小标宋_GBK" w:hAnsi="Times New Roman"/>
          <w:b/>
          <w:szCs w:val="32"/>
        </w:rPr>
      </w:pPr>
      <w:r w:rsidRPr="00A91F6B">
        <w:rPr>
          <w:rFonts w:ascii="Times New Roman" w:eastAsia="方正小标宋_GBK" w:hAnsi="Times New Roman"/>
          <w:bCs/>
          <w:szCs w:val="32"/>
        </w:rPr>
        <w:t>2023</w:t>
      </w:r>
      <w:r w:rsidRPr="00A91F6B">
        <w:rPr>
          <w:rFonts w:ascii="Times New Roman" w:eastAsia="方正小标宋_GBK" w:hAnsi="Times New Roman"/>
          <w:bCs/>
          <w:szCs w:val="32"/>
        </w:rPr>
        <w:t>年度基本支出明细表（万元）</w:t>
      </w:r>
    </w:p>
    <w:tbl>
      <w:tblPr>
        <w:tblStyle w:val="a6"/>
        <w:tblW w:w="0" w:type="auto"/>
        <w:tblLook w:val="04A0"/>
      </w:tblPr>
      <w:tblGrid>
        <w:gridCol w:w="3085"/>
        <w:gridCol w:w="2693"/>
        <w:gridCol w:w="2744"/>
      </w:tblGrid>
      <w:tr w:rsidR="00A80DE8">
        <w:tc>
          <w:tcPr>
            <w:tcW w:w="3085" w:type="dxa"/>
            <w:vAlign w:val="center"/>
          </w:tcPr>
          <w:p w:rsidR="00A80DE8" w:rsidRDefault="00BB5C52">
            <w:pPr>
              <w:overflowPunct w:val="0"/>
              <w:snapToGrid w:val="0"/>
              <w:spacing w:line="600" w:lineRule="exact"/>
              <w:jc w:val="center"/>
              <w:rPr>
                <w:rFonts w:ascii="Times New Roman" w:eastAsia="方正黑体_GBK" w:hAnsi="Times New Roman"/>
                <w:sz w:val="28"/>
                <w:szCs w:val="28"/>
              </w:rPr>
            </w:pPr>
            <w:r>
              <w:rPr>
                <w:rFonts w:ascii="Times New Roman" w:eastAsia="方正黑体_GBK" w:hAnsi="Times New Roman"/>
                <w:sz w:val="28"/>
                <w:szCs w:val="28"/>
              </w:rPr>
              <w:t>科</w:t>
            </w:r>
            <w:r>
              <w:rPr>
                <w:rFonts w:ascii="Times New Roman" w:eastAsia="方正黑体_GBK" w:hAnsi="Times New Roman"/>
                <w:sz w:val="28"/>
                <w:szCs w:val="28"/>
              </w:rPr>
              <w:t xml:space="preserve">  </w:t>
            </w:r>
            <w:r>
              <w:rPr>
                <w:rFonts w:ascii="Times New Roman" w:eastAsia="方正黑体_GBK" w:hAnsi="Times New Roman"/>
                <w:sz w:val="28"/>
                <w:szCs w:val="28"/>
              </w:rPr>
              <w:t>目</w:t>
            </w:r>
          </w:p>
        </w:tc>
        <w:tc>
          <w:tcPr>
            <w:tcW w:w="2693" w:type="dxa"/>
            <w:vAlign w:val="center"/>
          </w:tcPr>
          <w:p w:rsidR="00A80DE8" w:rsidRDefault="00BB5C52">
            <w:pPr>
              <w:overflowPunct w:val="0"/>
              <w:snapToGrid w:val="0"/>
              <w:spacing w:line="600" w:lineRule="exact"/>
              <w:jc w:val="center"/>
              <w:rPr>
                <w:rFonts w:ascii="Times New Roman" w:eastAsia="方正黑体_GBK" w:hAnsi="Times New Roman"/>
                <w:sz w:val="28"/>
                <w:szCs w:val="28"/>
              </w:rPr>
            </w:pPr>
            <w:r>
              <w:rPr>
                <w:rFonts w:ascii="Times New Roman" w:eastAsia="方正黑体_GBK" w:hAnsi="Times New Roman"/>
                <w:sz w:val="28"/>
                <w:szCs w:val="28"/>
              </w:rPr>
              <w:t>2023</w:t>
            </w:r>
            <w:r>
              <w:rPr>
                <w:rFonts w:ascii="Times New Roman" w:eastAsia="方正黑体_GBK" w:hAnsi="Times New Roman"/>
                <w:sz w:val="28"/>
                <w:szCs w:val="28"/>
              </w:rPr>
              <w:t>年预算数</w:t>
            </w:r>
          </w:p>
        </w:tc>
        <w:tc>
          <w:tcPr>
            <w:tcW w:w="2744" w:type="dxa"/>
            <w:vAlign w:val="center"/>
          </w:tcPr>
          <w:p w:rsidR="00A80DE8" w:rsidRDefault="00BB5C52">
            <w:pPr>
              <w:overflowPunct w:val="0"/>
              <w:snapToGrid w:val="0"/>
              <w:spacing w:line="600" w:lineRule="exact"/>
              <w:jc w:val="center"/>
              <w:rPr>
                <w:rFonts w:ascii="Times New Roman" w:eastAsia="方正黑体_GBK" w:hAnsi="Times New Roman"/>
                <w:sz w:val="28"/>
                <w:szCs w:val="28"/>
              </w:rPr>
            </w:pPr>
            <w:r>
              <w:rPr>
                <w:rFonts w:ascii="Times New Roman" w:eastAsia="方正黑体_GBK" w:hAnsi="Times New Roman"/>
                <w:sz w:val="28"/>
                <w:szCs w:val="28"/>
              </w:rPr>
              <w:t>2023</w:t>
            </w:r>
            <w:r>
              <w:rPr>
                <w:rFonts w:ascii="Times New Roman" w:eastAsia="方正黑体_GBK" w:hAnsi="Times New Roman"/>
                <w:sz w:val="28"/>
                <w:szCs w:val="28"/>
              </w:rPr>
              <w:t>年决算数</w:t>
            </w:r>
          </w:p>
        </w:tc>
      </w:tr>
      <w:tr w:rsidR="00A80DE8">
        <w:tc>
          <w:tcPr>
            <w:tcW w:w="3085" w:type="dxa"/>
            <w:vAlign w:val="center"/>
          </w:tcPr>
          <w:p w:rsidR="00A80DE8" w:rsidRDefault="00BB5C52">
            <w:pPr>
              <w:overflowPunct w:val="0"/>
              <w:snapToGrid w:val="0"/>
              <w:spacing w:line="360" w:lineRule="exact"/>
              <w:rPr>
                <w:rFonts w:ascii="Times New Roman" w:eastAsia="方正仿宋_GBK" w:hAnsi="Times New Roman"/>
                <w:sz w:val="28"/>
                <w:szCs w:val="28"/>
              </w:rPr>
            </w:pPr>
            <w:r>
              <w:rPr>
                <w:rFonts w:ascii="Times New Roman" w:eastAsia="方正仿宋_GBK" w:hAnsi="Times New Roman"/>
                <w:sz w:val="28"/>
                <w:szCs w:val="28"/>
              </w:rPr>
              <w:t>工资福利支出</w:t>
            </w:r>
          </w:p>
        </w:tc>
        <w:tc>
          <w:tcPr>
            <w:tcW w:w="2693"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511.46</w:t>
            </w:r>
          </w:p>
        </w:tc>
        <w:tc>
          <w:tcPr>
            <w:tcW w:w="2744"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511.46</w:t>
            </w:r>
          </w:p>
        </w:tc>
      </w:tr>
      <w:tr w:rsidR="00A80DE8">
        <w:tc>
          <w:tcPr>
            <w:tcW w:w="3085" w:type="dxa"/>
            <w:vAlign w:val="center"/>
          </w:tcPr>
          <w:p w:rsidR="00A80DE8" w:rsidRDefault="00BB5C52">
            <w:pPr>
              <w:overflowPunct w:val="0"/>
              <w:snapToGrid w:val="0"/>
              <w:spacing w:line="360" w:lineRule="exact"/>
              <w:rPr>
                <w:rFonts w:ascii="Times New Roman" w:eastAsia="方正仿宋_GBK" w:hAnsi="Times New Roman"/>
                <w:sz w:val="28"/>
                <w:szCs w:val="28"/>
              </w:rPr>
            </w:pPr>
            <w:r>
              <w:rPr>
                <w:rFonts w:ascii="Times New Roman" w:eastAsia="方正仿宋_GBK" w:hAnsi="Times New Roman"/>
                <w:sz w:val="28"/>
                <w:szCs w:val="28"/>
              </w:rPr>
              <w:t>对个人和家庭的补助</w:t>
            </w:r>
          </w:p>
        </w:tc>
        <w:tc>
          <w:tcPr>
            <w:tcW w:w="2693"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26.91</w:t>
            </w:r>
          </w:p>
        </w:tc>
        <w:tc>
          <w:tcPr>
            <w:tcW w:w="2744"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26.91</w:t>
            </w:r>
          </w:p>
        </w:tc>
      </w:tr>
      <w:tr w:rsidR="00A80DE8">
        <w:tc>
          <w:tcPr>
            <w:tcW w:w="3085" w:type="dxa"/>
            <w:vAlign w:val="center"/>
          </w:tcPr>
          <w:p w:rsidR="00A80DE8" w:rsidRDefault="00BB5C52">
            <w:pPr>
              <w:overflowPunct w:val="0"/>
              <w:snapToGrid w:val="0"/>
              <w:spacing w:line="360" w:lineRule="exact"/>
              <w:rPr>
                <w:rFonts w:ascii="Times New Roman" w:eastAsia="方正仿宋_GBK" w:hAnsi="Times New Roman"/>
                <w:sz w:val="28"/>
                <w:szCs w:val="28"/>
              </w:rPr>
            </w:pPr>
            <w:r>
              <w:rPr>
                <w:rFonts w:ascii="Times New Roman" w:eastAsia="方正仿宋_GBK" w:hAnsi="Times New Roman"/>
                <w:sz w:val="28"/>
                <w:szCs w:val="28"/>
              </w:rPr>
              <w:t>商品和服务支出</w:t>
            </w:r>
          </w:p>
        </w:tc>
        <w:tc>
          <w:tcPr>
            <w:tcW w:w="2693"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2240.18</w:t>
            </w:r>
          </w:p>
        </w:tc>
        <w:tc>
          <w:tcPr>
            <w:tcW w:w="2744"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2240.18</w:t>
            </w:r>
          </w:p>
        </w:tc>
      </w:tr>
      <w:tr w:rsidR="00A80DE8">
        <w:tc>
          <w:tcPr>
            <w:tcW w:w="3085" w:type="dxa"/>
            <w:vAlign w:val="center"/>
          </w:tcPr>
          <w:p w:rsidR="00A80DE8" w:rsidRDefault="00BB5C52">
            <w:pPr>
              <w:overflowPunct w:val="0"/>
              <w:snapToGrid w:val="0"/>
              <w:spacing w:line="360" w:lineRule="exact"/>
              <w:rPr>
                <w:rFonts w:ascii="Times New Roman" w:eastAsia="方正仿宋_GBK" w:hAnsi="Times New Roman"/>
                <w:sz w:val="28"/>
                <w:szCs w:val="28"/>
              </w:rPr>
            </w:pPr>
            <w:r>
              <w:rPr>
                <w:rFonts w:ascii="Times New Roman" w:eastAsia="方正仿宋_GBK" w:hAnsi="Times New Roman"/>
                <w:sz w:val="28"/>
                <w:szCs w:val="28"/>
              </w:rPr>
              <w:t>资本性支出</w:t>
            </w:r>
          </w:p>
        </w:tc>
        <w:tc>
          <w:tcPr>
            <w:tcW w:w="2693"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369.46</w:t>
            </w:r>
          </w:p>
        </w:tc>
        <w:tc>
          <w:tcPr>
            <w:tcW w:w="2744"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369.46</w:t>
            </w:r>
          </w:p>
        </w:tc>
      </w:tr>
      <w:tr w:rsidR="00A80DE8">
        <w:tc>
          <w:tcPr>
            <w:tcW w:w="3085" w:type="dxa"/>
            <w:vAlign w:val="center"/>
          </w:tcPr>
          <w:p w:rsidR="00A80DE8" w:rsidRDefault="00BB5C52">
            <w:pPr>
              <w:overflowPunct w:val="0"/>
              <w:snapToGrid w:val="0"/>
              <w:spacing w:line="360" w:lineRule="exact"/>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基本支出合计</w:t>
            </w:r>
          </w:p>
        </w:tc>
        <w:tc>
          <w:tcPr>
            <w:tcW w:w="2693" w:type="dxa"/>
            <w:vAlign w:val="center"/>
          </w:tcPr>
          <w:p w:rsidR="00A80DE8" w:rsidRDefault="00BB5C52">
            <w:pPr>
              <w:overflowPunct w:val="0"/>
              <w:snapToGrid w:val="0"/>
              <w:spacing w:line="360" w:lineRule="exact"/>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3148.01</w:t>
            </w:r>
          </w:p>
        </w:tc>
        <w:tc>
          <w:tcPr>
            <w:tcW w:w="2744" w:type="dxa"/>
            <w:vAlign w:val="center"/>
          </w:tcPr>
          <w:p w:rsidR="00A80DE8" w:rsidRDefault="00BB5C52">
            <w:pPr>
              <w:overflowPunct w:val="0"/>
              <w:snapToGrid w:val="0"/>
              <w:spacing w:line="360" w:lineRule="exact"/>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3148.01</w:t>
            </w:r>
          </w:p>
        </w:tc>
      </w:tr>
    </w:tbl>
    <w:p w:rsidR="00A80DE8" w:rsidRDefault="00BB5C52">
      <w:pPr>
        <w:numPr>
          <w:ilvl w:val="0"/>
          <w:numId w:val="1"/>
        </w:numPr>
        <w:overflowPunct w:val="0"/>
        <w:spacing w:line="600" w:lineRule="exact"/>
        <w:ind w:firstLineChars="200" w:firstLine="640"/>
        <w:rPr>
          <w:rFonts w:ascii="Times New Roman" w:eastAsia="方正楷体_GBK" w:hAnsi="Times New Roman"/>
          <w:szCs w:val="32"/>
        </w:rPr>
      </w:pPr>
      <w:r>
        <w:rPr>
          <w:rFonts w:ascii="Times New Roman" w:eastAsia="方正楷体_GBK" w:hAnsi="Times New Roman"/>
          <w:szCs w:val="32"/>
        </w:rPr>
        <w:t>项目支出情况</w:t>
      </w:r>
    </w:p>
    <w:p w:rsidR="00A80DE8" w:rsidRPr="00A91F6B" w:rsidRDefault="00BB5C52">
      <w:pPr>
        <w:overflowPunct w:val="0"/>
        <w:spacing w:line="600" w:lineRule="exact"/>
        <w:jc w:val="center"/>
        <w:rPr>
          <w:rFonts w:ascii="Times New Roman" w:eastAsia="方正小标宋_GBK" w:hAnsi="Times New Roman"/>
          <w:bCs/>
          <w:szCs w:val="32"/>
        </w:rPr>
      </w:pPr>
      <w:r w:rsidRPr="00A91F6B">
        <w:rPr>
          <w:rFonts w:ascii="Times New Roman" w:eastAsia="方正小标宋_GBK" w:hAnsi="Times New Roman"/>
          <w:bCs/>
          <w:szCs w:val="32"/>
        </w:rPr>
        <w:t>2023</w:t>
      </w:r>
      <w:r w:rsidRPr="00A91F6B">
        <w:rPr>
          <w:rFonts w:ascii="Times New Roman" w:eastAsia="方正小标宋_GBK" w:hAnsi="Times New Roman"/>
          <w:bCs/>
          <w:szCs w:val="32"/>
        </w:rPr>
        <w:t>年度项目支出明细表（万元）</w:t>
      </w:r>
    </w:p>
    <w:tbl>
      <w:tblPr>
        <w:tblStyle w:val="a6"/>
        <w:tblW w:w="0" w:type="auto"/>
        <w:tblLook w:val="04A0"/>
      </w:tblPr>
      <w:tblGrid>
        <w:gridCol w:w="3652"/>
        <w:gridCol w:w="2552"/>
        <w:gridCol w:w="2318"/>
      </w:tblGrid>
      <w:tr w:rsidR="00A80DE8">
        <w:trPr>
          <w:trHeight w:val="628"/>
        </w:trPr>
        <w:tc>
          <w:tcPr>
            <w:tcW w:w="3652" w:type="dxa"/>
            <w:vAlign w:val="center"/>
          </w:tcPr>
          <w:p w:rsidR="00A80DE8" w:rsidRDefault="00BB5C52">
            <w:pPr>
              <w:overflowPunct w:val="0"/>
              <w:snapToGrid w:val="0"/>
              <w:spacing w:line="600" w:lineRule="exact"/>
              <w:jc w:val="center"/>
              <w:rPr>
                <w:rFonts w:ascii="Times New Roman" w:eastAsia="方正黑体_GBK" w:hAnsi="Times New Roman"/>
                <w:sz w:val="28"/>
                <w:szCs w:val="28"/>
              </w:rPr>
            </w:pPr>
            <w:r>
              <w:rPr>
                <w:rFonts w:ascii="Times New Roman" w:eastAsia="方正黑体_GBK" w:hAnsi="Times New Roman"/>
                <w:sz w:val="28"/>
                <w:szCs w:val="28"/>
              </w:rPr>
              <w:t>项</w:t>
            </w:r>
            <w:r>
              <w:rPr>
                <w:rFonts w:ascii="Times New Roman" w:eastAsia="方正黑体_GBK" w:hAnsi="Times New Roman"/>
                <w:sz w:val="28"/>
                <w:szCs w:val="28"/>
              </w:rPr>
              <w:t xml:space="preserve">  </w:t>
            </w:r>
            <w:r>
              <w:rPr>
                <w:rFonts w:ascii="Times New Roman" w:eastAsia="方正黑体_GBK" w:hAnsi="Times New Roman"/>
                <w:sz w:val="28"/>
                <w:szCs w:val="28"/>
              </w:rPr>
              <w:t>目</w:t>
            </w:r>
          </w:p>
        </w:tc>
        <w:tc>
          <w:tcPr>
            <w:tcW w:w="2552" w:type="dxa"/>
            <w:vAlign w:val="center"/>
          </w:tcPr>
          <w:p w:rsidR="00A80DE8" w:rsidRDefault="00BB5C52">
            <w:pPr>
              <w:overflowPunct w:val="0"/>
              <w:snapToGrid w:val="0"/>
              <w:spacing w:line="600" w:lineRule="exact"/>
              <w:jc w:val="center"/>
              <w:rPr>
                <w:rFonts w:ascii="Times New Roman" w:eastAsia="方正黑体_GBK" w:hAnsi="Times New Roman"/>
                <w:sz w:val="28"/>
                <w:szCs w:val="28"/>
              </w:rPr>
            </w:pPr>
            <w:r>
              <w:rPr>
                <w:rFonts w:ascii="Times New Roman" w:eastAsia="方正黑体_GBK" w:hAnsi="Times New Roman"/>
                <w:sz w:val="28"/>
                <w:szCs w:val="28"/>
              </w:rPr>
              <w:t>2023</w:t>
            </w:r>
            <w:r>
              <w:rPr>
                <w:rFonts w:ascii="Times New Roman" w:eastAsia="方正黑体_GBK" w:hAnsi="Times New Roman"/>
                <w:sz w:val="28"/>
                <w:szCs w:val="28"/>
              </w:rPr>
              <w:t>年预算数</w:t>
            </w:r>
          </w:p>
        </w:tc>
        <w:tc>
          <w:tcPr>
            <w:tcW w:w="2318" w:type="dxa"/>
            <w:vAlign w:val="center"/>
          </w:tcPr>
          <w:p w:rsidR="00A80DE8" w:rsidRDefault="00BB5C52">
            <w:pPr>
              <w:overflowPunct w:val="0"/>
              <w:snapToGrid w:val="0"/>
              <w:spacing w:line="600" w:lineRule="exact"/>
              <w:jc w:val="center"/>
              <w:rPr>
                <w:rFonts w:ascii="Times New Roman" w:eastAsia="方正黑体_GBK" w:hAnsi="Times New Roman"/>
                <w:sz w:val="28"/>
                <w:szCs w:val="28"/>
              </w:rPr>
            </w:pPr>
            <w:r>
              <w:rPr>
                <w:rFonts w:ascii="Times New Roman" w:eastAsia="方正黑体_GBK" w:hAnsi="Times New Roman"/>
                <w:sz w:val="28"/>
                <w:szCs w:val="28"/>
              </w:rPr>
              <w:t>2023</w:t>
            </w:r>
            <w:r>
              <w:rPr>
                <w:rFonts w:ascii="Times New Roman" w:eastAsia="方正黑体_GBK" w:hAnsi="Times New Roman"/>
                <w:sz w:val="28"/>
                <w:szCs w:val="28"/>
              </w:rPr>
              <w:t>年决算数</w:t>
            </w:r>
          </w:p>
        </w:tc>
      </w:tr>
      <w:tr w:rsidR="00A80DE8">
        <w:tc>
          <w:tcPr>
            <w:tcW w:w="3652" w:type="dxa"/>
            <w:vAlign w:val="center"/>
          </w:tcPr>
          <w:p w:rsidR="00A80DE8" w:rsidRDefault="00BB5C52">
            <w:pPr>
              <w:overflowPunct w:val="0"/>
              <w:snapToGrid w:val="0"/>
              <w:spacing w:line="360" w:lineRule="exact"/>
              <w:rPr>
                <w:rFonts w:ascii="Times New Roman" w:eastAsia="方正仿宋_GBK" w:hAnsi="Times New Roman"/>
                <w:sz w:val="28"/>
                <w:szCs w:val="28"/>
              </w:rPr>
            </w:pPr>
            <w:r>
              <w:rPr>
                <w:rFonts w:ascii="Times New Roman" w:eastAsia="方正仿宋_GBK" w:hAnsi="Times New Roman"/>
                <w:sz w:val="28"/>
                <w:szCs w:val="28"/>
              </w:rPr>
              <w:t>行政事业运行维护费专项</w:t>
            </w:r>
            <w:r>
              <w:rPr>
                <w:rFonts w:ascii="Times New Roman" w:eastAsia="方正仿宋_GBK" w:hAnsi="Times New Roman"/>
                <w:sz w:val="28"/>
                <w:szCs w:val="28"/>
              </w:rPr>
              <w:t>(</w:t>
            </w:r>
            <w:r>
              <w:rPr>
                <w:rFonts w:ascii="Times New Roman" w:eastAsia="方正仿宋_GBK" w:hAnsi="Times New Roman"/>
                <w:sz w:val="28"/>
                <w:szCs w:val="28"/>
              </w:rPr>
              <w:t>公共机构节能经费</w:t>
            </w:r>
            <w:r>
              <w:rPr>
                <w:rFonts w:ascii="Times New Roman" w:eastAsia="方正仿宋_GBK" w:hAnsi="Times New Roman"/>
                <w:sz w:val="28"/>
                <w:szCs w:val="28"/>
              </w:rPr>
              <w:t>30</w:t>
            </w:r>
            <w:r>
              <w:rPr>
                <w:rFonts w:ascii="Times New Roman" w:eastAsia="方正仿宋_GBK" w:hAnsi="Times New Roman"/>
                <w:sz w:val="28"/>
                <w:szCs w:val="28"/>
              </w:rPr>
              <w:t>万）</w:t>
            </w:r>
          </w:p>
        </w:tc>
        <w:tc>
          <w:tcPr>
            <w:tcW w:w="2552"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1997.7</w:t>
            </w:r>
          </w:p>
        </w:tc>
        <w:tc>
          <w:tcPr>
            <w:tcW w:w="2318"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1997.7</w:t>
            </w:r>
          </w:p>
        </w:tc>
      </w:tr>
      <w:tr w:rsidR="00A80DE8">
        <w:tc>
          <w:tcPr>
            <w:tcW w:w="3652" w:type="dxa"/>
            <w:vAlign w:val="center"/>
          </w:tcPr>
          <w:p w:rsidR="00A80DE8" w:rsidRDefault="00BB5C52">
            <w:pPr>
              <w:overflowPunct w:val="0"/>
              <w:snapToGrid w:val="0"/>
              <w:spacing w:line="360" w:lineRule="exact"/>
              <w:rPr>
                <w:rFonts w:ascii="Times New Roman" w:eastAsia="方正仿宋_GBK" w:hAnsi="Times New Roman"/>
                <w:sz w:val="28"/>
                <w:szCs w:val="28"/>
              </w:rPr>
            </w:pPr>
            <w:r>
              <w:rPr>
                <w:rFonts w:ascii="Times New Roman" w:eastAsia="方正仿宋_GBK" w:hAnsi="Times New Roman"/>
                <w:sz w:val="28"/>
                <w:szCs w:val="28"/>
              </w:rPr>
              <w:t>交流公寓</w:t>
            </w:r>
            <w:proofErr w:type="gramStart"/>
            <w:r>
              <w:rPr>
                <w:rFonts w:ascii="Times New Roman" w:eastAsia="方正仿宋_GBK" w:hAnsi="Times New Roman"/>
                <w:sz w:val="28"/>
                <w:szCs w:val="28"/>
              </w:rPr>
              <w:t>楼运行</w:t>
            </w:r>
            <w:proofErr w:type="gramEnd"/>
            <w:r>
              <w:rPr>
                <w:rFonts w:ascii="Times New Roman" w:eastAsia="方正仿宋_GBK" w:hAnsi="Times New Roman"/>
                <w:sz w:val="28"/>
                <w:szCs w:val="28"/>
              </w:rPr>
              <w:t>维护费</w:t>
            </w:r>
          </w:p>
        </w:tc>
        <w:tc>
          <w:tcPr>
            <w:tcW w:w="2552"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100.00</w:t>
            </w:r>
          </w:p>
        </w:tc>
        <w:tc>
          <w:tcPr>
            <w:tcW w:w="2318"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100.00</w:t>
            </w:r>
          </w:p>
        </w:tc>
      </w:tr>
      <w:tr w:rsidR="00A80DE8">
        <w:tc>
          <w:tcPr>
            <w:tcW w:w="3652" w:type="dxa"/>
            <w:vAlign w:val="center"/>
          </w:tcPr>
          <w:p w:rsidR="00A80DE8" w:rsidRDefault="00BB5C52">
            <w:pPr>
              <w:overflowPunct w:val="0"/>
              <w:snapToGrid w:val="0"/>
              <w:spacing w:line="360" w:lineRule="exact"/>
              <w:rPr>
                <w:rFonts w:ascii="Times New Roman" w:eastAsia="方正仿宋_GBK" w:hAnsi="Times New Roman"/>
                <w:sz w:val="28"/>
                <w:szCs w:val="28"/>
              </w:rPr>
            </w:pPr>
            <w:r>
              <w:rPr>
                <w:rFonts w:ascii="Times New Roman" w:eastAsia="方正仿宋_GBK" w:hAnsi="Times New Roman"/>
                <w:sz w:val="28"/>
                <w:szCs w:val="28"/>
              </w:rPr>
              <w:t>人员经费专项（机关食堂补助）</w:t>
            </w:r>
          </w:p>
        </w:tc>
        <w:tc>
          <w:tcPr>
            <w:tcW w:w="2552"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171.07</w:t>
            </w:r>
          </w:p>
        </w:tc>
        <w:tc>
          <w:tcPr>
            <w:tcW w:w="2318"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171.07</w:t>
            </w:r>
          </w:p>
        </w:tc>
      </w:tr>
      <w:tr w:rsidR="00A80DE8">
        <w:tc>
          <w:tcPr>
            <w:tcW w:w="3652" w:type="dxa"/>
            <w:vAlign w:val="center"/>
          </w:tcPr>
          <w:p w:rsidR="00A80DE8" w:rsidRDefault="00BB5C52">
            <w:pPr>
              <w:overflowPunct w:val="0"/>
              <w:snapToGrid w:val="0"/>
              <w:spacing w:line="360" w:lineRule="exact"/>
              <w:rPr>
                <w:rFonts w:ascii="Times New Roman" w:eastAsia="方正仿宋_GBK" w:hAnsi="Times New Roman"/>
                <w:sz w:val="28"/>
                <w:szCs w:val="28"/>
              </w:rPr>
            </w:pPr>
            <w:r>
              <w:rPr>
                <w:rFonts w:ascii="Times New Roman" w:eastAsia="方正仿宋_GBK" w:hAnsi="Times New Roman"/>
                <w:sz w:val="28"/>
                <w:szCs w:val="28"/>
              </w:rPr>
              <w:t>市公务用车服务平台运行维护费用、公租房维护费</w:t>
            </w:r>
          </w:p>
        </w:tc>
        <w:tc>
          <w:tcPr>
            <w:tcW w:w="2552"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210.00</w:t>
            </w:r>
          </w:p>
        </w:tc>
        <w:tc>
          <w:tcPr>
            <w:tcW w:w="2318"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210.00</w:t>
            </w:r>
          </w:p>
        </w:tc>
      </w:tr>
      <w:tr w:rsidR="00A80DE8">
        <w:tc>
          <w:tcPr>
            <w:tcW w:w="3652" w:type="dxa"/>
            <w:vAlign w:val="center"/>
          </w:tcPr>
          <w:p w:rsidR="00A80DE8" w:rsidRDefault="00BB5C52">
            <w:pPr>
              <w:overflowPunct w:val="0"/>
              <w:snapToGrid w:val="0"/>
              <w:spacing w:line="360" w:lineRule="exact"/>
              <w:rPr>
                <w:rFonts w:ascii="Times New Roman" w:eastAsia="方正仿宋_GBK" w:hAnsi="Times New Roman"/>
                <w:sz w:val="28"/>
                <w:szCs w:val="28"/>
              </w:rPr>
            </w:pPr>
            <w:r>
              <w:rPr>
                <w:rFonts w:ascii="Times New Roman" w:eastAsia="方正仿宋_GBK" w:hAnsi="Times New Roman"/>
                <w:sz w:val="28"/>
                <w:szCs w:val="28"/>
              </w:rPr>
              <w:t>市直单位公物仓租赁费</w:t>
            </w:r>
          </w:p>
        </w:tc>
        <w:tc>
          <w:tcPr>
            <w:tcW w:w="2552"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5.00</w:t>
            </w:r>
          </w:p>
        </w:tc>
        <w:tc>
          <w:tcPr>
            <w:tcW w:w="2318" w:type="dxa"/>
            <w:vAlign w:val="center"/>
          </w:tcPr>
          <w:p w:rsidR="00A80DE8" w:rsidRPr="00E57EC3" w:rsidRDefault="00BB5C52" w:rsidP="00E57EC3">
            <w:pPr>
              <w:overflowPunct w:val="0"/>
              <w:snapToGrid w:val="0"/>
              <w:spacing w:line="360" w:lineRule="exact"/>
              <w:jc w:val="center"/>
              <w:rPr>
                <w:rFonts w:ascii="方正黑体_GBK" w:eastAsia="方正黑体_GBK" w:hAnsi="方正黑体_GBK" w:cs="方正黑体_GBK"/>
                <w:bCs/>
                <w:sz w:val="28"/>
                <w:szCs w:val="28"/>
              </w:rPr>
            </w:pPr>
            <w:r w:rsidRPr="00E57EC3">
              <w:rPr>
                <w:rFonts w:ascii="方正黑体_GBK" w:eastAsia="方正黑体_GBK" w:hAnsi="方正黑体_GBK" w:cs="方正黑体_GBK"/>
                <w:bCs/>
                <w:sz w:val="28"/>
                <w:szCs w:val="28"/>
              </w:rPr>
              <w:t>5.00</w:t>
            </w:r>
          </w:p>
        </w:tc>
      </w:tr>
      <w:tr w:rsidR="00A80DE8">
        <w:tc>
          <w:tcPr>
            <w:tcW w:w="3652" w:type="dxa"/>
            <w:vAlign w:val="center"/>
          </w:tcPr>
          <w:p w:rsidR="00A80DE8" w:rsidRDefault="00BB5C52">
            <w:pPr>
              <w:overflowPunct w:val="0"/>
              <w:snapToGrid w:val="0"/>
              <w:spacing w:line="36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项目支出合计</w:t>
            </w:r>
          </w:p>
        </w:tc>
        <w:tc>
          <w:tcPr>
            <w:tcW w:w="2552" w:type="dxa"/>
            <w:vAlign w:val="center"/>
          </w:tcPr>
          <w:p w:rsidR="00A80DE8" w:rsidRDefault="00BB5C52">
            <w:pPr>
              <w:overflowPunct w:val="0"/>
              <w:snapToGrid w:val="0"/>
              <w:spacing w:line="36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2483.77</w:t>
            </w:r>
          </w:p>
        </w:tc>
        <w:tc>
          <w:tcPr>
            <w:tcW w:w="2318" w:type="dxa"/>
            <w:vAlign w:val="center"/>
          </w:tcPr>
          <w:p w:rsidR="00A80DE8" w:rsidRDefault="00BB5C52">
            <w:pPr>
              <w:overflowPunct w:val="0"/>
              <w:snapToGrid w:val="0"/>
              <w:spacing w:line="36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2483.77</w:t>
            </w:r>
          </w:p>
        </w:tc>
      </w:tr>
    </w:tbl>
    <w:p w:rsidR="00A80DE8" w:rsidRDefault="00BB5C52">
      <w:pPr>
        <w:overflowPunct w:val="0"/>
        <w:spacing w:line="600" w:lineRule="exact"/>
        <w:ind w:firstLineChars="200" w:firstLine="640"/>
        <w:rPr>
          <w:rFonts w:ascii="方正仿宋_GBK" w:eastAsia="方正仿宋_GBK" w:hAnsi="方正仿宋_GBK" w:cs="方正仿宋_GBK"/>
          <w:szCs w:val="32"/>
        </w:rPr>
      </w:pPr>
      <w:r w:rsidRPr="006D4FA8">
        <w:rPr>
          <w:rFonts w:ascii="Times New Roman" w:eastAsia="方正仿宋_GBK" w:hAnsi="Times New Roman" w:hint="eastAsia"/>
          <w:szCs w:val="32"/>
        </w:rPr>
        <w:t>2023</w:t>
      </w:r>
      <w:r w:rsidRPr="006D4FA8">
        <w:rPr>
          <w:rFonts w:ascii="Times New Roman" w:eastAsia="方正仿宋_GBK" w:hAnsi="Times New Roman" w:hint="eastAsia"/>
          <w:szCs w:val="32"/>
        </w:rPr>
        <w:t>年</w:t>
      </w:r>
      <w:r>
        <w:rPr>
          <w:rFonts w:ascii="方正仿宋_GBK" w:eastAsia="方正仿宋_GBK" w:hAnsi="方正仿宋_GBK" w:cs="方正仿宋_GBK" w:hint="eastAsia"/>
          <w:sz w:val="28"/>
          <w:szCs w:val="28"/>
        </w:rPr>
        <w:t>行政事业运行维护费专项支出金额较大的项目说明：</w:t>
      </w:r>
    </w:p>
    <w:p w:rsidR="00A80DE8" w:rsidRDefault="00BB5C52">
      <w:pPr>
        <w:overflowPunct w:val="0"/>
        <w:spacing w:line="600" w:lineRule="exact"/>
        <w:ind w:firstLineChars="200" w:firstLine="643"/>
        <w:rPr>
          <w:rFonts w:ascii="Times New Roman" w:eastAsia="方正仿宋_GBK" w:hAnsi="Times New Roman"/>
          <w:b/>
          <w:szCs w:val="32"/>
        </w:rPr>
      </w:pPr>
      <w:r>
        <w:rPr>
          <w:rFonts w:ascii="Times New Roman" w:eastAsia="方正仿宋_GBK" w:hAnsi="Times New Roman"/>
          <w:b/>
          <w:szCs w:val="32"/>
        </w:rPr>
        <w:t xml:space="preserve"> 1.</w:t>
      </w:r>
      <w:r>
        <w:rPr>
          <w:rFonts w:ascii="Times New Roman" w:eastAsia="方正仿宋_GBK" w:hAnsi="Times New Roman"/>
          <w:b/>
          <w:szCs w:val="32"/>
        </w:rPr>
        <w:t>益阳市委市政府机关一院</w:t>
      </w:r>
      <w:r>
        <w:rPr>
          <w:rFonts w:ascii="Times New Roman" w:eastAsia="方正仿宋_GBK" w:hAnsi="Times New Roman"/>
          <w:b/>
          <w:szCs w:val="32"/>
        </w:rPr>
        <w:t>1</w:t>
      </w:r>
      <w:r>
        <w:rPr>
          <w:rFonts w:ascii="Times New Roman" w:eastAsia="方正仿宋_GBK" w:hAnsi="Times New Roman"/>
          <w:b/>
          <w:szCs w:val="32"/>
        </w:rPr>
        <w:t>办公楼电梯更换</w:t>
      </w:r>
    </w:p>
    <w:p w:rsidR="00A80DE8" w:rsidRDefault="00BB5C52">
      <w:pPr>
        <w:overflowPunct w:val="0"/>
        <w:spacing w:line="600" w:lineRule="exact"/>
        <w:ind w:firstLineChars="200" w:firstLine="640"/>
        <w:rPr>
          <w:rFonts w:ascii="Times New Roman" w:eastAsia="方正仿宋_GBK" w:hAnsi="Times New Roman"/>
          <w:szCs w:val="32"/>
        </w:rPr>
      </w:pPr>
      <w:r>
        <w:rPr>
          <w:rFonts w:ascii="Times New Roman" w:eastAsia="方正仿宋_GBK" w:hAnsi="Times New Roman"/>
          <w:bCs/>
          <w:szCs w:val="32"/>
        </w:rPr>
        <w:t>市政府机关大院</w:t>
      </w:r>
      <w:proofErr w:type="gramStart"/>
      <w:r>
        <w:rPr>
          <w:rFonts w:ascii="Times New Roman" w:eastAsia="方正仿宋_GBK" w:hAnsi="Times New Roman"/>
          <w:bCs/>
          <w:szCs w:val="32"/>
        </w:rPr>
        <w:t>一</w:t>
      </w:r>
      <w:proofErr w:type="gramEnd"/>
      <w:r>
        <w:rPr>
          <w:rFonts w:ascii="Times New Roman" w:eastAsia="方正仿宋_GBK" w:hAnsi="Times New Roman"/>
          <w:bCs/>
          <w:szCs w:val="32"/>
        </w:rPr>
        <w:t>办公楼</w:t>
      </w:r>
      <w:r>
        <w:rPr>
          <w:rFonts w:ascii="Times New Roman" w:eastAsia="方正仿宋_GBK" w:hAnsi="Times New Roman"/>
          <w:szCs w:val="32"/>
        </w:rPr>
        <w:t>6</w:t>
      </w:r>
      <w:r>
        <w:rPr>
          <w:rFonts w:ascii="Times New Roman" w:eastAsia="方正仿宋_GBK" w:hAnsi="Times New Roman"/>
          <w:szCs w:val="32"/>
        </w:rPr>
        <w:t>台电梯安装于</w:t>
      </w:r>
      <w:r>
        <w:rPr>
          <w:rFonts w:ascii="Times New Roman" w:eastAsia="方正仿宋_GBK" w:hAnsi="Times New Roman"/>
          <w:szCs w:val="32"/>
        </w:rPr>
        <w:t>2005</w:t>
      </w:r>
      <w:r>
        <w:rPr>
          <w:rFonts w:ascii="Times New Roman" w:eastAsia="方正仿宋_GBK" w:hAnsi="Times New Roman"/>
          <w:szCs w:val="32"/>
        </w:rPr>
        <w:t>年，已运行近</w:t>
      </w:r>
      <w:r>
        <w:rPr>
          <w:rFonts w:ascii="Times New Roman" w:eastAsia="方正仿宋_GBK" w:hAnsi="Times New Roman"/>
          <w:szCs w:val="32"/>
        </w:rPr>
        <w:t>18</w:t>
      </w:r>
      <w:r>
        <w:rPr>
          <w:rFonts w:ascii="Times New Roman" w:eastAsia="方正仿宋_GBK" w:hAnsi="Times New Roman"/>
          <w:szCs w:val="32"/>
        </w:rPr>
        <w:t>年，随着电梯运行时间年</w:t>
      </w:r>
      <w:bookmarkStart w:id="0" w:name="_GoBack"/>
      <w:bookmarkEnd w:id="0"/>
      <w:r>
        <w:rPr>
          <w:rFonts w:ascii="Times New Roman" w:eastAsia="方正仿宋_GBK" w:hAnsi="Times New Roman"/>
          <w:szCs w:val="32"/>
        </w:rPr>
        <w:t>久、使用频率不断提高，安全隐患严重。老旧电梯不仅存在机械部件老化、磨损等问题，而且还比较容易出现故障，老旧电梯的效率不高，运行能耗较大，而且</w:t>
      </w:r>
      <w:r>
        <w:rPr>
          <w:rFonts w:ascii="Times New Roman" w:eastAsia="方正仿宋_GBK" w:hAnsi="Times New Roman"/>
          <w:szCs w:val="32"/>
        </w:rPr>
        <w:lastRenderedPageBreak/>
        <w:t>在使用过程中也会产生较多的噪音、振动等环境污染。通过整体更换，彻底解决了之前轿厢突然下滑、电梯运行不稳、电子元件损坏、响声异常等方面的问题，并且新一代电梯采用的是更先进的技术和材料，具有更高的安全性能，并且采用了更加节能环保的设计，减少了能源的浪费，降低了噪音和振动等环境污染。</w:t>
      </w:r>
    </w:p>
    <w:p w:rsidR="00A80DE8" w:rsidRDefault="00BB5C52">
      <w:pPr>
        <w:overflowPunct w:val="0"/>
        <w:spacing w:line="600" w:lineRule="exact"/>
        <w:ind w:firstLineChars="200" w:firstLine="643"/>
        <w:rPr>
          <w:rFonts w:ascii="Times New Roman" w:eastAsia="方正仿宋_GBK" w:hAnsi="Times New Roman"/>
          <w:b/>
          <w:szCs w:val="32"/>
        </w:rPr>
      </w:pPr>
      <w:r>
        <w:rPr>
          <w:rFonts w:ascii="Times New Roman" w:eastAsia="方正仿宋_GBK" w:hAnsi="Times New Roman"/>
          <w:b/>
          <w:szCs w:val="32"/>
        </w:rPr>
        <w:t>2.</w:t>
      </w:r>
      <w:r>
        <w:rPr>
          <w:rFonts w:ascii="Times New Roman" w:eastAsia="方正仿宋_GBK" w:hAnsi="Times New Roman"/>
          <w:b/>
          <w:szCs w:val="32"/>
        </w:rPr>
        <w:t>益阳市委市政府机关一院</w:t>
      </w:r>
      <w:r>
        <w:rPr>
          <w:rFonts w:ascii="Times New Roman" w:eastAsia="方正仿宋_GBK" w:hAnsi="Times New Roman"/>
          <w:b/>
          <w:szCs w:val="32"/>
        </w:rPr>
        <w:t>1</w:t>
      </w:r>
      <w:r>
        <w:rPr>
          <w:rFonts w:ascii="Times New Roman" w:eastAsia="方正仿宋_GBK" w:hAnsi="Times New Roman"/>
          <w:b/>
          <w:szCs w:val="32"/>
        </w:rPr>
        <w:t>办公楼常务会议室</w:t>
      </w:r>
      <w:r>
        <w:rPr>
          <w:rFonts w:ascii="Times New Roman" w:eastAsia="方正仿宋_GBK" w:hAnsi="Times New Roman"/>
          <w:b/>
          <w:szCs w:val="32"/>
        </w:rPr>
        <w:t xml:space="preserve"> </w:t>
      </w:r>
      <w:r>
        <w:rPr>
          <w:rFonts w:ascii="Times New Roman" w:eastAsia="方正仿宋_GBK" w:hAnsi="Times New Roman"/>
          <w:b/>
          <w:szCs w:val="32"/>
        </w:rPr>
        <w:t>无纸化会议系统设备采购</w:t>
      </w:r>
    </w:p>
    <w:p w:rsidR="00A80DE8" w:rsidRDefault="00BB5C52">
      <w:pPr>
        <w:overflowPunct w:val="0"/>
        <w:spacing w:line="600" w:lineRule="exact"/>
        <w:ind w:firstLine="640"/>
        <w:rPr>
          <w:rFonts w:ascii="Times New Roman" w:eastAsia="方正仿宋_GBK" w:hAnsi="Times New Roman"/>
          <w:bCs/>
          <w:szCs w:val="32"/>
        </w:rPr>
      </w:pPr>
      <w:r>
        <w:rPr>
          <w:rFonts w:ascii="Times New Roman" w:eastAsia="方正仿宋_GBK" w:hAnsi="Times New Roman"/>
          <w:bCs/>
          <w:szCs w:val="32"/>
        </w:rPr>
        <w:t>通过安装无纸化会议系统，消除了会议过程中使用纸张和打印文件的需求，避免了大量的纸张浪费和印刷能源消耗，有效减少了对环境的负荷；系统采用电子化方式管理会议信息和文件，实现了会议过程的自动化和数字化，节省了大量的人力和时间成本。与传统会议相比，多媒体无纸化会议系统可以快速传递和共享会议资料，提高了会议效率和决策效果；系统采用网络技术和数据加密等安全措施，确保了会议信息和文件的机密性和完整性，防止了信息泄露和篡改的风险；系统可以对会议信息和文件进行统一管理和归档，方便后续查阅和审计。同时，系统还可以提供搜索和筛选功能，快速找到需要的信息和文件，提高了管理效率；多媒体无纸化会议系统可以提供多媒体展示、互动交流和远程参会等功能，丰富了会议形式和体验，增强了与会人员的参与感和沟通效果。</w:t>
      </w:r>
    </w:p>
    <w:p w:rsidR="00A80DE8" w:rsidRDefault="00BB5C52">
      <w:pPr>
        <w:overflowPunct w:val="0"/>
        <w:spacing w:line="600" w:lineRule="exact"/>
        <w:ind w:firstLineChars="200" w:firstLine="643"/>
        <w:rPr>
          <w:rFonts w:ascii="Times New Roman" w:eastAsia="方正仿宋_GBK" w:hAnsi="Times New Roman"/>
          <w:b/>
          <w:szCs w:val="32"/>
        </w:rPr>
      </w:pPr>
      <w:r>
        <w:rPr>
          <w:rFonts w:ascii="Times New Roman" w:eastAsia="方正仿宋_GBK" w:hAnsi="Times New Roman"/>
          <w:b/>
          <w:szCs w:val="32"/>
        </w:rPr>
        <w:t>3.</w:t>
      </w:r>
      <w:r>
        <w:rPr>
          <w:rFonts w:ascii="Times New Roman" w:eastAsia="方正仿宋_GBK" w:hAnsi="Times New Roman"/>
          <w:b/>
          <w:szCs w:val="32"/>
        </w:rPr>
        <w:t>益阳市委市政府机关一院</w:t>
      </w:r>
      <w:r>
        <w:rPr>
          <w:rFonts w:ascii="Times New Roman" w:eastAsia="方正仿宋_GBK" w:hAnsi="Times New Roman"/>
          <w:b/>
          <w:szCs w:val="32"/>
        </w:rPr>
        <w:t>1</w:t>
      </w:r>
      <w:r>
        <w:rPr>
          <w:rFonts w:ascii="Times New Roman" w:eastAsia="方正仿宋_GBK" w:hAnsi="Times New Roman"/>
          <w:b/>
          <w:szCs w:val="32"/>
        </w:rPr>
        <w:t>办公楼负一楼卫生间改造</w:t>
      </w:r>
    </w:p>
    <w:p w:rsidR="00A80DE8" w:rsidRDefault="00BB5C52">
      <w:pPr>
        <w:overflowPunct w:val="0"/>
        <w:spacing w:line="600" w:lineRule="exact"/>
        <w:ind w:firstLine="641"/>
        <w:rPr>
          <w:rFonts w:ascii="Times New Roman" w:eastAsia="方正仿宋_GBK" w:hAnsi="Times New Roman"/>
          <w:bCs/>
          <w:szCs w:val="32"/>
        </w:rPr>
      </w:pPr>
      <w:r>
        <w:rPr>
          <w:rFonts w:ascii="Times New Roman" w:eastAsia="方正仿宋_GBK" w:hAnsi="Times New Roman"/>
          <w:bCs/>
          <w:szCs w:val="32"/>
        </w:rPr>
        <w:lastRenderedPageBreak/>
        <w:t>市委市政府机关一院</w:t>
      </w:r>
      <w:r>
        <w:rPr>
          <w:rFonts w:ascii="Times New Roman" w:eastAsia="方正仿宋_GBK" w:hAnsi="Times New Roman"/>
          <w:bCs/>
          <w:szCs w:val="32"/>
        </w:rPr>
        <w:t>1</w:t>
      </w:r>
      <w:r>
        <w:rPr>
          <w:rFonts w:ascii="Times New Roman" w:eastAsia="方正仿宋_GBK" w:hAnsi="Times New Roman"/>
          <w:bCs/>
          <w:szCs w:val="32"/>
        </w:rPr>
        <w:t>办公楼负一楼卫生间普遍存在漏水严重、气味较重等现象，严重影响办公环境。我局通过反复调研，邀请专业团队设计、施工，对负一楼卫生间进行了改造，彻底解决了防水层失效、管道外露、排气系统和设施设备老化等问题，获得</w:t>
      </w:r>
      <w:proofErr w:type="gramStart"/>
      <w:r>
        <w:rPr>
          <w:rFonts w:ascii="Times New Roman" w:eastAsia="方正仿宋_GBK" w:hAnsi="Times New Roman"/>
          <w:bCs/>
          <w:szCs w:val="32"/>
        </w:rPr>
        <w:t>干职工</w:t>
      </w:r>
      <w:proofErr w:type="gramEnd"/>
      <w:r>
        <w:rPr>
          <w:rFonts w:ascii="Times New Roman" w:eastAsia="方正仿宋_GBK" w:hAnsi="Times New Roman"/>
          <w:bCs/>
          <w:szCs w:val="32"/>
        </w:rPr>
        <w:t>一致好评。</w:t>
      </w:r>
    </w:p>
    <w:p w:rsidR="00A80DE8" w:rsidRDefault="00BB5C52">
      <w:pPr>
        <w:overflowPunct w:val="0"/>
        <w:spacing w:line="600" w:lineRule="exact"/>
        <w:ind w:firstLineChars="200" w:firstLine="640"/>
        <w:rPr>
          <w:rFonts w:ascii="Times New Roman" w:eastAsia="方正黑体_GBK" w:hAnsi="Times New Roman"/>
          <w:szCs w:val="32"/>
        </w:rPr>
      </w:pPr>
      <w:r>
        <w:rPr>
          <w:rFonts w:ascii="Times New Roman" w:eastAsia="方正黑体_GBK" w:hAnsi="Times New Roman"/>
          <w:szCs w:val="32"/>
        </w:rPr>
        <w:t>三、政府性基金预算支出情况</w:t>
      </w:r>
    </w:p>
    <w:p w:rsidR="00A80DE8" w:rsidRDefault="00BB5C52">
      <w:pPr>
        <w:overflowPunct w:val="0"/>
        <w:spacing w:line="600" w:lineRule="exact"/>
        <w:ind w:firstLineChars="200" w:firstLine="640"/>
        <w:rPr>
          <w:rFonts w:ascii="Times New Roman" w:eastAsia="方正仿宋_GBK" w:hAnsi="Times New Roman"/>
          <w:szCs w:val="32"/>
        </w:rPr>
      </w:pPr>
      <w:r>
        <w:rPr>
          <w:rFonts w:ascii="Times New Roman" w:eastAsia="方正仿宋_GBK" w:hAnsi="Times New Roman"/>
          <w:szCs w:val="32"/>
        </w:rPr>
        <w:t>2023</w:t>
      </w:r>
      <w:r>
        <w:rPr>
          <w:rFonts w:ascii="Times New Roman" w:eastAsia="方正仿宋_GBK" w:hAnsi="Times New Roman"/>
          <w:szCs w:val="32"/>
        </w:rPr>
        <w:t>年度市机关事务管理局无政府性基金预算收入，无政府性基金预算支出。</w:t>
      </w:r>
    </w:p>
    <w:p w:rsidR="00A80DE8" w:rsidRDefault="00BB5C52">
      <w:pPr>
        <w:overflowPunct w:val="0"/>
        <w:spacing w:line="600" w:lineRule="exact"/>
        <w:ind w:firstLineChars="200" w:firstLine="640"/>
        <w:rPr>
          <w:rFonts w:ascii="Times New Roman" w:eastAsia="方正黑体_GBK" w:hAnsi="Times New Roman"/>
          <w:szCs w:val="32"/>
        </w:rPr>
      </w:pPr>
      <w:r>
        <w:rPr>
          <w:rFonts w:ascii="Times New Roman" w:eastAsia="方正黑体_GBK" w:hAnsi="Times New Roman"/>
          <w:szCs w:val="32"/>
        </w:rPr>
        <w:t>四、国有资本经营预算支出情况</w:t>
      </w:r>
    </w:p>
    <w:p w:rsidR="00A80DE8" w:rsidRDefault="00BB5C52">
      <w:pPr>
        <w:overflowPunct w:val="0"/>
        <w:spacing w:line="600" w:lineRule="exact"/>
        <w:ind w:firstLineChars="200" w:firstLine="640"/>
        <w:rPr>
          <w:rFonts w:ascii="Times New Roman" w:eastAsia="方正仿宋_GBK" w:hAnsi="Times New Roman"/>
          <w:szCs w:val="32"/>
        </w:rPr>
      </w:pPr>
      <w:r>
        <w:rPr>
          <w:rFonts w:ascii="Times New Roman" w:eastAsia="方正仿宋_GBK" w:hAnsi="Times New Roman"/>
          <w:szCs w:val="32"/>
        </w:rPr>
        <w:t>2023</w:t>
      </w:r>
      <w:r>
        <w:rPr>
          <w:rFonts w:ascii="Times New Roman" w:eastAsia="方正仿宋_GBK" w:hAnsi="Times New Roman"/>
          <w:szCs w:val="32"/>
        </w:rPr>
        <w:t>年度市机关事务管理局无国有资本经营预算收入，无国有资本经营预算支出。</w:t>
      </w:r>
    </w:p>
    <w:p w:rsidR="00A80DE8" w:rsidRDefault="00BB5C52">
      <w:pPr>
        <w:overflowPunct w:val="0"/>
        <w:spacing w:line="600" w:lineRule="exact"/>
        <w:ind w:firstLineChars="200" w:firstLine="640"/>
        <w:rPr>
          <w:rFonts w:ascii="Times New Roman" w:eastAsia="方正黑体_GBK" w:hAnsi="Times New Roman"/>
          <w:szCs w:val="32"/>
        </w:rPr>
      </w:pPr>
      <w:r>
        <w:rPr>
          <w:rFonts w:ascii="Times New Roman" w:eastAsia="方正黑体_GBK" w:hAnsi="Times New Roman"/>
          <w:szCs w:val="32"/>
        </w:rPr>
        <w:t>五、社会保险基金预算支出情况</w:t>
      </w:r>
    </w:p>
    <w:p w:rsidR="00A80DE8" w:rsidRDefault="00BB5C52">
      <w:pPr>
        <w:overflowPunct w:val="0"/>
        <w:spacing w:line="600" w:lineRule="exact"/>
        <w:ind w:firstLineChars="200" w:firstLine="640"/>
        <w:rPr>
          <w:rFonts w:ascii="Times New Roman" w:eastAsia="方正仿宋_GBK" w:hAnsi="Times New Roman"/>
          <w:szCs w:val="32"/>
        </w:rPr>
      </w:pPr>
      <w:r>
        <w:rPr>
          <w:rFonts w:ascii="Times New Roman" w:eastAsia="方正仿宋_GBK" w:hAnsi="Times New Roman"/>
          <w:szCs w:val="32"/>
        </w:rPr>
        <w:t>2023</w:t>
      </w:r>
      <w:r>
        <w:rPr>
          <w:rFonts w:ascii="Times New Roman" w:eastAsia="方正仿宋_GBK" w:hAnsi="Times New Roman"/>
          <w:szCs w:val="32"/>
        </w:rPr>
        <w:t>年度市机关事务管理局无社会保险基金预算收入，无社会保险基金预算支出。</w:t>
      </w:r>
    </w:p>
    <w:p w:rsidR="00A80DE8" w:rsidRDefault="00BB5C52">
      <w:pPr>
        <w:overflowPunct w:val="0"/>
        <w:spacing w:line="600" w:lineRule="exact"/>
        <w:ind w:firstLineChars="200" w:firstLine="640"/>
        <w:rPr>
          <w:rFonts w:ascii="Times New Roman" w:eastAsia="方正黑体_GBK" w:hAnsi="Times New Roman"/>
          <w:szCs w:val="32"/>
        </w:rPr>
      </w:pPr>
      <w:r>
        <w:rPr>
          <w:rFonts w:ascii="Times New Roman" w:eastAsia="方正黑体_GBK" w:hAnsi="Times New Roman"/>
          <w:szCs w:val="32"/>
        </w:rPr>
        <w:t>六、部门整体支出绩效情况</w:t>
      </w:r>
    </w:p>
    <w:p w:rsidR="00A80DE8" w:rsidRDefault="00BB5C52">
      <w:pPr>
        <w:overflowPunct w:val="0"/>
        <w:adjustRightInd w:val="0"/>
        <w:snapToGrid w:val="0"/>
        <w:spacing w:line="600" w:lineRule="exact"/>
        <w:ind w:firstLineChars="200" w:firstLine="643"/>
        <w:rPr>
          <w:rFonts w:ascii="Times New Roman" w:eastAsia="方正仿宋_GBK" w:hAnsi="Times New Roman"/>
          <w:kern w:val="0"/>
          <w:szCs w:val="32"/>
        </w:rPr>
      </w:pPr>
      <w:r>
        <w:rPr>
          <w:rFonts w:ascii="Times New Roman" w:eastAsia="方正仿宋_GBK" w:hAnsi="Times New Roman"/>
          <w:b/>
          <w:bCs/>
          <w:szCs w:val="32"/>
        </w:rPr>
        <w:t>总体效果：</w:t>
      </w:r>
      <w:r>
        <w:rPr>
          <w:rFonts w:ascii="Times New Roman" w:eastAsia="方正仿宋_GBK" w:hAnsi="Times New Roman"/>
          <w:szCs w:val="32"/>
        </w:rPr>
        <w:t>国有资产集中统一管理机制基本建立，标准化制度体系全面建成，一体化信息服务平台全面铺开，</w:t>
      </w:r>
      <w:r>
        <w:rPr>
          <w:rFonts w:ascii="Times New Roman" w:eastAsia="方正仿宋_GBK" w:hAnsi="Times New Roman"/>
          <w:kern w:val="0"/>
          <w:szCs w:val="32"/>
        </w:rPr>
        <w:t>公共机构垃圾分类工作获</w:t>
      </w:r>
      <w:proofErr w:type="gramStart"/>
      <w:r>
        <w:rPr>
          <w:rFonts w:ascii="Times New Roman" w:eastAsia="方正仿宋_GBK" w:hAnsi="Times New Roman"/>
          <w:kern w:val="0"/>
          <w:szCs w:val="32"/>
        </w:rPr>
        <w:t>评全省</w:t>
      </w:r>
      <w:proofErr w:type="gramEnd"/>
      <w:r>
        <w:rPr>
          <w:rFonts w:ascii="Times New Roman" w:eastAsia="方正仿宋_GBK" w:hAnsi="Times New Roman"/>
          <w:kern w:val="0"/>
          <w:szCs w:val="32"/>
        </w:rPr>
        <w:t>第</w:t>
      </w:r>
      <w:r>
        <w:rPr>
          <w:rFonts w:ascii="Times New Roman" w:eastAsia="方正仿宋_GBK" w:hAnsi="Times New Roman"/>
          <w:kern w:val="0"/>
          <w:szCs w:val="32"/>
        </w:rPr>
        <w:t>1</w:t>
      </w:r>
      <w:r>
        <w:rPr>
          <w:rFonts w:ascii="Times New Roman" w:eastAsia="方正仿宋_GBK" w:hAnsi="Times New Roman"/>
          <w:kern w:val="0"/>
          <w:szCs w:val="32"/>
        </w:rPr>
        <w:t>名，办公用房管理工作进入全省前</w:t>
      </w:r>
      <w:r>
        <w:rPr>
          <w:rFonts w:ascii="Times New Roman" w:eastAsia="方正仿宋_GBK" w:hAnsi="Times New Roman"/>
          <w:kern w:val="0"/>
          <w:szCs w:val="32"/>
        </w:rPr>
        <w:t>3</w:t>
      </w:r>
      <w:r>
        <w:rPr>
          <w:rFonts w:ascii="Times New Roman" w:eastAsia="方正仿宋_GBK" w:hAnsi="Times New Roman"/>
          <w:kern w:val="0"/>
          <w:szCs w:val="32"/>
        </w:rPr>
        <w:t>名，多篇经验材料被新华网、国管局刊发，初步实现市政府主要领导批示要求的</w:t>
      </w:r>
      <w:r>
        <w:rPr>
          <w:rFonts w:ascii="Times New Roman" w:eastAsia="方正仿宋_GBK" w:hAnsi="Times New Roman" w:hint="eastAsia"/>
          <w:kern w:val="0"/>
          <w:szCs w:val="32"/>
        </w:rPr>
        <w:t>“</w:t>
      </w:r>
      <w:r>
        <w:rPr>
          <w:rFonts w:ascii="Times New Roman" w:eastAsia="方正仿宋_GBK" w:hAnsi="Times New Roman"/>
          <w:szCs w:val="32"/>
        </w:rPr>
        <w:t>力争抓出益阳特色，形成益阳经验</w:t>
      </w:r>
      <w:r>
        <w:rPr>
          <w:rFonts w:ascii="Times New Roman" w:eastAsia="方正仿宋_GBK" w:hAnsi="Times New Roman" w:hint="eastAsia"/>
          <w:kern w:val="0"/>
          <w:szCs w:val="32"/>
        </w:rPr>
        <w:t>”</w:t>
      </w:r>
      <w:r>
        <w:rPr>
          <w:rFonts w:ascii="Times New Roman" w:eastAsia="方正仿宋_GBK" w:hAnsi="Times New Roman"/>
          <w:kern w:val="0"/>
          <w:szCs w:val="32"/>
        </w:rPr>
        <w:t>目标。</w:t>
      </w:r>
    </w:p>
    <w:p w:rsidR="00A80DE8" w:rsidRDefault="00BB5C52">
      <w:pPr>
        <w:overflowPunct w:val="0"/>
        <w:adjustRightInd w:val="0"/>
        <w:snapToGrid w:val="0"/>
        <w:spacing w:line="600" w:lineRule="exact"/>
        <w:ind w:firstLineChars="200" w:firstLine="643"/>
        <w:rPr>
          <w:rFonts w:ascii="Times New Roman" w:eastAsia="方正黑体_GBK" w:hAnsi="Times New Roman"/>
          <w:szCs w:val="32"/>
        </w:rPr>
      </w:pPr>
      <w:r>
        <w:rPr>
          <w:rFonts w:ascii="Times New Roman" w:eastAsia="方正仿宋_GBK" w:hAnsi="Times New Roman"/>
          <w:b/>
          <w:bCs/>
          <w:szCs w:val="32"/>
        </w:rPr>
        <w:t>办公室工作：</w:t>
      </w:r>
      <w:r>
        <w:rPr>
          <w:rFonts w:ascii="Times New Roman" w:eastAsia="方正仿宋_GBK" w:hAnsi="Times New Roman"/>
          <w:kern w:val="0"/>
          <w:szCs w:val="32"/>
        </w:rPr>
        <w:t>全面构建机关事务发展总体框架，推进集中统</w:t>
      </w:r>
      <w:r>
        <w:rPr>
          <w:rFonts w:ascii="Times New Roman" w:eastAsia="方正仿宋_GBK" w:hAnsi="Times New Roman"/>
          <w:kern w:val="0"/>
          <w:szCs w:val="32"/>
        </w:rPr>
        <w:lastRenderedPageBreak/>
        <w:t>一管理，建成标准化制度体系，提升信息化服务能力。</w:t>
      </w:r>
      <w:r>
        <w:rPr>
          <w:rFonts w:ascii="Times New Roman" w:eastAsia="方正仿宋_GBK" w:hAnsi="Times New Roman"/>
          <w:kern w:val="0"/>
          <w:szCs w:val="32"/>
          <w:shd w:val="clear" w:color="auto" w:fill="FFFFFF"/>
        </w:rPr>
        <w:t>召开党组会议</w:t>
      </w:r>
      <w:r>
        <w:rPr>
          <w:rFonts w:ascii="Times New Roman" w:eastAsia="方正仿宋_GBK" w:hAnsi="Times New Roman"/>
          <w:kern w:val="0"/>
          <w:szCs w:val="32"/>
          <w:shd w:val="clear" w:color="auto" w:fill="FFFFFF"/>
        </w:rPr>
        <w:t>29</w:t>
      </w:r>
      <w:r>
        <w:rPr>
          <w:rFonts w:ascii="Times New Roman" w:eastAsia="方正仿宋_GBK" w:hAnsi="Times New Roman"/>
          <w:kern w:val="0"/>
          <w:szCs w:val="32"/>
          <w:shd w:val="clear" w:color="auto" w:fill="FFFFFF"/>
        </w:rPr>
        <w:t>次，</w:t>
      </w:r>
      <w:r>
        <w:rPr>
          <w:rFonts w:ascii="Times New Roman" w:eastAsia="方正仿宋_GBK" w:hAnsi="Times New Roman"/>
          <w:szCs w:val="32"/>
        </w:rPr>
        <w:t>多篇调研报告在国管局、省局、市委办、市政府办刊发。履行好乡村振兴后盾单位</w:t>
      </w:r>
      <w:r>
        <w:rPr>
          <w:rFonts w:ascii="Times New Roman" w:eastAsia="方正仿宋_GBK" w:hAnsi="Times New Roman"/>
          <w:spacing w:val="-11"/>
          <w:szCs w:val="32"/>
        </w:rPr>
        <w:t>职责。</w:t>
      </w:r>
    </w:p>
    <w:p w:rsidR="00A80DE8" w:rsidRDefault="00BB5C52">
      <w:pPr>
        <w:pStyle w:val="a5"/>
        <w:widowControl w:val="0"/>
        <w:overflowPunct w:val="0"/>
        <w:adjustRightInd w:val="0"/>
        <w:snapToGrid w:val="0"/>
        <w:spacing w:before="0" w:beforeAutospacing="0" w:after="0" w:afterAutospacing="0" w:line="600" w:lineRule="exact"/>
        <w:ind w:firstLineChars="200" w:firstLine="643"/>
        <w:jc w:val="both"/>
        <w:rPr>
          <w:rFonts w:ascii="Times New Roman" w:eastAsia="方正仿宋_GBK" w:hAnsi="Times New Roman" w:cs="Times New Roman"/>
          <w:sz w:val="32"/>
          <w:szCs w:val="32"/>
        </w:rPr>
      </w:pPr>
      <w:r>
        <w:rPr>
          <w:rFonts w:ascii="Times New Roman" w:eastAsia="方正仿宋_GBK" w:hAnsi="Times New Roman" w:cs="Times New Roman"/>
          <w:b/>
          <w:bCs/>
          <w:kern w:val="2"/>
          <w:sz w:val="32"/>
          <w:szCs w:val="32"/>
        </w:rPr>
        <w:t>党建工作：</w:t>
      </w:r>
      <w:r>
        <w:rPr>
          <w:rFonts w:ascii="Times New Roman" w:eastAsia="方正仿宋_GBK" w:hAnsi="Times New Roman" w:cs="Times New Roman"/>
          <w:sz w:val="32"/>
          <w:szCs w:val="32"/>
        </w:rPr>
        <w:t>铸</w:t>
      </w:r>
      <w:proofErr w:type="gramStart"/>
      <w:r>
        <w:rPr>
          <w:rFonts w:ascii="Times New Roman" w:eastAsia="方正仿宋_GBK" w:hAnsi="Times New Roman" w:cs="Times New Roman"/>
          <w:sz w:val="32"/>
          <w:szCs w:val="32"/>
        </w:rPr>
        <w:t>牢政治</w:t>
      </w:r>
      <w:proofErr w:type="gramEnd"/>
      <w:r>
        <w:rPr>
          <w:rFonts w:ascii="Times New Roman" w:eastAsia="方正仿宋_GBK" w:hAnsi="Times New Roman" w:cs="Times New Roman"/>
          <w:sz w:val="32"/>
          <w:szCs w:val="32"/>
        </w:rPr>
        <w:t>忠诚，把政治性作为机关事务工作第一属性，</w:t>
      </w:r>
      <w:r>
        <w:rPr>
          <w:rFonts w:ascii="Times New Roman" w:eastAsia="方正仿宋_GBK" w:hAnsi="Times New Roman" w:cs="Times New Roman"/>
          <w:sz w:val="32"/>
          <w:szCs w:val="32"/>
          <w:shd w:val="clear" w:color="auto" w:fill="FFFFFF"/>
        </w:rPr>
        <w:t>执行</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第一议题</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制度，加强意识形态工作。</w:t>
      </w:r>
      <w:r>
        <w:rPr>
          <w:rFonts w:ascii="Times New Roman" w:eastAsia="方正仿宋_GBK" w:hAnsi="Times New Roman" w:cs="Times New Roman"/>
          <w:sz w:val="32"/>
          <w:szCs w:val="32"/>
        </w:rPr>
        <w:t>大兴调查研究，深入</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个基层单位调研</w:t>
      </w:r>
      <w:r>
        <w:rPr>
          <w:rFonts w:ascii="Times New Roman" w:eastAsia="方正仿宋_GBK" w:hAnsi="Times New Roman" w:cs="Times New Roman"/>
          <w:sz w:val="32"/>
          <w:szCs w:val="32"/>
        </w:rPr>
        <w:t>166</w:t>
      </w:r>
      <w:r>
        <w:rPr>
          <w:rFonts w:ascii="Times New Roman" w:eastAsia="方正仿宋_GBK" w:hAnsi="Times New Roman" w:cs="Times New Roman"/>
          <w:sz w:val="32"/>
          <w:szCs w:val="32"/>
        </w:rPr>
        <w:t>次、解决问题</w:t>
      </w:r>
      <w:r>
        <w:rPr>
          <w:rFonts w:ascii="Times New Roman" w:eastAsia="方正仿宋_GBK" w:hAnsi="Times New Roman" w:cs="Times New Roman"/>
          <w:sz w:val="32"/>
          <w:szCs w:val="32"/>
        </w:rPr>
        <w:t>66</w:t>
      </w:r>
      <w:r>
        <w:rPr>
          <w:rFonts w:ascii="Times New Roman" w:eastAsia="方正仿宋_GBK" w:hAnsi="Times New Roman" w:cs="Times New Roman"/>
          <w:sz w:val="32"/>
          <w:szCs w:val="32"/>
        </w:rPr>
        <w:t>个，牵头整改省委巡视、审计反馈问题各</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w:t>
      </w:r>
      <w:r>
        <w:rPr>
          <w:rFonts w:ascii="Times New Roman" w:eastAsia="方正仿宋_GBK" w:hAnsi="Times New Roman" w:cs="Times New Roman"/>
          <w:sz w:val="32"/>
          <w:szCs w:val="32"/>
          <w:shd w:val="clear" w:color="auto" w:fill="FFFFFF"/>
        </w:rPr>
        <w:t>。</w:t>
      </w:r>
    </w:p>
    <w:p w:rsidR="00A80DE8" w:rsidRDefault="00BB5C52">
      <w:pPr>
        <w:overflowPunct w:val="0"/>
        <w:adjustRightInd w:val="0"/>
        <w:snapToGrid w:val="0"/>
        <w:spacing w:line="600" w:lineRule="exact"/>
        <w:ind w:firstLineChars="200" w:firstLine="643"/>
        <w:rPr>
          <w:rFonts w:ascii="Times New Roman" w:eastAsia="方正仿宋_GBK" w:hAnsi="Times New Roman"/>
          <w:szCs w:val="32"/>
        </w:rPr>
      </w:pPr>
      <w:r>
        <w:rPr>
          <w:rFonts w:ascii="Times New Roman" w:eastAsia="方正仿宋_GBK" w:hAnsi="Times New Roman"/>
          <w:b/>
          <w:bCs/>
          <w:szCs w:val="32"/>
        </w:rPr>
        <w:t>纪检监察工作：</w:t>
      </w:r>
      <w:r>
        <w:rPr>
          <w:rFonts w:ascii="Times New Roman" w:eastAsia="方正仿宋_GBK" w:hAnsi="Times New Roman"/>
          <w:szCs w:val="32"/>
        </w:rPr>
        <w:t>制定实施</w:t>
      </w:r>
      <w:r>
        <w:rPr>
          <w:rFonts w:ascii="Times New Roman" w:eastAsia="方正仿宋_GBK" w:hAnsi="Times New Roman"/>
          <w:kern w:val="0"/>
          <w:szCs w:val="32"/>
          <w:shd w:val="clear" w:color="auto" w:fill="FFFFFF"/>
        </w:rPr>
        <w:t>创建</w:t>
      </w:r>
      <w:r>
        <w:rPr>
          <w:rFonts w:ascii="Times New Roman" w:eastAsia="方正仿宋_GBK" w:hAnsi="Times New Roman" w:hint="eastAsia"/>
          <w:kern w:val="0"/>
          <w:szCs w:val="32"/>
          <w:shd w:val="clear" w:color="auto" w:fill="FFFFFF"/>
        </w:rPr>
        <w:t>“</w:t>
      </w:r>
      <w:r>
        <w:rPr>
          <w:rFonts w:ascii="Times New Roman" w:eastAsia="方正仿宋_GBK" w:hAnsi="Times New Roman"/>
          <w:kern w:val="0"/>
          <w:szCs w:val="32"/>
          <w:shd w:val="clear" w:color="auto" w:fill="FFFFFF"/>
        </w:rPr>
        <w:t>红色廉管</w:t>
      </w:r>
      <w:r>
        <w:rPr>
          <w:rFonts w:ascii="Times New Roman" w:eastAsia="方正仿宋_GBK" w:hAnsi="Times New Roman"/>
          <w:szCs w:val="32"/>
        </w:rPr>
        <w:t>家</w:t>
      </w:r>
      <w:r>
        <w:rPr>
          <w:rFonts w:ascii="Times New Roman" w:eastAsia="方正仿宋_GBK" w:hAnsi="Times New Roman" w:hint="eastAsia"/>
          <w:szCs w:val="32"/>
        </w:rPr>
        <w:t>”</w:t>
      </w:r>
      <w:r>
        <w:rPr>
          <w:rFonts w:ascii="Times New Roman" w:eastAsia="方正仿宋_GBK" w:hAnsi="Times New Roman"/>
          <w:szCs w:val="32"/>
        </w:rPr>
        <w:t>品牌方案</w:t>
      </w:r>
      <w:r>
        <w:rPr>
          <w:rFonts w:ascii="Times New Roman" w:eastAsia="方正仿宋_GBK" w:hAnsi="Times New Roman"/>
          <w:kern w:val="0"/>
          <w:szCs w:val="32"/>
          <w:shd w:val="clear" w:color="auto" w:fill="FFFFFF"/>
        </w:rPr>
        <w:t>，落实</w:t>
      </w:r>
      <w:r>
        <w:rPr>
          <w:rFonts w:ascii="Times New Roman" w:eastAsia="方正仿宋_GBK" w:hAnsi="Times New Roman" w:hint="eastAsia"/>
          <w:kern w:val="0"/>
          <w:szCs w:val="32"/>
          <w:shd w:val="clear" w:color="auto" w:fill="FFFFFF"/>
        </w:rPr>
        <w:t>“</w:t>
      </w:r>
      <w:r>
        <w:rPr>
          <w:rFonts w:ascii="Times New Roman" w:eastAsia="方正仿宋_GBK" w:hAnsi="Times New Roman"/>
          <w:kern w:val="0"/>
          <w:szCs w:val="32"/>
          <w:shd w:val="clear" w:color="auto" w:fill="FFFFFF"/>
        </w:rPr>
        <w:t>345</w:t>
      </w:r>
      <w:r>
        <w:rPr>
          <w:rFonts w:ascii="Times New Roman" w:eastAsia="方正仿宋_GBK" w:hAnsi="Times New Roman" w:hint="eastAsia"/>
          <w:kern w:val="0"/>
          <w:szCs w:val="32"/>
          <w:shd w:val="clear" w:color="auto" w:fill="FFFFFF"/>
        </w:rPr>
        <w:t>”</w:t>
      </w:r>
      <w:r>
        <w:rPr>
          <w:rFonts w:ascii="Times New Roman" w:eastAsia="方正仿宋_GBK" w:hAnsi="Times New Roman"/>
          <w:kern w:val="0"/>
          <w:szCs w:val="32"/>
          <w:shd w:val="clear" w:color="auto" w:fill="FFFFFF"/>
        </w:rPr>
        <w:t>创建措施</w:t>
      </w:r>
      <w:r>
        <w:rPr>
          <w:rFonts w:ascii="Times New Roman" w:eastAsia="方正仿宋_GBK" w:hAnsi="Times New Roman"/>
          <w:spacing w:val="-6"/>
          <w:kern w:val="0"/>
          <w:szCs w:val="32"/>
          <w:shd w:val="clear" w:color="auto" w:fill="FFFFFF"/>
        </w:rPr>
        <w:t>，在</w:t>
      </w:r>
      <w:r>
        <w:rPr>
          <w:rFonts w:ascii="Times New Roman" w:eastAsia="方正仿宋_GBK" w:hAnsi="Times New Roman"/>
          <w:kern w:val="0"/>
          <w:szCs w:val="32"/>
          <w:shd w:val="clear" w:color="auto" w:fill="FFFFFF"/>
        </w:rPr>
        <w:t>市级以上媒体刊发廉政文稿</w:t>
      </w:r>
      <w:r>
        <w:rPr>
          <w:rFonts w:ascii="Times New Roman" w:eastAsia="方正仿宋_GBK" w:hAnsi="Times New Roman"/>
          <w:kern w:val="0"/>
          <w:szCs w:val="32"/>
          <w:shd w:val="clear" w:color="auto" w:fill="FFFFFF"/>
        </w:rPr>
        <w:t>12</w:t>
      </w:r>
      <w:r>
        <w:rPr>
          <w:rFonts w:ascii="Times New Roman" w:eastAsia="方正仿宋_GBK" w:hAnsi="Times New Roman"/>
          <w:kern w:val="0"/>
          <w:szCs w:val="32"/>
          <w:shd w:val="clear" w:color="auto" w:fill="FFFFFF"/>
        </w:rPr>
        <w:t>篇，其中</w:t>
      </w:r>
      <w:r>
        <w:rPr>
          <w:rFonts w:ascii="Times New Roman" w:eastAsia="方正仿宋_GBK" w:hAnsi="Times New Roman" w:hint="eastAsia"/>
          <w:kern w:val="0"/>
          <w:szCs w:val="32"/>
          <w:shd w:val="clear" w:color="auto" w:fill="FFFFFF"/>
        </w:rPr>
        <w:t>“</w:t>
      </w:r>
      <w:r>
        <w:rPr>
          <w:rFonts w:ascii="Times New Roman" w:eastAsia="方正仿宋_GBK" w:hAnsi="Times New Roman"/>
          <w:kern w:val="0"/>
          <w:szCs w:val="32"/>
          <w:shd w:val="clear" w:color="auto" w:fill="FFFFFF"/>
        </w:rPr>
        <w:t>新华网</w:t>
      </w:r>
      <w:r>
        <w:rPr>
          <w:rFonts w:ascii="Times New Roman" w:eastAsia="方正仿宋_GBK" w:hAnsi="Times New Roman" w:hint="eastAsia"/>
          <w:kern w:val="0"/>
          <w:szCs w:val="32"/>
          <w:shd w:val="clear" w:color="auto" w:fill="FFFFFF"/>
        </w:rPr>
        <w:t>”</w:t>
      </w:r>
      <w:r>
        <w:rPr>
          <w:rFonts w:ascii="Times New Roman" w:eastAsia="方正仿宋_GBK" w:hAnsi="Times New Roman"/>
          <w:kern w:val="0"/>
          <w:szCs w:val="32"/>
          <w:shd w:val="clear" w:color="auto" w:fill="FFFFFF"/>
        </w:rPr>
        <w:t>刊发</w:t>
      </w:r>
      <w:r>
        <w:rPr>
          <w:rFonts w:ascii="Times New Roman" w:eastAsia="方正仿宋_GBK" w:hAnsi="Times New Roman"/>
          <w:kern w:val="0"/>
          <w:szCs w:val="32"/>
          <w:shd w:val="clear" w:color="auto" w:fill="FFFFFF"/>
        </w:rPr>
        <w:t>1</w:t>
      </w:r>
      <w:r>
        <w:rPr>
          <w:rFonts w:ascii="Times New Roman" w:eastAsia="方正仿宋_GBK" w:hAnsi="Times New Roman"/>
          <w:kern w:val="0"/>
          <w:szCs w:val="32"/>
          <w:shd w:val="clear" w:color="auto" w:fill="FFFFFF"/>
        </w:rPr>
        <w:t>篇。常态化推进</w:t>
      </w:r>
      <w:r>
        <w:rPr>
          <w:rFonts w:ascii="Times New Roman" w:eastAsia="方正仿宋_GBK" w:hAnsi="Times New Roman" w:hint="eastAsia"/>
          <w:kern w:val="0"/>
          <w:szCs w:val="32"/>
          <w:shd w:val="clear" w:color="auto" w:fill="FFFFFF"/>
        </w:rPr>
        <w:t>“</w:t>
      </w:r>
      <w:r>
        <w:rPr>
          <w:rFonts w:ascii="Times New Roman" w:eastAsia="方正仿宋_GBK" w:hAnsi="Times New Roman"/>
          <w:kern w:val="0"/>
          <w:szCs w:val="32"/>
          <w:shd w:val="clear" w:color="auto" w:fill="FFFFFF"/>
        </w:rPr>
        <w:t>法治政府</w:t>
      </w:r>
      <w:r>
        <w:rPr>
          <w:rFonts w:ascii="Times New Roman" w:eastAsia="方正仿宋_GBK" w:hAnsi="Times New Roman" w:hint="eastAsia"/>
          <w:kern w:val="0"/>
          <w:szCs w:val="32"/>
          <w:shd w:val="clear" w:color="auto" w:fill="FFFFFF"/>
        </w:rPr>
        <w:t>”</w:t>
      </w:r>
      <w:r>
        <w:rPr>
          <w:rFonts w:ascii="Times New Roman" w:eastAsia="方正仿宋_GBK" w:hAnsi="Times New Roman"/>
          <w:kern w:val="0"/>
          <w:szCs w:val="32"/>
          <w:shd w:val="clear" w:color="auto" w:fill="FFFFFF"/>
        </w:rPr>
        <w:t>建设和</w:t>
      </w:r>
      <w:r>
        <w:rPr>
          <w:rFonts w:ascii="Times New Roman" w:eastAsia="方正仿宋_GBK" w:hAnsi="Times New Roman"/>
          <w:szCs w:val="32"/>
        </w:rPr>
        <w:t>廉政风险排查，营造了机关清正廉洁氛围。</w:t>
      </w:r>
    </w:p>
    <w:p w:rsidR="00A80DE8" w:rsidRDefault="00BB5C52">
      <w:pPr>
        <w:overflowPunct w:val="0"/>
        <w:adjustRightInd w:val="0"/>
        <w:snapToGrid w:val="0"/>
        <w:spacing w:line="600" w:lineRule="exact"/>
        <w:ind w:firstLineChars="200" w:firstLine="643"/>
        <w:rPr>
          <w:rFonts w:ascii="Times New Roman" w:hAnsi="Times New Roman"/>
          <w:szCs w:val="32"/>
        </w:rPr>
      </w:pPr>
      <w:r>
        <w:rPr>
          <w:rFonts w:ascii="Times New Roman" w:eastAsia="方正仿宋_GBK" w:hAnsi="Times New Roman"/>
          <w:b/>
          <w:bCs/>
          <w:szCs w:val="32"/>
        </w:rPr>
        <w:t>政工人事工作：</w:t>
      </w:r>
      <w:r>
        <w:rPr>
          <w:rFonts w:ascii="Times New Roman" w:eastAsia="方正仿宋_GBK" w:hAnsi="Times New Roman"/>
          <w:kern w:val="0"/>
          <w:szCs w:val="32"/>
          <w:shd w:val="clear" w:color="auto" w:fill="FFFFFF"/>
        </w:rPr>
        <w:t>选优配强支部班子，指导</w:t>
      </w:r>
      <w:r>
        <w:rPr>
          <w:rFonts w:ascii="Times New Roman" w:eastAsia="方正仿宋_GBK" w:hAnsi="Times New Roman"/>
          <w:kern w:val="0"/>
          <w:szCs w:val="32"/>
          <w:shd w:val="clear" w:color="auto" w:fill="FFFFFF"/>
        </w:rPr>
        <w:t>3</w:t>
      </w:r>
      <w:r>
        <w:rPr>
          <w:rFonts w:ascii="Times New Roman" w:eastAsia="方正仿宋_GBK" w:hAnsi="Times New Roman"/>
          <w:kern w:val="0"/>
          <w:szCs w:val="32"/>
          <w:shd w:val="clear" w:color="auto" w:fill="FFFFFF"/>
        </w:rPr>
        <w:t>个支部完成换届选举，接收预备党员</w:t>
      </w:r>
      <w:r>
        <w:rPr>
          <w:rFonts w:ascii="Times New Roman" w:eastAsia="方正仿宋_GBK" w:hAnsi="Times New Roman"/>
          <w:kern w:val="0"/>
          <w:szCs w:val="32"/>
          <w:shd w:val="clear" w:color="auto" w:fill="FFFFFF"/>
        </w:rPr>
        <w:t>1</w:t>
      </w:r>
      <w:r>
        <w:rPr>
          <w:rFonts w:ascii="Times New Roman" w:eastAsia="方正仿宋_GBK" w:hAnsi="Times New Roman"/>
          <w:kern w:val="0"/>
          <w:szCs w:val="32"/>
          <w:shd w:val="clear" w:color="auto" w:fill="FFFFFF"/>
        </w:rPr>
        <w:t>名。年内提拔、晋职、交流、招聘人员累计</w:t>
      </w:r>
      <w:r>
        <w:rPr>
          <w:rFonts w:ascii="Times New Roman" w:eastAsia="方正仿宋_GBK" w:hAnsi="Times New Roman"/>
          <w:kern w:val="0"/>
          <w:szCs w:val="32"/>
          <w:shd w:val="clear" w:color="auto" w:fill="FFFFFF"/>
        </w:rPr>
        <w:t>11</w:t>
      </w:r>
      <w:r>
        <w:rPr>
          <w:rFonts w:ascii="Times New Roman" w:eastAsia="方正仿宋_GBK" w:hAnsi="Times New Roman"/>
          <w:kern w:val="0"/>
          <w:szCs w:val="32"/>
          <w:shd w:val="clear" w:color="auto" w:fill="FFFFFF"/>
        </w:rPr>
        <w:t>人，队伍结构进一步优化。认真开展</w:t>
      </w:r>
      <w:r>
        <w:rPr>
          <w:rFonts w:ascii="Times New Roman" w:eastAsia="方正仿宋_GBK" w:hAnsi="Times New Roman" w:hint="eastAsia"/>
          <w:kern w:val="0"/>
          <w:szCs w:val="32"/>
          <w:shd w:val="clear" w:color="auto" w:fill="FFFFFF"/>
        </w:rPr>
        <w:t>“</w:t>
      </w:r>
      <w:r>
        <w:rPr>
          <w:rFonts w:ascii="Times New Roman" w:eastAsia="方正仿宋_GBK" w:hAnsi="Times New Roman"/>
          <w:kern w:val="0"/>
          <w:szCs w:val="32"/>
          <w:shd w:val="clear" w:color="auto" w:fill="FFFFFF"/>
        </w:rPr>
        <w:t>三个提升年</w:t>
      </w:r>
      <w:r>
        <w:rPr>
          <w:rFonts w:ascii="Times New Roman" w:eastAsia="方正仿宋_GBK" w:hAnsi="Times New Roman" w:hint="eastAsia"/>
          <w:kern w:val="0"/>
          <w:szCs w:val="32"/>
          <w:shd w:val="clear" w:color="auto" w:fill="FFFFFF"/>
        </w:rPr>
        <w:t>”</w:t>
      </w:r>
      <w:r>
        <w:rPr>
          <w:rFonts w:ascii="Times New Roman" w:eastAsia="方正仿宋_GBK" w:hAnsi="Times New Roman"/>
          <w:kern w:val="0"/>
          <w:szCs w:val="32"/>
          <w:shd w:val="clear" w:color="auto" w:fill="FFFFFF"/>
        </w:rPr>
        <w:t>活动，</w:t>
      </w:r>
      <w:r>
        <w:rPr>
          <w:rFonts w:ascii="Times New Roman" w:eastAsia="方正仿宋_GBK" w:hAnsi="Times New Roman"/>
          <w:szCs w:val="32"/>
        </w:rPr>
        <w:t>队伍</w:t>
      </w:r>
      <w:proofErr w:type="gramStart"/>
      <w:r>
        <w:rPr>
          <w:rFonts w:ascii="Times New Roman" w:eastAsia="方正仿宋_GBK" w:hAnsi="Times New Roman"/>
          <w:kern w:val="0"/>
          <w:szCs w:val="32"/>
          <w:shd w:val="clear" w:color="auto" w:fill="FFFFFF"/>
        </w:rPr>
        <w:t>履</w:t>
      </w:r>
      <w:proofErr w:type="gramEnd"/>
      <w:r>
        <w:rPr>
          <w:rFonts w:ascii="Times New Roman" w:eastAsia="方正仿宋_GBK" w:hAnsi="Times New Roman"/>
          <w:kern w:val="0"/>
          <w:szCs w:val="32"/>
          <w:shd w:val="clear" w:color="auto" w:fill="FFFFFF"/>
        </w:rPr>
        <w:t>职能</w:t>
      </w:r>
      <w:proofErr w:type="gramStart"/>
      <w:r>
        <w:rPr>
          <w:rFonts w:ascii="Times New Roman" w:eastAsia="方正仿宋_GBK" w:hAnsi="Times New Roman"/>
          <w:kern w:val="0"/>
          <w:szCs w:val="32"/>
          <w:shd w:val="clear" w:color="auto" w:fill="FFFFFF"/>
        </w:rPr>
        <w:t>力全面</w:t>
      </w:r>
      <w:proofErr w:type="gramEnd"/>
      <w:r>
        <w:rPr>
          <w:rFonts w:ascii="Times New Roman" w:eastAsia="方正仿宋_GBK" w:hAnsi="Times New Roman"/>
          <w:kern w:val="0"/>
          <w:szCs w:val="32"/>
          <w:shd w:val="clear" w:color="auto" w:fill="FFFFFF"/>
        </w:rPr>
        <w:t>提升。</w:t>
      </w:r>
    </w:p>
    <w:p w:rsidR="00A80DE8" w:rsidRDefault="00BB5C52">
      <w:pPr>
        <w:overflowPunct w:val="0"/>
        <w:adjustRightInd w:val="0"/>
        <w:snapToGrid w:val="0"/>
        <w:spacing w:line="600" w:lineRule="exact"/>
        <w:ind w:firstLineChars="200" w:firstLine="643"/>
        <w:rPr>
          <w:rFonts w:ascii="Times New Roman" w:eastAsia="方正仿宋_GBK" w:hAnsi="Times New Roman"/>
          <w:kern w:val="0"/>
          <w:szCs w:val="32"/>
        </w:rPr>
      </w:pPr>
      <w:r>
        <w:rPr>
          <w:rFonts w:ascii="Times New Roman" w:eastAsia="方正仿宋_GBK" w:hAnsi="Times New Roman"/>
          <w:b/>
          <w:bCs/>
          <w:szCs w:val="32"/>
        </w:rPr>
        <w:t>国有资产管理工作：</w:t>
      </w:r>
      <w:r>
        <w:rPr>
          <w:rFonts w:ascii="Times New Roman" w:eastAsia="方正仿宋_GBK" w:hAnsi="Times New Roman"/>
          <w:kern w:val="0"/>
          <w:szCs w:val="32"/>
        </w:rPr>
        <w:t>健全资产管理体制</w:t>
      </w:r>
      <w:r>
        <w:rPr>
          <w:rFonts w:ascii="Times New Roman" w:eastAsia="方正仿宋_GBK" w:hAnsi="Times New Roman"/>
          <w:szCs w:val="32"/>
        </w:rPr>
        <w:t>，</w:t>
      </w:r>
      <w:r>
        <w:rPr>
          <w:rFonts w:ascii="Times New Roman" w:eastAsia="方正仿宋_GBK" w:hAnsi="Times New Roman"/>
          <w:kern w:val="0"/>
          <w:szCs w:val="32"/>
        </w:rPr>
        <w:t>摸清</w:t>
      </w:r>
      <w:r>
        <w:rPr>
          <w:rFonts w:ascii="Times New Roman" w:eastAsia="方正仿宋_GBK" w:hAnsi="Times New Roman"/>
          <w:kern w:val="0"/>
          <w:szCs w:val="32"/>
        </w:rPr>
        <w:t>204</w:t>
      </w:r>
      <w:r>
        <w:rPr>
          <w:rFonts w:ascii="Times New Roman" w:eastAsia="方正仿宋_GBK" w:hAnsi="Times New Roman"/>
          <w:kern w:val="0"/>
          <w:szCs w:val="32"/>
        </w:rPr>
        <w:t>家市直行政事业单位资产总额</w:t>
      </w:r>
      <w:r>
        <w:rPr>
          <w:rFonts w:ascii="Times New Roman" w:eastAsia="方正仿宋_GBK" w:hAnsi="Times New Roman"/>
          <w:kern w:val="0"/>
          <w:szCs w:val="32"/>
        </w:rPr>
        <w:t>84.09</w:t>
      </w:r>
      <w:r>
        <w:rPr>
          <w:rFonts w:ascii="Times New Roman" w:eastAsia="方正仿宋_GBK" w:hAnsi="Times New Roman"/>
          <w:kern w:val="0"/>
          <w:szCs w:val="32"/>
        </w:rPr>
        <w:t>亿元，</w:t>
      </w:r>
      <w:r>
        <w:rPr>
          <w:rFonts w:ascii="Times New Roman" w:eastAsia="方正仿宋_GBK" w:hAnsi="Times New Roman"/>
          <w:szCs w:val="32"/>
        </w:rPr>
        <w:t>盘活</w:t>
      </w:r>
      <w:r>
        <w:rPr>
          <w:rFonts w:ascii="Times New Roman" w:eastAsia="方正仿宋_GBK" w:hAnsi="Times New Roman"/>
          <w:kern w:val="0"/>
          <w:szCs w:val="32"/>
        </w:rPr>
        <w:t>闲置资产</w:t>
      </w:r>
      <w:r>
        <w:rPr>
          <w:rFonts w:ascii="Times New Roman" w:eastAsia="方正仿宋_GBK" w:hAnsi="Times New Roman"/>
          <w:kern w:val="0"/>
          <w:szCs w:val="32"/>
        </w:rPr>
        <w:t>4.74</w:t>
      </w:r>
      <w:r>
        <w:rPr>
          <w:rFonts w:ascii="Times New Roman" w:eastAsia="方正仿宋_GBK" w:hAnsi="Times New Roman"/>
          <w:kern w:val="0"/>
          <w:szCs w:val="32"/>
        </w:rPr>
        <w:t>亿元，公物仓调配办公设施、房屋等节约财政资金</w:t>
      </w:r>
      <w:r>
        <w:rPr>
          <w:rFonts w:ascii="Times New Roman" w:eastAsia="方正仿宋_GBK" w:hAnsi="Times New Roman"/>
          <w:kern w:val="0"/>
          <w:szCs w:val="32"/>
        </w:rPr>
        <w:t>398.2</w:t>
      </w:r>
      <w:r>
        <w:rPr>
          <w:rFonts w:ascii="Times New Roman" w:eastAsia="方正仿宋_GBK" w:hAnsi="Times New Roman"/>
          <w:kern w:val="0"/>
          <w:szCs w:val="32"/>
        </w:rPr>
        <w:t>万元，落实了</w:t>
      </w:r>
      <w:r>
        <w:rPr>
          <w:rFonts w:ascii="Times New Roman" w:eastAsia="方正仿宋_GBK" w:hAnsi="Times New Roman" w:hint="eastAsia"/>
          <w:kern w:val="0"/>
          <w:szCs w:val="32"/>
        </w:rPr>
        <w:t>“</w:t>
      </w:r>
      <w:r>
        <w:rPr>
          <w:rFonts w:ascii="Times New Roman" w:eastAsia="方正仿宋_GBK" w:hAnsi="Times New Roman"/>
          <w:kern w:val="0"/>
          <w:szCs w:val="32"/>
        </w:rPr>
        <w:t>过紧日子</w:t>
      </w:r>
      <w:r>
        <w:rPr>
          <w:rFonts w:ascii="Times New Roman" w:eastAsia="方正仿宋_GBK" w:hAnsi="Times New Roman" w:hint="eastAsia"/>
          <w:kern w:val="0"/>
          <w:szCs w:val="32"/>
        </w:rPr>
        <w:t>”</w:t>
      </w:r>
      <w:r>
        <w:rPr>
          <w:rFonts w:ascii="Times New Roman" w:eastAsia="方正仿宋_GBK" w:hAnsi="Times New Roman"/>
          <w:kern w:val="0"/>
          <w:szCs w:val="32"/>
        </w:rPr>
        <w:t>要求。</w:t>
      </w:r>
    </w:p>
    <w:p w:rsidR="00A80DE8" w:rsidRDefault="00BB5C52" w:rsidP="00E57EC3">
      <w:pPr>
        <w:pStyle w:val="10"/>
        <w:widowControl w:val="0"/>
        <w:overflowPunct w:val="0"/>
        <w:adjustRightInd w:val="0"/>
        <w:snapToGrid w:val="0"/>
        <w:spacing w:line="600" w:lineRule="exact"/>
        <w:ind w:firstLine="643"/>
        <w:jc w:val="both"/>
        <w:rPr>
          <w:rFonts w:eastAsia="方正仿宋_GBK"/>
          <w:sz w:val="32"/>
          <w:szCs w:val="32"/>
        </w:rPr>
      </w:pPr>
      <w:r>
        <w:rPr>
          <w:rFonts w:eastAsia="方正仿宋_GBK"/>
          <w:b/>
          <w:bCs/>
          <w:kern w:val="2"/>
          <w:sz w:val="32"/>
          <w:szCs w:val="32"/>
        </w:rPr>
        <w:t>办公用房管理：</w:t>
      </w:r>
      <w:r>
        <w:rPr>
          <w:rFonts w:eastAsia="方正仿宋_GBK"/>
          <w:sz w:val="32"/>
          <w:szCs w:val="32"/>
        </w:rPr>
        <w:t>在全省率先完成市直党政机关办公用房权属统一登记，涉及</w:t>
      </w:r>
      <w:r>
        <w:rPr>
          <w:rFonts w:eastAsia="方正仿宋_GBK"/>
          <w:sz w:val="32"/>
          <w:szCs w:val="32"/>
        </w:rPr>
        <w:t>93</w:t>
      </w:r>
      <w:r>
        <w:rPr>
          <w:rFonts w:eastAsia="方正仿宋_GBK"/>
          <w:sz w:val="32"/>
          <w:szCs w:val="32"/>
        </w:rPr>
        <w:t>家单位土地</w:t>
      </w:r>
      <w:r>
        <w:rPr>
          <w:rFonts w:eastAsia="方正仿宋_GBK"/>
          <w:sz w:val="32"/>
          <w:szCs w:val="32"/>
        </w:rPr>
        <w:t>596.19</w:t>
      </w:r>
      <w:r>
        <w:rPr>
          <w:rFonts w:eastAsia="方正仿宋_GBK"/>
          <w:sz w:val="32"/>
          <w:szCs w:val="32"/>
        </w:rPr>
        <w:t>亩、房屋</w:t>
      </w:r>
      <w:r>
        <w:rPr>
          <w:rFonts w:eastAsia="方正仿宋_GBK"/>
          <w:sz w:val="32"/>
          <w:szCs w:val="32"/>
        </w:rPr>
        <w:t>30.87</w:t>
      </w:r>
      <w:r>
        <w:rPr>
          <w:rFonts w:eastAsia="方正仿宋_GBK"/>
          <w:sz w:val="32"/>
          <w:szCs w:val="32"/>
        </w:rPr>
        <w:t>万平方米，</w:t>
      </w:r>
      <w:r>
        <w:rPr>
          <w:rFonts w:eastAsia="方正仿宋_GBK"/>
          <w:sz w:val="32"/>
          <w:szCs w:val="32"/>
        </w:rPr>
        <w:lastRenderedPageBreak/>
        <w:t>实现了权属统一、边界清晰、面积准确、权证齐全、账实相符的目标。</w:t>
      </w:r>
    </w:p>
    <w:p w:rsidR="00A80DE8" w:rsidRDefault="00BB5C52">
      <w:pPr>
        <w:overflowPunct w:val="0"/>
        <w:adjustRightInd w:val="0"/>
        <w:snapToGrid w:val="0"/>
        <w:spacing w:line="600" w:lineRule="exact"/>
        <w:ind w:firstLineChars="200" w:firstLine="643"/>
        <w:rPr>
          <w:rFonts w:ascii="Times New Roman" w:eastAsia="方正仿宋_GBK" w:hAnsi="Times New Roman"/>
          <w:szCs w:val="32"/>
        </w:rPr>
      </w:pPr>
      <w:r>
        <w:rPr>
          <w:rFonts w:ascii="Times New Roman" w:eastAsia="方正仿宋_GBK" w:hAnsi="Times New Roman"/>
          <w:b/>
          <w:bCs/>
          <w:szCs w:val="32"/>
        </w:rPr>
        <w:t>公务用车管理：</w:t>
      </w:r>
      <w:r>
        <w:rPr>
          <w:rFonts w:ascii="Times New Roman" w:eastAsia="方正仿宋_GBK" w:hAnsi="Times New Roman"/>
          <w:kern w:val="0"/>
          <w:szCs w:val="32"/>
        </w:rPr>
        <w:t>在全省率先实现市直执法执勤用车集中统一管理。</w:t>
      </w:r>
      <w:r>
        <w:rPr>
          <w:rFonts w:ascii="Times New Roman" w:eastAsia="方正仿宋_GBK" w:hAnsi="Times New Roman"/>
          <w:szCs w:val="32"/>
        </w:rPr>
        <w:t>市直更新购置新能源车占更新总数的</w:t>
      </w:r>
      <w:r>
        <w:rPr>
          <w:rFonts w:ascii="Times New Roman" w:eastAsia="方正仿宋_GBK" w:hAnsi="Times New Roman"/>
          <w:szCs w:val="32"/>
        </w:rPr>
        <w:t>45.2%</w:t>
      </w:r>
      <w:r>
        <w:rPr>
          <w:rFonts w:ascii="Times New Roman" w:eastAsia="方正仿宋_GBK" w:hAnsi="Times New Roman"/>
          <w:szCs w:val="32"/>
        </w:rPr>
        <w:t>，</w:t>
      </w:r>
      <w:r>
        <w:rPr>
          <w:rFonts w:ascii="Times New Roman" w:eastAsia="方正仿宋_GBK" w:hAnsi="Times New Roman"/>
          <w:kern w:val="0"/>
          <w:szCs w:val="32"/>
        </w:rPr>
        <w:t>超过省定目标</w:t>
      </w:r>
      <w:r>
        <w:rPr>
          <w:rFonts w:ascii="Times New Roman" w:eastAsia="方正仿宋_GBK" w:hAnsi="Times New Roman"/>
          <w:szCs w:val="32"/>
        </w:rPr>
        <w:t>15.2</w:t>
      </w:r>
      <w:r>
        <w:rPr>
          <w:rFonts w:ascii="Times New Roman" w:eastAsia="方正仿宋_GBK" w:hAnsi="Times New Roman"/>
          <w:szCs w:val="32"/>
        </w:rPr>
        <w:t>个百分点</w:t>
      </w:r>
      <w:r>
        <w:rPr>
          <w:rFonts w:ascii="Times New Roman" w:eastAsia="方正仿宋_GBK" w:hAnsi="Times New Roman"/>
          <w:kern w:val="0"/>
          <w:szCs w:val="32"/>
        </w:rPr>
        <w:t>。公车平台安全出车</w:t>
      </w:r>
      <w:r>
        <w:rPr>
          <w:rFonts w:ascii="Times New Roman" w:eastAsia="方正仿宋_GBK" w:hAnsi="Times New Roman"/>
          <w:kern w:val="0"/>
          <w:szCs w:val="32"/>
        </w:rPr>
        <w:t>3000</w:t>
      </w:r>
      <w:r>
        <w:rPr>
          <w:rFonts w:ascii="Times New Roman" w:eastAsia="方正仿宋_GBK" w:hAnsi="Times New Roman"/>
          <w:kern w:val="0"/>
          <w:szCs w:val="32"/>
        </w:rPr>
        <w:t>余次</w:t>
      </w:r>
      <w:r>
        <w:rPr>
          <w:rFonts w:ascii="Times New Roman" w:eastAsia="方正仿宋_GBK" w:hAnsi="Times New Roman"/>
          <w:kern w:val="0"/>
          <w:szCs w:val="32"/>
        </w:rPr>
        <w:t>70</w:t>
      </w:r>
      <w:r>
        <w:rPr>
          <w:rFonts w:ascii="Times New Roman" w:eastAsia="方正仿宋_GBK" w:hAnsi="Times New Roman"/>
          <w:kern w:val="0"/>
          <w:szCs w:val="32"/>
        </w:rPr>
        <w:t>余万公里。</w:t>
      </w:r>
    </w:p>
    <w:p w:rsidR="00A80DE8" w:rsidRDefault="00BB5C52">
      <w:pPr>
        <w:overflowPunct w:val="0"/>
        <w:adjustRightInd w:val="0"/>
        <w:snapToGrid w:val="0"/>
        <w:spacing w:line="600" w:lineRule="exact"/>
        <w:ind w:firstLineChars="200" w:firstLine="643"/>
        <w:rPr>
          <w:rFonts w:ascii="Times New Roman" w:eastAsia="方正仿宋_GBK" w:hAnsi="Times New Roman"/>
          <w:kern w:val="0"/>
          <w:szCs w:val="32"/>
        </w:rPr>
      </w:pPr>
      <w:proofErr w:type="gramStart"/>
      <w:r>
        <w:rPr>
          <w:rFonts w:ascii="Times New Roman" w:eastAsia="方正仿宋_GBK" w:hAnsi="Times New Roman"/>
          <w:b/>
          <w:bCs/>
          <w:szCs w:val="32"/>
        </w:rPr>
        <w:t>节能降碳工作</w:t>
      </w:r>
      <w:proofErr w:type="gramEnd"/>
      <w:r>
        <w:rPr>
          <w:rFonts w:ascii="Times New Roman" w:eastAsia="方正仿宋_GBK" w:hAnsi="Times New Roman"/>
          <w:b/>
          <w:bCs/>
          <w:szCs w:val="32"/>
        </w:rPr>
        <w:t>：</w:t>
      </w:r>
      <w:r>
        <w:rPr>
          <w:rFonts w:ascii="Times New Roman" w:eastAsia="方正仿宋_GBK" w:hAnsi="Times New Roman"/>
          <w:kern w:val="0"/>
          <w:szCs w:val="32"/>
        </w:rPr>
        <w:t>完成市委市政府机关</w:t>
      </w:r>
      <w:r>
        <w:rPr>
          <w:rFonts w:ascii="Times New Roman" w:eastAsia="方正仿宋_GBK" w:hAnsi="Times New Roman"/>
          <w:kern w:val="0"/>
          <w:szCs w:val="32"/>
        </w:rPr>
        <w:t>50</w:t>
      </w:r>
      <w:r>
        <w:rPr>
          <w:rFonts w:ascii="Times New Roman" w:eastAsia="方正仿宋_GBK" w:hAnsi="Times New Roman"/>
          <w:kern w:val="0"/>
          <w:szCs w:val="32"/>
        </w:rPr>
        <w:t>个充电桩建设，指导益阳职院筹建</w:t>
      </w:r>
      <w:r>
        <w:rPr>
          <w:rFonts w:ascii="Times New Roman" w:eastAsia="方正仿宋_GBK" w:hAnsi="Times New Roman"/>
          <w:kern w:val="0"/>
          <w:szCs w:val="32"/>
        </w:rPr>
        <w:t>1.5</w:t>
      </w:r>
      <w:r>
        <w:rPr>
          <w:rFonts w:ascii="Times New Roman" w:eastAsia="方正仿宋_GBK" w:hAnsi="Times New Roman"/>
          <w:kern w:val="0"/>
          <w:szCs w:val="32"/>
        </w:rPr>
        <w:t>万平方米屋顶分布式光伏发电项目。</w:t>
      </w:r>
      <w:r>
        <w:rPr>
          <w:rFonts w:ascii="Times New Roman" w:eastAsia="方正仿宋_GBK" w:hAnsi="Times New Roman"/>
          <w:szCs w:val="32"/>
        </w:rPr>
        <w:t>全市</w:t>
      </w:r>
      <w:r>
        <w:rPr>
          <w:rFonts w:ascii="Times New Roman" w:eastAsia="方正仿宋_GBK" w:hAnsi="Times New Roman"/>
          <w:szCs w:val="32"/>
        </w:rPr>
        <w:t>1926</w:t>
      </w:r>
      <w:r>
        <w:rPr>
          <w:rFonts w:ascii="Times New Roman" w:eastAsia="方正仿宋_GBK" w:hAnsi="Times New Roman"/>
          <w:szCs w:val="32"/>
        </w:rPr>
        <w:t>家公共机构单位建筑能耗同比下降</w:t>
      </w:r>
      <w:r>
        <w:rPr>
          <w:rFonts w:ascii="Times New Roman" w:eastAsia="方正仿宋_GBK" w:hAnsi="Times New Roman"/>
          <w:szCs w:val="32"/>
        </w:rPr>
        <w:t>7.35%</w:t>
      </w:r>
      <w:r>
        <w:rPr>
          <w:rFonts w:ascii="Times New Roman" w:eastAsia="方正仿宋_GBK" w:hAnsi="Times New Roman"/>
          <w:szCs w:val="32"/>
        </w:rPr>
        <w:t>，降幅超过省定标准。</w:t>
      </w:r>
      <w:r>
        <w:rPr>
          <w:rFonts w:ascii="Times New Roman" w:eastAsia="方正仿宋_GBK" w:hAnsi="Times New Roman"/>
          <w:kern w:val="0"/>
          <w:szCs w:val="32"/>
        </w:rPr>
        <w:t>公共机构垃圾分类工作成效显著，获</w:t>
      </w:r>
      <w:proofErr w:type="gramStart"/>
      <w:r>
        <w:rPr>
          <w:rFonts w:ascii="Times New Roman" w:eastAsia="方正仿宋_GBK" w:hAnsi="Times New Roman"/>
          <w:kern w:val="0"/>
          <w:szCs w:val="32"/>
        </w:rPr>
        <w:t>评全省</w:t>
      </w:r>
      <w:proofErr w:type="gramEnd"/>
      <w:r>
        <w:rPr>
          <w:rFonts w:ascii="Times New Roman" w:eastAsia="方正仿宋_GBK" w:hAnsi="Times New Roman"/>
          <w:kern w:val="0"/>
          <w:szCs w:val="32"/>
        </w:rPr>
        <w:t>年度考核第</w:t>
      </w:r>
      <w:r>
        <w:rPr>
          <w:rFonts w:ascii="Times New Roman" w:eastAsia="方正仿宋_GBK" w:hAnsi="Times New Roman"/>
          <w:kern w:val="0"/>
          <w:szCs w:val="32"/>
        </w:rPr>
        <w:t>1</w:t>
      </w:r>
      <w:r>
        <w:rPr>
          <w:rFonts w:ascii="Times New Roman" w:eastAsia="方正仿宋_GBK" w:hAnsi="Times New Roman"/>
          <w:kern w:val="0"/>
          <w:szCs w:val="32"/>
        </w:rPr>
        <w:t>名。</w:t>
      </w:r>
    </w:p>
    <w:p w:rsidR="00A80DE8" w:rsidRDefault="00BB5C52">
      <w:pPr>
        <w:overflowPunct w:val="0"/>
        <w:adjustRightInd w:val="0"/>
        <w:snapToGrid w:val="0"/>
        <w:spacing w:line="600" w:lineRule="exact"/>
        <w:ind w:firstLineChars="200" w:firstLine="643"/>
        <w:rPr>
          <w:rFonts w:ascii="Times New Roman" w:eastAsia="方正仿宋_GBK" w:hAnsi="Times New Roman"/>
          <w:szCs w:val="32"/>
        </w:rPr>
      </w:pPr>
      <w:r>
        <w:rPr>
          <w:rFonts w:ascii="Times New Roman" w:eastAsia="方正仿宋_GBK" w:hAnsi="Times New Roman"/>
          <w:b/>
          <w:bCs/>
          <w:szCs w:val="32"/>
        </w:rPr>
        <w:t>后勤保障工作：</w:t>
      </w:r>
      <w:r>
        <w:rPr>
          <w:rFonts w:ascii="Times New Roman" w:eastAsia="方正仿宋_GBK" w:hAnsi="Times New Roman"/>
          <w:szCs w:val="32"/>
        </w:rPr>
        <w:t>强化安全生产管理，未发生安全生产事故。机关食堂满意度全年巩固在</w:t>
      </w:r>
      <w:r>
        <w:rPr>
          <w:rFonts w:ascii="Times New Roman" w:eastAsia="方正仿宋_GBK" w:hAnsi="Times New Roman"/>
          <w:szCs w:val="32"/>
        </w:rPr>
        <w:t>90%</w:t>
      </w:r>
      <w:r>
        <w:rPr>
          <w:rFonts w:ascii="Times New Roman" w:eastAsia="方正仿宋_GBK" w:hAnsi="Times New Roman"/>
          <w:szCs w:val="32"/>
        </w:rPr>
        <w:t>以上。打造机关优质办公环境，全年实施工程</w:t>
      </w:r>
      <w:r>
        <w:rPr>
          <w:rFonts w:ascii="Times New Roman" w:eastAsia="方正仿宋_GBK" w:hAnsi="Times New Roman"/>
          <w:szCs w:val="32"/>
        </w:rPr>
        <w:t>114</w:t>
      </w:r>
      <w:r>
        <w:rPr>
          <w:rFonts w:ascii="Times New Roman" w:eastAsia="方正仿宋_GBK" w:hAnsi="Times New Roman"/>
          <w:szCs w:val="32"/>
        </w:rPr>
        <w:t>个。全年服务各类会议</w:t>
      </w:r>
      <w:r>
        <w:rPr>
          <w:rFonts w:ascii="Times New Roman" w:eastAsia="方正仿宋_GBK" w:hAnsi="Times New Roman"/>
          <w:szCs w:val="32"/>
        </w:rPr>
        <w:t>1295</w:t>
      </w:r>
      <w:r>
        <w:rPr>
          <w:rFonts w:ascii="Times New Roman" w:eastAsia="方正仿宋_GBK" w:hAnsi="Times New Roman"/>
          <w:szCs w:val="32"/>
        </w:rPr>
        <w:t>场次，实现会务服务零失误目标。</w:t>
      </w:r>
    </w:p>
    <w:p w:rsidR="00A80DE8" w:rsidRDefault="00BB5C52">
      <w:pPr>
        <w:overflowPunct w:val="0"/>
        <w:adjustRightInd w:val="0"/>
        <w:snapToGrid w:val="0"/>
        <w:spacing w:line="600" w:lineRule="exact"/>
        <w:ind w:firstLineChars="200" w:firstLine="640"/>
        <w:rPr>
          <w:rFonts w:ascii="Times New Roman" w:eastAsia="方正黑体_GBK" w:hAnsi="Times New Roman"/>
          <w:szCs w:val="32"/>
        </w:rPr>
      </w:pPr>
      <w:r>
        <w:rPr>
          <w:rFonts w:ascii="Times New Roman" w:eastAsia="方正黑体_GBK" w:hAnsi="Times New Roman"/>
          <w:szCs w:val="32"/>
        </w:rPr>
        <w:t>七、存在的问题及原因分析</w:t>
      </w:r>
    </w:p>
    <w:p w:rsidR="00A80DE8" w:rsidRPr="006D4FA8" w:rsidRDefault="00BB5C52">
      <w:pPr>
        <w:overflowPunct w:val="0"/>
        <w:spacing w:line="600" w:lineRule="exact"/>
        <w:ind w:firstLineChars="200" w:firstLine="640"/>
        <w:rPr>
          <w:rFonts w:ascii="Times New Roman" w:eastAsia="方正仿宋_GBK" w:hAnsi="Times New Roman"/>
          <w:szCs w:val="32"/>
        </w:rPr>
      </w:pPr>
      <w:r w:rsidRPr="006D4FA8">
        <w:rPr>
          <w:rFonts w:ascii="Times New Roman" w:eastAsia="方正仿宋_GBK" w:hAnsi="Times New Roman"/>
          <w:szCs w:val="32"/>
        </w:rPr>
        <w:t>对预算绩效管理工作的全程监督不够，财务和业务科室一体化运行机制有待加强，设置绩效目标存在不科学、不全面等问题。分析原因，预算绩效管理不到位，财务指导、督促不经常。</w:t>
      </w:r>
    </w:p>
    <w:p w:rsidR="00A80DE8" w:rsidRDefault="00BB5C52">
      <w:pPr>
        <w:overflowPunct w:val="0"/>
        <w:spacing w:line="600" w:lineRule="exact"/>
        <w:ind w:firstLineChars="200" w:firstLine="640"/>
        <w:rPr>
          <w:rFonts w:ascii="Times New Roman" w:eastAsia="方正黑体_GBK" w:hAnsi="Times New Roman"/>
          <w:szCs w:val="32"/>
        </w:rPr>
      </w:pPr>
      <w:r>
        <w:rPr>
          <w:rFonts w:ascii="Times New Roman" w:eastAsia="方正黑体_GBK" w:hAnsi="Times New Roman"/>
          <w:szCs w:val="32"/>
        </w:rPr>
        <w:t>八、下一步改进措施</w:t>
      </w:r>
    </w:p>
    <w:p w:rsidR="00A80DE8" w:rsidRDefault="00BB5C52">
      <w:pPr>
        <w:overflowPunct w:val="0"/>
        <w:autoSpaceDE w:val="0"/>
        <w:autoSpaceDN w:val="0"/>
        <w:adjustRightInd w:val="0"/>
        <w:spacing w:line="600" w:lineRule="exact"/>
        <w:ind w:firstLineChars="200" w:firstLine="640"/>
        <w:rPr>
          <w:rFonts w:ascii="Times New Roman" w:eastAsia="方正仿宋_GBK" w:hAnsi="Times New Roman"/>
          <w:spacing w:val="-11"/>
          <w:szCs w:val="32"/>
        </w:rPr>
      </w:pPr>
      <w:r>
        <w:rPr>
          <w:rFonts w:ascii="Times New Roman" w:eastAsia="方正仿宋_GBK" w:hAnsi="Times New Roman"/>
          <w:szCs w:val="32"/>
        </w:rPr>
        <w:t>下一步工作中，一是将加强预算绩效编制管理，提高项目绩效目标编制水</w:t>
      </w:r>
      <w:r>
        <w:rPr>
          <w:rFonts w:ascii="Times New Roman" w:eastAsia="方正仿宋_GBK" w:hAnsi="Times New Roman"/>
          <w:spacing w:val="-11"/>
          <w:szCs w:val="32"/>
        </w:rPr>
        <w:t>平，提高预算绩效编制的准确性、科学性；二是加强预算资金管理，确保预算资金的执行进度；三是加强项目绩效管理。</w:t>
      </w:r>
    </w:p>
    <w:p w:rsidR="00A80DE8" w:rsidRDefault="00BB5C52">
      <w:pPr>
        <w:overflowPunct w:val="0"/>
        <w:spacing w:line="600" w:lineRule="exact"/>
        <w:ind w:firstLineChars="200" w:firstLine="640"/>
        <w:rPr>
          <w:rFonts w:ascii="Times New Roman" w:eastAsia="方正黑体_GBK" w:hAnsi="Times New Roman"/>
          <w:szCs w:val="32"/>
        </w:rPr>
      </w:pPr>
      <w:r>
        <w:rPr>
          <w:rFonts w:ascii="Times New Roman" w:eastAsia="方正黑体_GBK" w:hAnsi="Times New Roman"/>
          <w:szCs w:val="32"/>
        </w:rPr>
        <w:lastRenderedPageBreak/>
        <w:t>九、部门整体支出绩效自评结果拟应用和公开情况</w:t>
      </w:r>
    </w:p>
    <w:p w:rsidR="00A80DE8" w:rsidRDefault="00BB5C52">
      <w:pPr>
        <w:overflowPunct w:val="0"/>
        <w:snapToGrid w:val="0"/>
        <w:spacing w:line="600" w:lineRule="exact"/>
        <w:ind w:firstLineChars="200" w:firstLine="640"/>
        <w:rPr>
          <w:rFonts w:ascii="Times New Roman" w:eastAsia="方正仿宋_GBK" w:hAnsi="Times New Roman"/>
          <w:szCs w:val="32"/>
        </w:rPr>
      </w:pPr>
      <w:r>
        <w:rPr>
          <w:rFonts w:ascii="Times New Roman" w:eastAsia="方正仿宋_GBK" w:hAnsi="Times New Roman"/>
          <w:szCs w:val="32"/>
        </w:rPr>
        <w:t>2023</w:t>
      </w:r>
      <w:r>
        <w:rPr>
          <w:rFonts w:ascii="Times New Roman" w:eastAsia="方正仿宋_GBK" w:hAnsi="Times New Roman"/>
          <w:szCs w:val="32"/>
        </w:rPr>
        <w:t>年市机关事务管理局部门整体支出绩效自评</w:t>
      </w:r>
      <w:r>
        <w:rPr>
          <w:rFonts w:ascii="Times New Roman" w:eastAsia="方正仿宋_GBK" w:hAnsi="Times New Roman"/>
          <w:szCs w:val="32"/>
        </w:rPr>
        <w:t>100</w:t>
      </w:r>
      <w:r>
        <w:rPr>
          <w:rFonts w:ascii="Times New Roman" w:eastAsia="方正仿宋_GBK" w:hAnsi="Times New Roman"/>
          <w:szCs w:val="32"/>
        </w:rPr>
        <w:t>分，自评结果为</w:t>
      </w:r>
      <w:r>
        <w:rPr>
          <w:rFonts w:ascii="Times New Roman" w:eastAsia="方正仿宋_GBK" w:hAnsi="Times New Roman" w:hint="eastAsia"/>
          <w:szCs w:val="32"/>
        </w:rPr>
        <w:t>“</w:t>
      </w:r>
      <w:r>
        <w:rPr>
          <w:rFonts w:ascii="Times New Roman" w:eastAsia="方正仿宋_GBK" w:hAnsi="Times New Roman"/>
          <w:szCs w:val="32"/>
        </w:rPr>
        <w:t>优秀</w:t>
      </w:r>
      <w:r>
        <w:rPr>
          <w:rFonts w:ascii="Times New Roman" w:eastAsia="方正仿宋_GBK" w:hAnsi="Times New Roman" w:hint="eastAsia"/>
          <w:szCs w:val="32"/>
        </w:rPr>
        <w:t>”</w:t>
      </w:r>
      <w:r>
        <w:rPr>
          <w:rFonts w:ascii="Times New Roman" w:eastAsia="方正仿宋_GBK" w:hAnsi="Times New Roman"/>
          <w:szCs w:val="32"/>
        </w:rPr>
        <w:t>。市机关事务管理局按照市财政局的要求在规定时间内将绩效自评报告在网站上进行了公示。</w:t>
      </w:r>
    </w:p>
    <w:p w:rsidR="00A80DE8" w:rsidRDefault="00A80DE8">
      <w:pPr>
        <w:overflowPunct w:val="0"/>
        <w:spacing w:line="600" w:lineRule="exact"/>
        <w:rPr>
          <w:rFonts w:ascii="Times New Roman" w:hAnsi="Times New Roman"/>
        </w:rPr>
      </w:pPr>
    </w:p>
    <w:sectPr w:rsidR="00A80DE8" w:rsidSect="00A80DE8">
      <w:footerReference w:type="default" r:id="rId8"/>
      <w:pgSz w:w="11906" w:h="16838"/>
      <w:pgMar w:top="2098" w:right="1531" w:bottom="1928" w:left="1531" w:header="851" w:footer="1474" w:gutter="0"/>
      <w:cols w:space="0"/>
      <w:docGrid w:type="lines" w:linePitch="4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62A" w:rsidRDefault="0057462A" w:rsidP="00A80DE8">
      <w:r>
        <w:separator/>
      </w:r>
    </w:p>
  </w:endnote>
  <w:endnote w:type="continuationSeparator" w:id="0">
    <w:p w:rsidR="0057462A" w:rsidRDefault="0057462A" w:rsidP="00A80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DE8" w:rsidRDefault="002C0080">
    <w:pPr>
      <w:pStyle w:val="a3"/>
      <w:jc w:val="center"/>
      <w:rPr>
        <w:rFonts w:ascii="Times New Roman" w:hAnsi="Times New Roman"/>
        <w:sz w:val="24"/>
        <w:szCs w:val="24"/>
      </w:rPr>
    </w:pPr>
    <w:r w:rsidRPr="002C0080">
      <w:rPr>
        <w:sz w:val="24"/>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 filled="f" stroked="f">
          <v:textbox style="mso-fit-shape-to-text:t" inset="0,0,0,0">
            <w:txbxContent>
              <w:p w:rsidR="00A80DE8" w:rsidRDefault="00BB5C52">
                <w:pPr>
                  <w:pStyle w:val="a3"/>
                  <w:rPr>
                    <w:rFonts w:ascii="Times New Roman" w:hAnsi="Times New Roman"/>
                    <w:sz w:val="28"/>
                    <w:szCs w:val="28"/>
                  </w:rPr>
                </w:pPr>
                <w:r>
                  <w:rPr>
                    <w:rFonts w:ascii="Times New Roman" w:hAnsi="Times New Roman"/>
                    <w:sz w:val="28"/>
                    <w:szCs w:val="28"/>
                  </w:rPr>
                  <w:t xml:space="preserve">— </w:t>
                </w:r>
                <w:r w:rsidR="002C0080">
                  <w:rPr>
                    <w:rFonts w:ascii="Times New Roman" w:hAnsi="Times New Roman"/>
                    <w:sz w:val="28"/>
                    <w:szCs w:val="28"/>
                  </w:rPr>
                  <w:fldChar w:fldCharType="begin"/>
                </w:r>
                <w:r>
                  <w:rPr>
                    <w:rFonts w:ascii="Times New Roman" w:hAnsi="Times New Roman"/>
                    <w:sz w:val="28"/>
                    <w:szCs w:val="28"/>
                  </w:rPr>
                  <w:instrText xml:space="preserve"> PAGE  \* MERGEFORMAT </w:instrText>
                </w:r>
                <w:r w:rsidR="002C0080">
                  <w:rPr>
                    <w:rFonts w:ascii="Times New Roman" w:hAnsi="Times New Roman"/>
                    <w:sz w:val="28"/>
                    <w:szCs w:val="28"/>
                  </w:rPr>
                  <w:fldChar w:fldCharType="separate"/>
                </w:r>
                <w:r w:rsidR="006D4FA8">
                  <w:rPr>
                    <w:rFonts w:ascii="Times New Roman" w:hAnsi="Times New Roman"/>
                    <w:noProof/>
                    <w:sz w:val="28"/>
                    <w:szCs w:val="28"/>
                  </w:rPr>
                  <w:t>7</w:t>
                </w:r>
                <w:r w:rsidR="002C0080">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w:r>
  </w:p>
  <w:p w:rsidR="00A80DE8" w:rsidRDefault="00A80DE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62A" w:rsidRDefault="0057462A" w:rsidP="00A80DE8">
      <w:r>
        <w:separator/>
      </w:r>
    </w:p>
  </w:footnote>
  <w:footnote w:type="continuationSeparator" w:id="0">
    <w:p w:rsidR="0057462A" w:rsidRDefault="0057462A" w:rsidP="00A80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E681E1"/>
    <w:multiLevelType w:val="singleLevel"/>
    <w:tmpl w:val="E0E681E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220"/>
  <w:displayVerticalDrawingGridEvery w:val="2"/>
  <w:noPunctuationKerning/>
  <w:characterSpacingControl w:val="compressPunctuation"/>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5A8B"/>
    <w:rsid w:val="BCFFDD10"/>
    <w:rsid w:val="CFFDD5EB"/>
    <w:rsid w:val="D33FAEB6"/>
    <w:rsid w:val="000018E9"/>
    <w:rsid w:val="000025AC"/>
    <w:rsid w:val="00002BA5"/>
    <w:rsid w:val="00027720"/>
    <w:rsid w:val="0004216B"/>
    <w:rsid w:val="000439C9"/>
    <w:rsid w:val="000526D3"/>
    <w:rsid w:val="00061E5E"/>
    <w:rsid w:val="000754E5"/>
    <w:rsid w:val="000812DF"/>
    <w:rsid w:val="000877F0"/>
    <w:rsid w:val="000900D0"/>
    <w:rsid w:val="00092D40"/>
    <w:rsid w:val="00093738"/>
    <w:rsid w:val="000B1104"/>
    <w:rsid w:val="000E727A"/>
    <w:rsid w:val="000E74FC"/>
    <w:rsid w:val="000E7A0C"/>
    <w:rsid w:val="0011667D"/>
    <w:rsid w:val="00134967"/>
    <w:rsid w:val="00161167"/>
    <w:rsid w:val="00161A98"/>
    <w:rsid w:val="00165083"/>
    <w:rsid w:val="00184AFE"/>
    <w:rsid w:val="001A53DC"/>
    <w:rsid w:val="001C757A"/>
    <w:rsid w:val="001D2DC8"/>
    <w:rsid w:val="001E7BB9"/>
    <w:rsid w:val="002113D0"/>
    <w:rsid w:val="002139CF"/>
    <w:rsid w:val="00213DC3"/>
    <w:rsid w:val="0022217A"/>
    <w:rsid w:val="002337C5"/>
    <w:rsid w:val="00244F32"/>
    <w:rsid w:val="002802E4"/>
    <w:rsid w:val="00280F49"/>
    <w:rsid w:val="00281B84"/>
    <w:rsid w:val="002852C2"/>
    <w:rsid w:val="002A273E"/>
    <w:rsid w:val="002B18DC"/>
    <w:rsid w:val="002C0080"/>
    <w:rsid w:val="002D11C6"/>
    <w:rsid w:val="002E34CA"/>
    <w:rsid w:val="002F198B"/>
    <w:rsid w:val="002F4A43"/>
    <w:rsid w:val="002F6344"/>
    <w:rsid w:val="00302B94"/>
    <w:rsid w:val="00311490"/>
    <w:rsid w:val="00314E16"/>
    <w:rsid w:val="00321BBD"/>
    <w:rsid w:val="00322596"/>
    <w:rsid w:val="00322803"/>
    <w:rsid w:val="0032454B"/>
    <w:rsid w:val="00337758"/>
    <w:rsid w:val="0035201E"/>
    <w:rsid w:val="003520F6"/>
    <w:rsid w:val="00363090"/>
    <w:rsid w:val="00365892"/>
    <w:rsid w:val="00365C64"/>
    <w:rsid w:val="00387088"/>
    <w:rsid w:val="003A1E4F"/>
    <w:rsid w:val="003A2FE9"/>
    <w:rsid w:val="00406232"/>
    <w:rsid w:val="0042494F"/>
    <w:rsid w:val="0042651D"/>
    <w:rsid w:val="00434E38"/>
    <w:rsid w:val="004442CC"/>
    <w:rsid w:val="004452B5"/>
    <w:rsid w:val="00464E87"/>
    <w:rsid w:val="00465C7F"/>
    <w:rsid w:val="004B4DDF"/>
    <w:rsid w:val="004C2892"/>
    <w:rsid w:val="004C5952"/>
    <w:rsid w:val="004D40AD"/>
    <w:rsid w:val="004D5CEB"/>
    <w:rsid w:val="005023AB"/>
    <w:rsid w:val="00503A0E"/>
    <w:rsid w:val="00505A8B"/>
    <w:rsid w:val="00511AF1"/>
    <w:rsid w:val="0051755A"/>
    <w:rsid w:val="00525AB2"/>
    <w:rsid w:val="005327D0"/>
    <w:rsid w:val="00566C3B"/>
    <w:rsid w:val="0057462A"/>
    <w:rsid w:val="00575346"/>
    <w:rsid w:val="005767A8"/>
    <w:rsid w:val="005800AD"/>
    <w:rsid w:val="00582E7C"/>
    <w:rsid w:val="005B5CB4"/>
    <w:rsid w:val="005B6175"/>
    <w:rsid w:val="005D05B3"/>
    <w:rsid w:val="005D5061"/>
    <w:rsid w:val="005E42D4"/>
    <w:rsid w:val="006163E9"/>
    <w:rsid w:val="00647D51"/>
    <w:rsid w:val="0067353C"/>
    <w:rsid w:val="00681088"/>
    <w:rsid w:val="006818A2"/>
    <w:rsid w:val="00686E34"/>
    <w:rsid w:val="006C654D"/>
    <w:rsid w:val="006D0A2C"/>
    <w:rsid w:val="006D4FA8"/>
    <w:rsid w:val="006E7929"/>
    <w:rsid w:val="00700458"/>
    <w:rsid w:val="00700BB8"/>
    <w:rsid w:val="007115DF"/>
    <w:rsid w:val="00713D7D"/>
    <w:rsid w:val="00714FA5"/>
    <w:rsid w:val="007226A7"/>
    <w:rsid w:val="00753C89"/>
    <w:rsid w:val="00764335"/>
    <w:rsid w:val="00776BDA"/>
    <w:rsid w:val="00780AFD"/>
    <w:rsid w:val="00785659"/>
    <w:rsid w:val="007A28EC"/>
    <w:rsid w:val="007A7837"/>
    <w:rsid w:val="007B1A29"/>
    <w:rsid w:val="007B5C64"/>
    <w:rsid w:val="007D2EBD"/>
    <w:rsid w:val="007F7F41"/>
    <w:rsid w:val="008050C0"/>
    <w:rsid w:val="00826FEA"/>
    <w:rsid w:val="00827ED6"/>
    <w:rsid w:val="008357E6"/>
    <w:rsid w:val="00836982"/>
    <w:rsid w:val="008658FC"/>
    <w:rsid w:val="00867FA0"/>
    <w:rsid w:val="00876B54"/>
    <w:rsid w:val="00877AD4"/>
    <w:rsid w:val="00886CA2"/>
    <w:rsid w:val="008A2EC1"/>
    <w:rsid w:val="008A78E0"/>
    <w:rsid w:val="008E08E5"/>
    <w:rsid w:val="008E7E63"/>
    <w:rsid w:val="00904DDA"/>
    <w:rsid w:val="00922974"/>
    <w:rsid w:val="009320CA"/>
    <w:rsid w:val="009440C5"/>
    <w:rsid w:val="00947A7E"/>
    <w:rsid w:val="00952B75"/>
    <w:rsid w:val="00954BC5"/>
    <w:rsid w:val="0095767A"/>
    <w:rsid w:val="00991349"/>
    <w:rsid w:val="00993482"/>
    <w:rsid w:val="00996CC0"/>
    <w:rsid w:val="009A392A"/>
    <w:rsid w:val="009C4849"/>
    <w:rsid w:val="009C5918"/>
    <w:rsid w:val="009D0C7D"/>
    <w:rsid w:val="00A05708"/>
    <w:rsid w:val="00A12D73"/>
    <w:rsid w:val="00A27B71"/>
    <w:rsid w:val="00A36F60"/>
    <w:rsid w:val="00A47371"/>
    <w:rsid w:val="00A80DE8"/>
    <w:rsid w:val="00A91F6B"/>
    <w:rsid w:val="00AA0A15"/>
    <w:rsid w:val="00AA2248"/>
    <w:rsid w:val="00AB056A"/>
    <w:rsid w:val="00AB114B"/>
    <w:rsid w:val="00AB2F51"/>
    <w:rsid w:val="00AD2CFF"/>
    <w:rsid w:val="00AD3342"/>
    <w:rsid w:val="00AD3611"/>
    <w:rsid w:val="00AE48CB"/>
    <w:rsid w:val="00B04A9C"/>
    <w:rsid w:val="00B07762"/>
    <w:rsid w:val="00B525E1"/>
    <w:rsid w:val="00B755C4"/>
    <w:rsid w:val="00B97A13"/>
    <w:rsid w:val="00BB3063"/>
    <w:rsid w:val="00BB5C52"/>
    <w:rsid w:val="00BC59BA"/>
    <w:rsid w:val="00BD6655"/>
    <w:rsid w:val="00BD684C"/>
    <w:rsid w:val="00BE2560"/>
    <w:rsid w:val="00BF0866"/>
    <w:rsid w:val="00BF19F6"/>
    <w:rsid w:val="00BF6288"/>
    <w:rsid w:val="00C0687C"/>
    <w:rsid w:val="00C06C95"/>
    <w:rsid w:val="00C13CB2"/>
    <w:rsid w:val="00C163B0"/>
    <w:rsid w:val="00C25623"/>
    <w:rsid w:val="00C25D10"/>
    <w:rsid w:val="00C50026"/>
    <w:rsid w:val="00C508CD"/>
    <w:rsid w:val="00C51159"/>
    <w:rsid w:val="00C6593A"/>
    <w:rsid w:val="00C72273"/>
    <w:rsid w:val="00C76176"/>
    <w:rsid w:val="00CB6140"/>
    <w:rsid w:val="00CB6FFC"/>
    <w:rsid w:val="00CC3428"/>
    <w:rsid w:val="00CD11B9"/>
    <w:rsid w:val="00D02855"/>
    <w:rsid w:val="00D23996"/>
    <w:rsid w:val="00D526D7"/>
    <w:rsid w:val="00D672B2"/>
    <w:rsid w:val="00D70AB9"/>
    <w:rsid w:val="00D8477E"/>
    <w:rsid w:val="00D9335F"/>
    <w:rsid w:val="00D97FE5"/>
    <w:rsid w:val="00DA0D6D"/>
    <w:rsid w:val="00DA134E"/>
    <w:rsid w:val="00DB7E79"/>
    <w:rsid w:val="00DC00C3"/>
    <w:rsid w:val="00DF3E53"/>
    <w:rsid w:val="00DF4A90"/>
    <w:rsid w:val="00DF583A"/>
    <w:rsid w:val="00E16A07"/>
    <w:rsid w:val="00E26121"/>
    <w:rsid w:val="00E326A9"/>
    <w:rsid w:val="00E453DF"/>
    <w:rsid w:val="00E50ACD"/>
    <w:rsid w:val="00E57EC3"/>
    <w:rsid w:val="00E60464"/>
    <w:rsid w:val="00E60F9E"/>
    <w:rsid w:val="00E63AD3"/>
    <w:rsid w:val="00EA6380"/>
    <w:rsid w:val="00EB5686"/>
    <w:rsid w:val="00EC0581"/>
    <w:rsid w:val="00EC5513"/>
    <w:rsid w:val="00ED0FA8"/>
    <w:rsid w:val="00ED14AF"/>
    <w:rsid w:val="00EE69A4"/>
    <w:rsid w:val="00EF18E4"/>
    <w:rsid w:val="00F007B2"/>
    <w:rsid w:val="00F02602"/>
    <w:rsid w:val="00F026BE"/>
    <w:rsid w:val="00F0339C"/>
    <w:rsid w:val="00F13F62"/>
    <w:rsid w:val="00F145A2"/>
    <w:rsid w:val="00F20C15"/>
    <w:rsid w:val="00F36996"/>
    <w:rsid w:val="00F37928"/>
    <w:rsid w:val="00F44643"/>
    <w:rsid w:val="00F44B96"/>
    <w:rsid w:val="00F46E90"/>
    <w:rsid w:val="00F510B3"/>
    <w:rsid w:val="00F67F8B"/>
    <w:rsid w:val="00F70C70"/>
    <w:rsid w:val="00F71545"/>
    <w:rsid w:val="00F72655"/>
    <w:rsid w:val="00F737C0"/>
    <w:rsid w:val="00F83ECE"/>
    <w:rsid w:val="00F843C3"/>
    <w:rsid w:val="00FB58FE"/>
    <w:rsid w:val="00FC092F"/>
    <w:rsid w:val="00FC3E15"/>
    <w:rsid w:val="00FD2C1B"/>
    <w:rsid w:val="00FD3BBB"/>
    <w:rsid w:val="00FF1993"/>
    <w:rsid w:val="0D8E188A"/>
    <w:rsid w:val="0E5F4503"/>
    <w:rsid w:val="19FC79F4"/>
    <w:rsid w:val="1B1E547D"/>
    <w:rsid w:val="217F74CD"/>
    <w:rsid w:val="25F04D87"/>
    <w:rsid w:val="27CA51B1"/>
    <w:rsid w:val="2950561C"/>
    <w:rsid w:val="2AC3377B"/>
    <w:rsid w:val="312C6C29"/>
    <w:rsid w:val="31E73C28"/>
    <w:rsid w:val="374110C5"/>
    <w:rsid w:val="38474C2C"/>
    <w:rsid w:val="3B7544D7"/>
    <w:rsid w:val="3BB17C6D"/>
    <w:rsid w:val="447060DF"/>
    <w:rsid w:val="45F13848"/>
    <w:rsid w:val="47DD729C"/>
    <w:rsid w:val="4908718C"/>
    <w:rsid w:val="494867A8"/>
    <w:rsid w:val="4BEA1237"/>
    <w:rsid w:val="4F2302AA"/>
    <w:rsid w:val="53A15FD6"/>
    <w:rsid w:val="55A77BE9"/>
    <w:rsid w:val="57AA4069"/>
    <w:rsid w:val="59952D46"/>
    <w:rsid w:val="6532402F"/>
    <w:rsid w:val="65463609"/>
    <w:rsid w:val="6CFC32D7"/>
    <w:rsid w:val="6DEE4AC6"/>
    <w:rsid w:val="6F201A68"/>
    <w:rsid w:val="73312019"/>
    <w:rsid w:val="7DDF2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A80DE8"/>
    <w:pPr>
      <w:widowControl w:val="0"/>
      <w:jc w:val="both"/>
    </w:pPr>
    <w:rPr>
      <w:rFonts w:ascii="Calibri" w:eastAsia="仿宋_GB2312" w:hAnsi="Calibri"/>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A80DE8"/>
  </w:style>
  <w:style w:type="paragraph" w:styleId="a3">
    <w:name w:val="footer"/>
    <w:basedOn w:val="a"/>
    <w:link w:val="Char"/>
    <w:uiPriority w:val="99"/>
    <w:qFormat/>
    <w:rsid w:val="00A80DE8"/>
    <w:pPr>
      <w:tabs>
        <w:tab w:val="center" w:pos="4153"/>
        <w:tab w:val="right" w:pos="8306"/>
      </w:tabs>
      <w:snapToGrid w:val="0"/>
      <w:jc w:val="left"/>
    </w:pPr>
    <w:rPr>
      <w:sz w:val="18"/>
      <w:szCs w:val="18"/>
    </w:rPr>
  </w:style>
  <w:style w:type="paragraph" w:styleId="a4">
    <w:name w:val="header"/>
    <w:basedOn w:val="a"/>
    <w:link w:val="Char0"/>
    <w:qFormat/>
    <w:rsid w:val="00A80DE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A80DE8"/>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A80D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3"/>
    <w:uiPriority w:val="99"/>
    <w:qFormat/>
    <w:rsid w:val="00A80DE8"/>
    <w:rPr>
      <w:rFonts w:ascii="Calibri" w:eastAsia="仿宋_GB2312" w:hAnsi="Calibri"/>
      <w:kern w:val="2"/>
      <w:sz w:val="18"/>
      <w:szCs w:val="18"/>
    </w:rPr>
  </w:style>
  <w:style w:type="character" w:customStyle="1" w:styleId="Char0">
    <w:name w:val="页眉 Char"/>
    <w:link w:val="a4"/>
    <w:qFormat/>
    <w:rsid w:val="00A80DE8"/>
    <w:rPr>
      <w:rFonts w:ascii="Calibri" w:eastAsia="仿宋_GB2312" w:hAnsi="Calibri"/>
      <w:kern w:val="2"/>
      <w:sz w:val="18"/>
      <w:szCs w:val="18"/>
    </w:rPr>
  </w:style>
  <w:style w:type="character" w:customStyle="1" w:styleId="font11">
    <w:name w:val="font11"/>
    <w:qFormat/>
    <w:rsid w:val="00A80DE8"/>
    <w:rPr>
      <w:rFonts w:ascii="Times New Roman" w:hAnsi="Times New Roman" w:cs="Times New Roman" w:hint="default"/>
      <w:color w:val="000000"/>
      <w:sz w:val="21"/>
      <w:szCs w:val="21"/>
      <w:u w:val="none"/>
    </w:rPr>
  </w:style>
  <w:style w:type="character" w:customStyle="1" w:styleId="font91">
    <w:name w:val="font91"/>
    <w:qFormat/>
    <w:rsid w:val="00A80DE8"/>
    <w:rPr>
      <w:rFonts w:ascii="仿宋_GB2312" w:eastAsia="仿宋_GB2312" w:cs="仿宋_GB2312" w:hint="default"/>
      <w:color w:val="000000"/>
      <w:sz w:val="20"/>
      <w:szCs w:val="20"/>
      <w:u w:val="none"/>
    </w:rPr>
  </w:style>
  <w:style w:type="character" w:customStyle="1" w:styleId="font71">
    <w:name w:val="font71"/>
    <w:qFormat/>
    <w:rsid w:val="00A80DE8"/>
    <w:rPr>
      <w:rFonts w:ascii="仿宋_GB2312" w:eastAsia="仿宋_GB2312" w:cs="仿宋_GB2312" w:hint="default"/>
      <w:color w:val="000000"/>
      <w:sz w:val="21"/>
      <w:szCs w:val="21"/>
      <w:u w:val="none"/>
    </w:rPr>
  </w:style>
  <w:style w:type="character" w:customStyle="1" w:styleId="font31">
    <w:name w:val="font31"/>
    <w:qFormat/>
    <w:rsid w:val="00A80DE8"/>
    <w:rPr>
      <w:rFonts w:ascii="Times New Roman" w:hAnsi="Times New Roman" w:cs="Times New Roman" w:hint="default"/>
      <w:color w:val="000000"/>
      <w:sz w:val="21"/>
      <w:szCs w:val="21"/>
      <w:u w:val="none"/>
    </w:rPr>
  </w:style>
  <w:style w:type="character" w:customStyle="1" w:styleId="font21">
    <w:name w:val="font21"/>
    <w:qFormat/>
    <w:rsid w:val="00A80DE8"/>
    <w:rPr>
      <w:rFonts w:ascii="宋体" w:eastAsia="宋体" w:hAnsi="宋体" w:cs="宋体" w:hint="eastAsia"/>
      <w:color w:val="000000"/>
      <w:sz w:val="21"/>
      <w:szCs w:val="21"/>
      <w:u w:val="none"/>
    </w:rPr>
  </w:style>
  <w:style w:type="character" w:customStyle="1" w:styleId="font61">
    <w:name w:val="font61"/>
    <w:qFormat/>
    <w:rsid w:val="00A80DE8"/>
    <w:rPr>
      <w:rFonts w:ascii="宋体" w:eastAsia="宋体" w:hAnsi="宋体" w:cs="宋体" w:hint="eastAsia"/>
      <w:color w:val="000000"/>
      <w:sz w:val="21"/>
      <w:szCs w:val="21"/>
      <w:u w:val="none"/>
    </w:rPr>
  </w:style>
  <w:style w:type="character" w:customStyle="1" w:styleId="font51">
    <w:name w:val="font51"/>
    <w:qFormat/>
    <w:rsid w:val="00A80DE8"/>
    <w:rPr>
      <w:rFonts w:ascii="Times New Roman" w:hAnsi="Times New Roman" w:cs="Times New Roman" w:hint="default"/>
      <w:color w:val="000000"/>
      <w:sz w:val="20"/>
      <w:szCs w:val="20"/>
      <w:u w:val="none"/>
    </w:rPr>
  </w:style>
  <w:style w:type="character" w:customStyle="1" w:styleId="font41">
    <w:name w:val="font41"/>
    <w:qFormat/>
    <w:rsid w:val="00A80DE8"/>
    <w:rPr>
      <w:rFonts w:ascii="仿宋_GB2312" w:eastAsia="仿宋_GB2312" w:cs="仿宋_GB2312"/>
      <w:b/>
      <w:color w:val="000000"/>
      <w:sz w:val="21"/>
      <w:szCs w:val="21"/>
      <w:u w:val="none"/>
    </w:rPr>
  </w:style>
  <w:style w:type="character" w:customStyle="1" w:styleId="font01">
    <w:name w:val="font01"/>
    <w:qFormat/>
    <w:rsid w:val="00A80DE8"/>
    <w:rPr>
      <w:rFonts w:ascii="仿宋_GB2312" w:eastAsia="仿宋_GB2312" w:cs="仿宋_GB2312" w:hint="default"/>
      <w:color w:val="000000"/>
      <w:sz w:val="21"/>
      <w:szCs w:val="21"/>
      <w:u w:val="none"/>
    </w:rPr>
  </w:style>
  <w:style w:type="character" w:customStyle="1" w:styleId="font81">
    <w:name w:val="font81"/>
    <w:qFormat/>
    <w:rsid w:val="00A80DE8"/>
    <w:rPr>
      <w:rFonts w:ascii="宋体" w:eastAsia="宋体" w:hAnsi="宋体" w:cs="宋体" w:hint="eastAsia"/>
      <w:color w:val="000000"/>
      <w:sz w:val="21"/>
      <w:szCs w:val="21"/>
      <w:u w:val="none"/>
    </w:rPr>
  </w:style>
  <w:style w:type="paragraph" w:customStyle="1" w:styleId="p">
    <w:name w:val="p"/>
    <w:basedOn w:val="a"/>
    <w:qFormat/>
    <w:rsid w:val="00A80DE8"/>
    <w:pPr>
      <w:widowControl/>
      <w:jc w:val="left"/>
    </w:pPr>
    <w:rPr>
      <w:kern w:val="0"/>
      <w:sz w:val="24"/>
    </w:rPr>
  </w:style>
  <w:style w:type="paragraph" w:customStyle="1" w:styleId="10">
    <w:name w:val="列出段落1"/>
    <w:qFormat/>
    <w:rsid w:val="00A80DE8"/>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473</Words>
  <Characters>2699</Characters>
  <Application>Microsoft Office Word</Application>
  <DocSecurity>0</DocSecurity>
  <Lines>22</Lines>
  <Paragraphs>6</Paragraphs>
  <ScaleCrop>false</ScaleCrop>
  <Company>微软中国</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cp:lastPrinted>2023-03-20T16:38:00Z</cp:lastPrinted>
  <dcterms:created xsi:type="dcterms:W3CDTF">2024-05-31T08:46:00Z</dcterms:created>
  <dcterms:modified xsi:type="dcterms:W3CDTF">2024-05-31T09:00:00Z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03C0D896C08A4535D38959669FD6ED6C</vt:lpwstr>
  </property>
</Properties>
</file>