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sz w:val="32"/>
          <w:lang w:eastAsia="zh-CN"/>
        </w:rPr>
      </w:pPr>
      <w:bookmarkStart w:id="0" w:name="_GoBack"/>
      <w:r>
        <w:rPr>
          <w:rFonts w:hint="eastAsia" w:ascii="黑体" w:hAnsi="黑体" w:eastAsia="黑体"/>
          <w:sz w:val="32"/>
          <w:lang w:eastAsia="zh-CN"/>
        </w:rPr>
        <w:drawing>
          <wp:inline distT="0" distB="0" distL="114300" distR="114300">
            <wp:extent cx="8555990" cy="14347825"/>
            <wp:effectExtent l="0" t="0" r="16510" b="15875"/>
            <wp:docPr id="1" name="图片 1" descr="2024-05-3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05-30_001"/>
                    <pic:cNvPicPr>
                      <a:picLocks noChangeAspect="1"/>
                    </pic:cNvPicPr>
                  </pic:nvPicPr>
                  <pic:blipFill>
                    <a:blip r:embed="rId4"/>
                    <a:stretch>
                      <a:fillRect/>
                    </a:stretch>
                  </pic:blipFill>
                  <pic:spPr>
                    <a:xfrm>
                      <a:off x="0" y="0"/>
                      <a:ext cx="8555990" cy="14347825"/>
                    </a:xfrm>
                    <a:prstGeom prst="rect">
                      <a:avLst/>
                    </a:prstGeom>
                  </pic:spPr>
                </pic:pic>
              </a:graphicData>
            </a:graphic>
          </wp:inline>
        </w:drawing>
      </w:r>
      <w:bookmarkEnd w:id="0"/>
    </w:p>
    <w:p>
      <w:pPr>
        <w:spacing w:line="700" w:lineRule="exact"/>
        <w:jc w:val="center"/>
        <w:rPr>
          <w:rFonts w:hint="eastAsia" w:ascii="黑体" w:hAnsi="黑体" w:eastAsia="黑体"/>
          <w:sz w:val="32"/>
        </w:rPr>
      </w:pPr>
    </w:p>
    <w:p>
      <w:pPr>
        <w:spacing w:line="700" w:lineRule="exact"/>
        <w:jc w:val="center"/>
        <w:rPr>
          <w:rFonts w:hint="eastAsia" w:ascii="方正小标宋简体" w:hAnsi="Times New Roman" w:eastAsia="方正小标宋简体"/>
          <w:sz w:val="44"/>
        </w:rPr>
      </w:pPr>
      <w:r>
        <w:rPr>
          <w:rFonts w:hint="eastAsia" w:ascii="黑体" w:hAnsi="黑体" w:eastAsia="黑体"/>
          <w:sz w:val="32"/>
        </w:rPr>
        <w:t xml:space="preserve"> </w:t>
      </w:r>
      <w:r>
        <w:rPr>
          <w:rFonts w:hint="eastAsia" w:ascii="方正小标宋简体" w:hAnsi="Times New Roman" w:eastAsia="方正小标宋简体"/>
          <w:sz w:val="44"/>
        </w:rPr>
        <w:t>2</w:t>
      </w:r>
      <w:r>
        <w:rPr>
          <w:rFonts w:hint="eastAsia" w:ascii="方正小标宋简体" w:hAnsi="Times New Roman" w:eastAsia="方正小标宋简体" w:cs="Times New Roman"/>
          <w:sz w:val="44"/>
        </w:rPr>
        <w:t>02</w:t>
      </w:r>
      <w:r>
        <w:rPr>
          <w:rFonts w:hint="eastAsia" w:ascii="方正小标宋简体" w:hAnsi="Times New Roman" w:eastAsia="方正小标宋简体" w:cs="Times New Roman"/>
          <w:sz w:val="44"/>
          <w:lang w:val="en-US" w:eastAsia="zh-CN"/>
        </w:rPr>
        <w:t>3</w:t>
      </w:r>
      <w:r>
        <w:rPr>
          <w:rFonts w:hint="eastAsia" w:ascii="方正小标宋简体" w:hAnsi="Times New Roman" w:eastAsia="方正小标宋简体" w:cs="Times New Roman"/>
          <w:sz w:val="44"/>
        </w:rPr>
        <w:t>年度教师素养提升（教师培训）项目</w:t>
      </w:r>
      <w:r>
        <w:rPr>
          <w:rFonts w:hint="eastAsia" w:ascii="方正小标宋简体" w:hAnsi="Times New Roman" w:eastAsia="方正小标宋简体"/>
          <w:sz w:val="44"/>
        </w:rPr>
        <w:t>资金绩效自评报告</w:t>
      </w:r>
    </w:p>
    <w:p>
      <w:pPr>
        <w:spacing w:line="700" w:lineRule="exact"/>
        <w:jc w:val="center"/>
        <w:rPr>
          <w:rFonts w:ascii="Times New Roman" w:hAnsi="Times New Roman"/>
          <w:sz w:val="32"/>
        </w:rPr>
      </w:pPr>
      <w:r>
        <w:rPr>
          <w:rFonts w:hint="eastAsia" w:ascii="方正小标宋简体" w:hAnsi="Times New Roman" w:eastAsia="方正小标宋简体"/>
          <w:sz w:val="44"/>
        </w:rPr>
        <w:t xml:space="preserve"> </w:t>
      </w:r>
    </w:p>
    <w:p>
      <w:pPr>
        <w:spacing w:line="600" w:lineRule="exact"/>
        <w:ind w:firstLine="640" w:firstLineChars="200"/>
        <w:rPr>
          <w:rFonts w:hint="eastAsia" w:ascii="黑体" w:hAnsi="黑体" w:eastAsia="黑体" w:cs="Times New Roman"/>
          <w:sz w:val="32"/>
        </w:rPr>
      </w:pPr>
      <w:r>
        <w:rPr>
          <w:rFonts w:hint="eastAsia" w:ascii="黑体" w:hAnsi="黑体" w:eastAsia="黑体"/>
          <w:sz w:val="32"/>
        </w:rPr>
        <w:t>一、</w:t>
      </w:r>
      <w:r>
        <w:rPr>
          <w:rFonts w:hint="eastAsia" w:ascii="黑体" w:hAnsi="黑体" w:eastAsia="黑体" w:cs="Times New Roman"/>
          <w:sz w:val="32"/>
        </w:rPr>
        <w:t>项目基本情况</w:t>
      </w:r>
    </w:p>
    <w:p>
      <w:pPr>
        <w:adjustRightInd w:val="0"/>
        <w:snapToGrid w:val="0"/>
        <w:spacing w:line="600" w:lineRule="exact"/>
        <w:ind w:firstLine="643" w:firstLineChars="200"/>
        <w:rPr>
          <w:rFonts w:hint="eastAsia" w:ascii="黑体" w:hAnsi="黑体" w:eastAsia="黑体"/>
          <w:sz w:val="32"/>
          <w:szCs w:val="32"/>
        </w:rPr>
      </w:pPr>
      <w:r>
        <w:rPr>
          <w:rFonts w:eastAsia="楷体_GB2312"/>
          <w:b/>
          <w:sz w:val="32"/>
          <w:szCs w:val="32"/>
        </w:rPr>
        <w:t>（一）</w:t>
      </w:r>
      <w:r>
        <w:rPr>
          <w:rFonts w:hint="eastAsia" w:eastAsia="楷体_GB2312"/>
          <w:b/>
          <w:sz w:val="32"/>
          <w:szCs w:val="32"/>
        </w:rPr>
        <w:t>项目</w:t>
      </w:r>
      <w:r>
        <w:rPr>
          <w:rFonts w:eastAsia="楷体_GB2312"/>
          <w:b/>
          <w:sz w:val="32"/>
          <w:szCs w:val="32"/>
        </w:rPr>
        <w:t>概况。</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为全面落实《中共益阳市委 益阳市人民政府关于加快新时代教师队伍建设的实施意见》和益阳市委教育工委《全市教育系统深入实施“三个提升年行动”若干措施》要求，加快推进教育改革、提升教学管理能力，激励引导管理者主动发挥在依法依规治校、提升办学理念、科学规划学校发展等方面的重要作用，推动全市基础教育管理改革与发展</w:t>
      </w:r>
      <w:r>
        <w:rPr>
          <w:rFonts w:hint="eastAsia" w:ascii="仿宋" w:hAnsi="仿宋" w:eastAsia="仿宋" w:cs="宋体"/>
          <w:sz w:val="32"/>
          <w:szCs w:val="32"/>
        </w:rPr>
        <w:t>，</w:t>
      </w:r>
      <w:r>
        <w:rPr>
          <w:rFonts w:hint="eastAsia" w:ascii="仿宋" w:hAnsi="仿宋" w:eastAsia="仿宋" w:cs="宋体"/>
          <w:sz w:val="32"/>
          <w:szCs w:val="32"/>
          <w:lang w:val="en-US" w:eastAsia="zh-CN"/>
        </w:rPr>
        <w:t>市教育局持续</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教师素养提升（教师培训）项目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2023由</w:t>
      </w:r>
      <w:r>
        <w:rPr>
          <w:rFonts w:hint="eastAsia" w:ascii="仿宋_GB2312" w:hAnsi="仿宋_GB2312" w:eastAsia="仿宋_GB2312" w:cs="仿宋_GB2312"/>
          <w:color w:val="auto"/>
          <w:sz w:val="32"/>
          <w:szCs w:val="32"/>
        </w:rPr>
        <w:t>益阳开放大学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益阳</w:t>
      </w:r>
      <w:r>
        <w:rPr>
          <w:rFonts w:hint="eastAsia" w:ascii="仿宋_GB2312" w:hAnsi="仿宋_GB2312" w:eastAsia="仿宋_GB2312" w:cs="仿宋_GB2312"/>
          <w:color w:val="auto"/>
          <w:sz w:val="32"/>
          <w:szCs w:val="32"/>
        </w:rPr>
        <w:t>市中小学教师发展中心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承办了益阳市中小学校党组织书记（校长）管理能力提升高研班、益阳市教育系统管理骨干能力提升高研班和益阳市</w:t>
      </w:r>
      <w:r>
        <w:rPr>
          <w:rFonts w:hint="eastAsia" w:ascii="仿宋_GB2312" w:hAnsi="仿宋_GB2312" w:eastAsia="仿宋_GB2312" w:cs="仿宋_GB2312"/>
          <w:color w:val="auto"/>
          <w:sz w:val="32"/>
          <w:szCs w:val="32"/>
        </w:rPr>
        <w:t>骨干教师师德教育与能力提升高研班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由市教育局主办、城区部分初高中学校承办了</w:t>
      </w:r>
      <w:r>
        <w:rPr>
          <w:rFonts w:hint="eastAsia" w:ascii="仿宋_GB2312" w:hAnsi="仿宋_GB2312" w:eastAsia="仿宋_GB2312" w:cs="仿宋_GB2312"/>
          <w:color w:val="auto"/>
          <w:sz w:val="32"/>
          <w:szCs w:val="32"/>
        </w:rPr>
        <w:t>全市基础教育学科培训会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市教育局主办，资阳区教育局承办，益阳市石码头小学、万源明达高级中学协办</w:t>
      </w:r>
      <w:r>
        <w:rPr>
          <w:rFonts w:hint="eastAsia" w:ascii="仿宋_GB2312" w:hAnsi="仿宋_GB2312" w:eastAsia="仿宋_GB2312" w:cs="仿宋_GB2312"/>
          <w:color w:val="auto"/>
          <w:sz w:val="32"/>
          <w:szCs w:val="32"/>
          <w:lang w:val="en-US" w:eastAsia="zh-CN"/>
        </w:rPr>
        <w:t>了全</w:t>
      </w:r>
      <w:r>
        <w:rPr>
          <w:rFonts w:hint="eastAsia" w:ascii="仿宋_GB2312" w:hAnsi="仿宋_GB2312" w:eastAsia="仿宋_GB2312" w:cs="仿宋_GB2312"/>
          <w:color w:val="auto"/>
          <w:sz w:val="32"/>
          <w:szCs w:val="32"/>
        </w:rPr>
        <w:t>市中小学心理健康教师专业能力竞赛及培训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由市教科院具体组织的高三质量检测与教师教研素养提升</w:t>
      </w:r>
      <w:r>
        <w:rPr>
          <w:rFonts w:hint="eastAsia" w:ascii="仿宋_GB2312" w:hAnsi="仿宋_GB2312" w:eastAsia="仿宋_GB2312" w:cs="仿宋_GB2312"/>
          <w:color w:val="auto"/>
          <w:sz w:val="32"/>
          <w:szCs w:val="32"/>
        </w:rPr>
        <w:t>。</w:t>
      </w:r>
    </w:p>
    <w:p>
      <w:pPr>
        <w:adjustRightInd w:val="0"/>
        <w:snapToGrid w:val="0"/>
        <w:spacing w:line="600" w:lineRule="exact"/>
        <w:ind w:firstLine="643" w:firstLineChars="200"/>
        <w:rPr>
          <w:rFonts w:hint="eastAsia" w:eastAsia="楷体_GB2312"/>
          <w:b/>
          <w:sz w:val="32"/>
          <w:szCs w:val="32"/>
        </w:rPr>
      </w:pPr>
      <w:r>
        <w:rPr>
          <w:rFonts w:hint="eastAsia" w:eastAsia="楷体_GB2312"/>
          <w:b/>
          <w:sz w:val="32"/>
          <w:szCs w:val="32"/>
          <w:lang w:eastAsia="zh-CN"/>
        </w:rPr>
        <w:t>（</w:t>
      </w:r>
      <w:r>
        <w:rPr>
          <w:rFonts w:hint="eastAsia" w:eastAsia="楷体_GB2312"/>
          <w:b/>
          <w:sz w:val="32"/>
          <w:szCs w:val="32"/>
          <w:lang w:val="en-US" w:eastAsia="zh-CN"/>
        </w:rPr>
        <w:t>二</w:t>
      </w:r>
      <w:r>
        <w:rPr>
          <w:rFonts w:hint="eastAsia" w:eastAsia="楷体_GB2312"/>
          <w:b/>
          <w:sz w:val="32"/>
          <w:szCs w:val="32"/>
          <w:lang w:eastAsia="zh-CN"/>
        </w:rPr>
        <w:t>）</w:t>
      </w:r>
      <w:r>
        <w:rPr>
          <w:rFonts w:hint="eastAsia" w:eastAsia="楷体_GB2312"/>
          <w:b/>
          <w:sz w:val="32"/>
          <w:szCs w:val="32"/>
        </w:rPr>
        <w:t>资金使用管理情况。</w:t>
      </w:r>
    </w:p>
    <w:p>
      <w:pPr>
        <w:snapToGrid w:val="0"/>
        <w:spacing w:line="560" w:lineRule="exact"/>
        <w:ind w:right="137" w:firstLine="627" w:firstLineChars="196"/>
        <w:rPr>
          <w:rFonts w:hint="eastAsia" w:ascii="仿宋_GB2312" w:hAnsi="宋体" w:eastAsia="仿宋_GB2312" w:cs="仿宋_GB2312"/>
          <w:color w:val="0000FF"/>
          <w:kern w:val="0"/>
          <w:sz w:val="31"/>
          <w:szCs w:val="31"/>
          <w:lang w:val="en-US" w:eastAsia="zh-CN" w:bidi="ar"/>
        </w:rPr>
      </w:pP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教师素养提升（教师培训）</w:t>
      </w:r>
      <w:r>
        <w:rPr>
          <w:rFonts w:hint="eastAsia" w:ascii="仿宋_GB2312" w:hAnsi="仿宋_GB2312" w:eastAsia="仿宋_GB2312" w:cs="仿宋_GB2312"/>
          <w:color w:val="auto"/>
          <w:sz w:val="32"/>
          <w:szCs w:val="32"/>
          <w:lang w:val="en-US" w:eastAsia="zh-CN"/>
        </w:rPr>
        <w:t>专项资金135.7万元，其中：1.益阳开放大学举办三个培训班，共计44.9万元，由市财政拨付</w:t>
      </w:r>
      <w:r>
        <w:rPr>
          <w:rFonts w:hint="eastAsia" w:ascii="仿宋_GB2312" w:hAnsi="仿宋_GB2312" w:eastAsia="仿宋_GB2312" w:cs="仿宋_GB2312"/>
          <w:color w:val="auto"/>
          <w:sz w:val="32"/>
          <w:szCs w:val="32"/>
        </w:rPr>
        <w:t>益阳市中小学教师发展中心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已全部支付无结余。2.</w:t>
      </w:r>
      <w:r>
        <w:rPr>
          <w:rFonts w:hint="eastAsia" w:ascii="仿宋_GB2312" w:hAnsi="仿宋_GB2312" w:eastAsia="仿宋_GB2312" w:cs="仿宋_GB2312"/>
          <w:color w:val="auto"/>
          <w:sz w:val="32"/>
          <w:szCs w:val="32"/>
        </w:rPr>
        <w:t>全市基础教育学科培训</w:t>
      </w:r>
      <w:r>
        <w:rPr>
          <w:rFonts w:hint="eastAsia" w:ascii="仿宋_GB2312" w:hAnsi="仿宋_GB2312" w:eastAsia="仿宋_GB2312" w:cs="仿宋_GB2312"/>
          <w:color w:val="auto"/>
          <w:sz w:val="32"/>
          <w:szCs w:val="32"/>
          <w:lang w:val="en-US" w:eastAsia="zh-CN"/>
        </w:rPr>
        <w:t>及日常培训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共计37.175万元，学科培训由市财政拨付市教育局后再</w:t>
      </w:r>
      <w:r>
        <w:rPr>
          <w:rFonts w:hint="eastAsia" w:ascii="仿宋_GB2312" w:hAnsi="仿宋_GB2312" w:eastAsia="仿宋_GB2312" w:cs="仿宋_GB2312"/>
          <w:sz w:val="32"/>
          <w:szCs w:val="32"/>
        </w:rPr>
        <w:t>统一至拨付相关承办</w:t>
      </w:r>
      <w:r>
        <w:rPr>
          <w:rFonts w:hint="eastAsia" w:ascii="仿宋_GB2312" w:hAnsi="仿宋_GB2312" w:eastAsia="仿宋_GB2312" w:cs="仿宋_GB2312"/>
          <w:sz w:val="32"/>
          <w:szCs w:val="32"/>
          <w:lang w:val="en-US" w:eastAsia="zh-CN"/>
        </w:rPr>
        <w:t>学校，日常培训按机关项目支出支付</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3.全</w:t>
      </w:r>
      <w:r>
        <w:rPr>
          <w:rFonts w:hint="eastAsia" w:ascii="仿宋_GB2312" w:hAnsi="仿宋_GB2312" w:eastAsia="仿宋_GB2312" w:cs="仿宋_GB2312"/>
          <w:color w:val="auto"/>
          <w:sz w:val="32"/>
          <w:szCs w:val="32"/>
        </w:rPr>
        <w:t>市中小学心理健康教师专业能力竞赛及培训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共计3.625万元，由市财政拨付资阳区教育局，已全部支付无结余。4.高三质量检测与教师教研素养提升，由市财政拨付市教科院，共计50万元，已全部支付无结余。</w:t>
      </w:r>
    </w:p>
    <w:p>
      <w:pPr>
        <w:snapToGrid w:val="0"/>
        <w:spacing w:line="560" w:lineRule="exact"/>
        <w:ind w:right="137" w:firstLine="630" w:firstLineChars="196"/>
        <w:rPr>
          <w:rFonts w:eastAsia="楷体_GB2312" w:cs="Times New Roman"/>
          <w:b/>
          <w:sz w:val="32"/>
          <w:szCs w:val="32"/>
        </w:rPr>
      </w:pPr>
      <w:r>
        <w:rPr>
          <w:rFonts w:hint="eastAsia" w:eastAsia="楷体_GB2312" w:cs="Times New Roman"/>
          <w:b/>
          <w:sz w:val="32"/>
          <w:szCs w:val="32"/>
          <w:lang w:eastAsia="zh-CN"/>
        </w:rPr>
        <w:t>（</w:t>
      </w:r>
      <w:r>
        <w:rPr>
          <w:rFonts w:hint="eastAsia" w:eastAsia="楷体_GB2312" w:cs="Times New Roman"/>
          <w:b/>
          <w:sz w:val="32"/>
          <w:szCs w:val="32"/>
          <w:lang w:val="en-US" w:eastAsia="zh-CN"/>
        </w:rPr>
        <w:t>三</w:t>
      </w:r>
      <w:r>
        <w:rPr>
          <w:rFonts w:hint="eastAsia" w:eastAsia="楷体_GB2312" w:cs="Times New Roman"/>
          <w:b/>
          <w:sz w:val="32"/>
          <w:szCs w:val="32"/>
          <w:lang w:eastAsia="zh-CN"/>
        </w:rPr>
        <w:t>）</w:t>
      </w:r>
      <w:r>
        <w:rPr>
          <w:rFonts w:eastAsia="楷体_GB2312" w:cs="Times New Roman"/>
          <w:b/>
          <w:sz w:val="32"/>
          <w:szCs w:val="32"/>
        </w:rPr>
        <w:t>绩效目标完成程度。</w:t>
      </w:r>
    </w:p>
    <w:p>
      <w:pPr>
        <w:keepNext w:val="0"/>
        <w:keepLines w:val="0"/>
        <w:pageBreakBefore w:val="0"/>
        <w:kinsoku/>
        <w:wordWrap/>
        <w:overflowPunct/>
        <w:topLinePunct/>
        <w:autoSpaceDE/>
        <w:autoSpaceDN/>
        <w:bidi w:val="0"/>
        <w:spacing w:line="580" w:lineRule="exact"/>
        <w:ind w:firstLine="62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三个培训以“教育管理骨干领导力提升”为主题，以清廉学校党组织建设、教育教学质量提升、全面发展素质教育、个性化需求诊断、典型案例分享、学校发展路径等为主要内容，着力提升校长综合素质和管理能力，为各县市区教育工作建设一支具有现代教学管理理念的高素质、高水平、专业化的教育管理骨干队伍，全面推进素质教育和教育现代化，共培训1078人次，市教育局各科室负责人、年轻干部列席专家讲座。</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2.全市基础教育学科培训会，分学段分学科专业分别于2023年2月25-26日和3月23-24日在益阳市一中等11所学校举行。培训以“教育教学专业能力素养提升”为主题，以示范课展示、专家点评、复习备考经验交流、专家报告等为主要内容，着力提升广大教师业务能力和专业水平，共培训教师4200余人次。</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3.全市中小学心理健康教师专业能力竞赛及培训。全市心理健康专兼职教师300余人参加培训。经县市区和市直学校择优推荐，小学组和初中组各8名心理健康教育教师参加了市级竞赛，以本次活动为契机，强化宣传，培育典型，积极探索心理健康教育人才培养新模式，不断提高中小学教师心理健康教育专业能力。</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4.高三质量检测与教师教研素养提升。组织2023届高三4月质量检测、2024届高三9月质量检测、2023年下学期普通高中和初中毕业科目期末质量检测，利用网络评卷和大数据分析，为全市初中和普通高中学校提供科学数据。协助市教育局组织开展数学、物理、化学学科素养与创新知识大赛，破解拔尖创新人才培养的难点工作。2023年为提升教师队伍水平，协助教育局开展了学科培训、教学比武、素养大赛、质量监测、义务教育阶学科教学竞赛活动暨教学改革培训会等多项工作，共有3000名以上教师参竞赛和观摩，通过现场课堂教学竞赛与教研员的专题讲座，很好地发挥教研部门服务教学实践，引领教师践行五育并举。</w:t>
      </w:r>
    </w:p>
    <w:p>
      <w:pPr>
        <w:numPr>
          <w:ilvl w:val="0"/>
          <w:numId w:val="0"/>
        </w:numPr>
        <w:adjustRightInd w:val="0"/>
        <w:snapToGrid w:val="0"/>
        <w:spacing w:line="600" w:lineRule="exact"/>
        <w:ind w:firstLine="640"/>
        <w:rPr>
          <w:rFonts w:hint="default" w:ascii="黑体" w:hAnsi="黑体" w:eastAsia="黑体" w:cs="Times New Roman"/>
          <w:sz w:val="32"/>
          <w:lang w:val="en-US" w:eastAsia="zh-CN"/>
        </w:rPr>
      </w:pPr>
      <w:r>
        <w:rPr>
          <w:rFonts w:hint="eastAsia" w:ascii="黑体" w:hAnsi="黑体" w:eastAsia="黑体" w:cs="Times New Roman"/>
          <w:sz w:val="32"/>
          <w:lang w:val="en-US" w:eastAsia="zh-CN"/>
        </w:rPr>
        <w:t>二、部门评价工作开展情况</w:t>
      </w:r>
    </w:p>
    <w:p>
      <w:pPr>
        <w:numPr>
          <w:ilvl w:val="0"/>
          <w:numId w:val="0"/>
        </w:numPr>
        <w:adjustRightInd w:val="0"/>
        <w:snapToGrid w:val="0"/>
        <w:spacing w:line="600" w:lineRule="exact"/>
        <w:ind w:firstLine="640"/>
        <w:rPr>
          <w:rFonts w:hint="default" w:ascii="黑体" w:hAnsi="黑体" w:eastAsia="黑体" w:cs="Times New Roman"/>
          <w:sz w:val="32"/>
          <w:lang w:val="en-US" w:eastAsia="zh-CN"/>
        </w:rPr>
      </w:pPr>
      <w:r>
        <w:rPr>
          <w:rFonts w:hint="eastAsia" w:ascii="仿宋_GB2312" w:hAnsi="仿宋_GB2312" w:eastAsia="仿宋_GB2312" w:cs="仿宋_GB2312"/>
          <w:color w:val="auto"/>
          <w:sz w:val="32"/>
          <w:szCs w:val="32"/>
          <w:lang w:val="en-US" w:eastAsia="zh-CN"/>
        </w:rPr>
        <w:t>各地各校高度重视此次培训工作，大型培训由县市区安排1-2名领队协助日常管理工作，安排参训学员统一乘车参训确保参训期间学员安全。为保证培训效果，所有参培学员提前处理各自公私事务，自始至终参加培训，没有换人、请假、迟到或早退等情况发生。市教育局业务科室、机关纪委、承办单位纪委对培训进行考勤通报。培训项目开展高效有序，充分发挥了示范引领作用，队伍整体素质不断提升。</w:t>
      </w:r>
    </w:p>
    <w:p>
      <w:pPr>
        <w:adjustRightInd w:val="0"/>
        <w:snapToGrid w:val="0"/>
        <w:spacing w:line="600" w:lineRule="exact"/>
        <w:ind w:firstLine="640" w:firstLineChars="200"/>
        <w:rPr>
          <w:rFonts w:hint="eastAsia" w:ascii="黑体" w:hAnsi="黑体" w:eastAsia="黑体"/>
          <w:sz w:val="32"/>
        </w:rPr>
      </w:pPr>
      <w:r>
        <w:rPr>
          <w:rFonts w:hint="eastAsia" w:ascii="黑体" w:hAnsi="黑体" w:eastAsia="黑体"/>
          <w:sz w:val="32"/>
        </w:rPr>
        <w:t>三、综合评价结论</w:t>
      </w:r>
    </w:p>
    <w:p>
      <w:pPr>
        <w:numPr>
          <w:ilvl w:val="0"/>
          <w:numId w:val="0"/>
        </w:numPr>
        <w:adjustRightInd w:val="0"/>
        <w:snapToGrid w:val="0"/>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根据该项目资金绩效评价指标体系和绩效检查情况，该项目整体绩效分值100分，自评得分100分，评价等级为“优秀”。</w:t>
      </w:r>
    </w:p>
    <w:p>
      <w:pPr>
        <w:numPr>
          <w:ilvl w:val="0"/>
          <w:numId w:val="1"/>
        </w:numPr>
        <w:adjustRightInd w:val="0"/>
        <w:snapToGrid w:val="0"/>
        <w:spacing w:line="600" w:lineRule="exact"/>
        <w:ind w:firstLine="640" w:firstLineChars="200"/>
        <w:rPr>
          <w:rFonts w:hint="eastAsia" w:ascii="黑体" w:hAnsi="黑体" w:eastAsia="黑体"/>
          <w:sz w:val="32"/>
        </w:rPr>
      </w:pPr>
      <w:r>
        <w:rPr>
          <w:rFonts w:hint="eastAsia" w:ascii="黑体" w:hAnsi="黑体" w:eastAsia="黑体"/>
          <w:sz w:val="32"/>
        </w:rPr>
        <w:t>绩效目标实现情况分析</w:t>
      </w:r>
    </w:p>
    <w:p>
      <w:pPr>
        <w:numPr>
          <w:ilvl w:val="0"/>
          <w:numId w:val="0"/>
        </w:numPr>
        <w:adjustRightInd w:val="0"/>
        <w:snapToGrid w:val="0"/>
        <w:spacing w:line="600" w:lineRule="exact"/>
        <w:ind w:leftChars="200"/>
        <w:rPr>
          <w:rFonts w:hint="eastAsia" w:eastAsia="楷体_GB2312" w:cs="Times New Roman"/>
          <w:b/>
          <w:sz w:val="32"/>
          <w:szCs w:val="32"/>
        </w:rPr>
      </w:pPr>
      <w:r>
        <w:rPr>
          <w:rFonts w:hint="eastAsia" w:eastAsia="楷体_GB2312" w:cs="Times New Roman"/>
          <w:b/>
          <w:sz w:val="32"/>
          <w:szCs w:val="32"/>
          <w:lang w:eastAsia="zh-CN"/>
        </w:rPr>
        <w:t>（</w:t>
      </w:r>
      <w:r>
        <w:rPr>
          <w:rFonts w:hint="eastAsia" w:eastAsia="楷体_GB2312" w:cs="Times New Roman"/>
          <w:b/>
          <w:sz w:val="32"/>
          <w:szCs w:val="32"/>
          <w:lang w:val="en-US" w:eastAsia="zh-CN"/>
        </w:rPr>
        <w:t>一</w:t>
      </w:r>
      <w:r>
        <w:rPr>
          <w:rFonts w:hint="eastAsia" w:eastAsia="楷体_GB2312" w:cs="Times New Roman"/>
          <w:b/>
          <w:sz w:val="32"/>
          <w:szCs w:val="32"/>
          <w:lang w:eastAsia="zh-CN"/>
        </w:rPr>
        <w:t>）</w:t>
      </w:r>
      <w:r>
        <w:rPr>
          <w:rFonts w:hint="eastAsia" w:eastAsia="楷体_GB2312" w:cs="Times New Roman"/>
          <w:b/>
          <w:sz w:val="32"/>
          <w:szCs w:val="32"/>
        </w:rPr>
        <w:t>预算支出决策情况</w:t>
      </w:r>
    </w:p>
    <w:p>
      <w:pPr>
        <w:numPr>
          <w:ilvl w:val="0"/>
          <w:numId w:val="0"/>
        </w:numPr>
        <w:adjustRightInd w:val="0"/>
        <w:snapToGrid w:val="0"/>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预算支出决策方面，市教育局对中小学教师培训项目给予了充分的重视，并根据教育发展的需求和教师队伍建设的实际情况，制定了合理的预算支出计划，充分考虑了教师培训的重要性和紧迫性，为项目的顺利实施提供了资金保障。</w:t>
      </w:r>
    </w:p>
    <w:p>
      <w:pPr>
        <w:numPr>
          <w:ilvl w:val="0"/>
          <w:numId w:val="0"/>
        </w:numPr>
        <w:adjustRightInd w:val="0"/>
        <w:snapToGrid w:val="0"/>
        <w:spacing w:line="600" w:lineRule="exact"/>
        <w:ind w:firstLine="643" w:firstLineChars="200"/>
        <w:rPr>
          <w:rFonts w:eastAsia="楷体_GB2312" w:cs="Times New Roman"/>
          <w:b/>
          <w:sz w:val="32"/>
          <w:szCs w:val="32"/>
        </w:rPr>
      </w:pPr>
      <w:r>
        <w:rPr>
          <w:rFonts w:hint="eastAsia" w:eastAsia="楷体_GB2312" w:cs="Times New Roman"/>
          <w:b/>
          <w:sz w:val="32"/>
          <w:szCs w:val="32"/>
          <w:lang w:eastAsia="zh-CN"/>
        </w:rPr>
        <w:t>（</w:t>
      </w:r>
      <w:r>
        <w:rPr>
          <w:rFonts w:hint="eastAsia" w:eastAsia="楷体_GB2312" w:cs="Times New Roman"/>
          <w:b/>
          <w:sz w:val="32"/>
          <w:szCs w:val="32"/>
          <w:lang w:val="en-US" w:eastAsia="zh-CN"/>
        </w:rPr>
        <w:t>二</w:t>
      </w:r>
      <w:r>
        <w:rPr>
          <w:rFonts w:hint="eastAsia" w:eastAsia="楷体_GB2312" w:cs="Times New Roman"/>
          <w:b/>
          <w:sz w:val="32"/>
          <w:szCs w:val="32"/>
          <w:lang w:eastAsia="zh-CN"/>
        </w:rPr>
        <w:t>）</w:t>
      </w:r>
      <w:r>
        <w:rPr>
          <w:rFonts w:eastAsia="楷体_GB2312" w:cs="Times New Roman"/>
          <w:b/>
          <w:sz w:val="32"/>
          <w:szCs w:val="32"/>
        </w:rPr>
        <w:t>预算执行过程情况</w:t>
      </w:r>
    </w:p>
    <w:p>
      <w:pPr>
        <w:numPr>
          <w:ilvl w:val="0"/>
          <w:numId w:val="0"/>
        </w:numPr>
        <w:adjustRightInd w:val="0"/>
        <w:snapToGrid w:val="0"/>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预算执行过程中，市教育局严格按照预算计划执行，确保资金使用的合规性和有效性。根据益阳市教育局关于教育培训资金使用说明，培训前均进行了项目经费预算和审批，严格按照要求专款专用，这表明在预算执行过程中，市教育局能够严格按照预算计划使用资金，确保资金使用的合理性和有效性。</w:t>
      </w:r>
    </w:p>
    <w:p>
      <w:pPr>
        <w:adjustRightInd w:val="0"/>
        <w:snapToGrid w:val="0"/>
        <w:spacing w:line="600" w:lineRule="exact"/>
        <w:ind w:firstLine="643" w:firstLineChars="200"/>
        <w:rPr>
          <w:rFonts w:eastAsia="楷体_GB2312" w:cs="Times New Roman"/>
          <w:b/>
          <w:sz w:val="32"/>
          <w:szCs w:val="32"/>
        </w:rPr>
      </w:pPr>
      <w:r>
        <w:rPr>
          <w:rFonts w:hint="eastAsia" w:eastAsia="楷体_GB2312" w:cs="Times New Roman"/>
          <w:b/>
          <w:sz w:val="32"/>
          <w:szCs w:val="32"/>
          <w:lang w:eastAsia="zh-CN"/>
        </w:rPr>
        <w:t>（</w:t>
      </w:r>
      <w:r>
        <w:rPr>
          <w:rFonts w:hint="eastAsia" w:eastAsia="楷体_GB2312" w:cs="Times New Roman"/>
          <w:b/>
          <w:sz w:val="32"/>
          <w:szCs w:val="32"/>
          <w:lang w:val="en-US" w:eastAsia="zh-CN"/>
        </w:rPr>
        <w:t>三</w:t>
      </w:r>
      <w:r>
        <w:rPr>
          <w:rFonts w:hint="eastAsia" w:eastAsia="楷体_GB2312" w:cs="Times New Roman"/>
          <w:b/>
          <w:sz w:val="32"/>
          <w:szCs w:val="32"/>
          <w:lang w:eastAsia="zh-CN"/>
        </w:rPr>
        <w:t>）</w:t>
      </w:r>
      <w:r>
        <w:rPr>
          <w:rFonts w:eastAsia="楷体_GB2312" w:cs="Times New Roman"/>
          <w:b/>
          <w:sz w:val="32"/>
          <w:szCs w:val="32"/>
        </w:rPr>
        <w:t>预算支出产出情况</w:t>
      </w:r>
    </w:p>
    <w:p>
      <w:pPr>
        <w:numPr>
          <w:ilvl w:val="0"/>
          <w:numId w:val="0"/>
        </w:numPr>
        <w:adjustRightInd w:val="0"/>
        <w:snapToGrid w:val="0"/>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在预算支出产出方面，</w:t>
      </w:r>
      <w:r>
        <w:rPr>
          <w:rFonts w:hint="eastAsia" w:ascii="仿宋_GB2312" w:hAnsi="仿宋_GB2312" w:eastAsia="仿宋_GB2312" w:cs="仿宋_GB2312"/>
          <w:color w:val="auto"/>
          <w:sz w:val="32"/>
          <w:szCs w:val="32"/>
        </w:rPr>
        <w:t>教师素养提升（教师培训）</w:t>
      </w:r>
      <w:r>
        <w:rPr>
          <w:rFonts w:hint="eastAsia" w:ascii="仿宋_GB2312" w:hAnsi="仿宋_GB2312" w:eastAsia="仿宋_GB2312" w:cs="仿宋_GB2312"/>
          <w:color w:val="auto"/>
          <w:sz w:val="32"/>
          <w:szCs w:val="32"/>
          <w:lang w:val="en-US" w:eastAsia="zh-CN"/>
        </w:rPr>
        <w:t>项目取得了显著成果。通过培训，中小学书记（校长）、骨干教师和教育行政干部的管理水平以及教研员、学科教师和心理健康教师的教育教学能力和专业技能都得到了有效提升，为益阳市中小学教育质量的提升奠定了坚实基础。同时，培训项目的实施也促进了教师队伍的整体发展，提高了教师队伍的整体素质。</w:t>
      </w:r>
    </w:p>
    <w:p>
      <w:pPr>
        <w:adjustRightInd w:val="0"/>
        <w:snapToGrid w:val="0"/>
        <w:spacing w:line="600" w:lineRule="exact"/>
        <w:ind w:firstLine="643" w:firstLineChars="200"/>
        <w:rPr>
          <w:rFonts w:eastAsia="楷体_GB2312" w:cs="Times New Roman"/>
          <w:b/>
          <w:sz w:val="32"/>
          <w:szCs w:val="32"/>
        </w:rPr>
      </w:pPr>
      <w:r>
        <w:rPr>
          <w:rFonts w:hint="eastAsia" w:eastAsia="楷体_GB2312" w:cs="Times New Roman"/>
          <w:b/>
          <w:sz w:val="32"/>
          <w:szCs w:val="32"/>
          <w:lang w:eastAsia="zh-CN"/>
        </w:rPr>
        <w:t>（</w:t>
      </w:r>
      <w:r>
        <w:rPr>
          <w:rFonts w:hint="eastAsia" w:eastAsia="楷体_GB2312" w:cs="Times New Roman"/>
          <w:b/>
          <w:sz w:val="32"/>
          <w:szCs w:val="32"/>
          <w:lang w:val="en-US" w:eastAsia="zh-CN"/>
        </w:rPr>
        <w:t>四</w:t>
      </w:r>
      <w:r>
        <w:rPr>
          <w:rFonts w:hint="eastAsia" w:eastAsia="楷体_GB2312" w:cs="Times New Roman"/>
          <w:b/>
          <w:sz w:val="32"/>
          <w:szCs w:val="32"/>
          <w:lang w:eastAsia="zh-CN"/>
        </w:rPr>
        <w:t>）</w:t>
      </w:r>
      <w:r>
        <w:rPr>
          <w:rFonts w:eastAsia="楷体_GB2312" w:cs="Times New Roman"/>
          <w:b/>
          <w:sz w:val="32"/>
          <w:szCs w:val="32"/>
        </w:rPr>
        <w:t>预算支出效益情况</w:t>
      </w:r>
    </w:p>
    <w:p>
      <w:pPr>
        <w:adjustRightInd w:val="0"/>
        <w:snapToGrid w:val="0"/>
        <w:spacing w:line="600" w:lineRule="exact"/>
        <w:ind w:firstLine="640" w:firstLineChars="200"/>
        <w:rPr>
          <w:rFonts w:hint="eastAsia" w:ascii="仿宋" w:hAnsi="仿宋" w:eastAsia="仿宋" w:cs="Times New Roman"/>
          <w:sz w:val="32"/>
          <w:szCs w:val="32"/>
        </w:rPr>
      </w:pPr>
      <w:r>
        <w:rPr>
          <w:rFonts w:hint="eastAsia" w:ascii="仿宋_GB2312" w:hAnsi="仿宋_GB2312" w:eastAsia="仿宋_GB2312" w:cs="仿宋_GB2312"/>
          <w:color w:val="auto"/>
          <w:sz w:val="32"/>
          <w:szCs w:val="32"/>
          <w:lang w:val="en-US" w:eastAsia="zh-CN"/>
        </w:rPr>
        <w:t>在预算支出效益方面，</w:t>
      </w:r>
      <w:r>
        <w:rPr>
          <w:rFonts w:hint="eastAsia" w:ascii="仿宋_GB2312" w:hAnsi="仿宋_GB2312" w:eastAsia="仿宋_GB2312" w:cs="仿宋_GB2312"/>
          <w:color w:val="auto"/>
          <w:sz w:val="32"/>
          <w:szCs w:val="32"/>
        </w:rPr>
        <w:t>教师素养提升（教师培训）</w:t>
      </w:r>
      <w:r>
        <w:rPr>
          <w:rFonts w:hint="eastAsia" w:ascii="仿宋_GB2312" w:hAnsi="仿宋_GB2312" w:eastAsia="仿宋_GB2312" w:cs="仿宋_GB2312"/>
          <w:color w:val="auto"/>
          <w:sz w:val="32"/>
          <w:szCs w:val="32"/>
          <w:lang w:val="en-US" w:eastAsia="zh-CN"/>
        </w:rPr>
        <w:t>项目取得了良好的社会效益和经济效益。社会效益方面，通过项目的实施，益阳市中小学教育质量得到了提升，为益阳社会培养了大量优秀人才。经济效益方面，虽然教师培训项目需要一定的资金投入，但长远来看，这些投入将转化为教育质量的提升和人才培养的成果，为当地经济社会发展提供有力支持。</w:t>
      </w:r>
    </w:p>
    <w:p>
      <w:pPr>
        <w:numPr>
          <w:ilvl w:val="0"/>
          <w:numId w:val="0"/>
        </w:numPr>
        <w:adjustRightInd w:val="0"/>
        <w:snapToGrid w:val="0"/>
        <w:spacing w:line="600" w:lineRule="exact"/>
        <w:ind w:firstLine="640" w:firstLineChars="200"/>
        <w:rPr>
          <w:rFonts w:hint="eastAsia" w:ascii="黑体" w:hAnsi="黑体" w:eastAsia="黑体"/>
          <w:sz w:val="32"/>
        </w:rPr>
      </w:pPr>
      <w:r>
        <w:rPr>
          <w:rFonts w:hint="eastAsia" w:ascii="黑体" w:hAnsi="黑体" w:eastAsia="黑体"/>
          <w:sz w:val="32"/>
          <w:lang w:val="en-US" w:eastAsia="zh-CN"/>
        </w:rPr>
        <w:t>四、</w:t>
      </w:r>
      <w:r>
        <w:rPr>
          <w:rFonts w:hint="eastAsia" w:ascii="黑体" w:hAnsi="黑体" w:eastAsia="黑体"/>
          <w:sz w:val="32"/>
        </w:rPr>
        <w:t>存在的问题和改进措施</w:t>
      </w:r>
    </w:p>
    <w:p>
      <w:pPr>
        <w:adjustRightInd w:val="0"/>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存在的主要问题一是培训方式单一，主要采用传统的讲授式培训方式，缺乏互动性和参与性；二是培训效果评估不够全面，以考试形式这一单一模式进行，没有后续跟进。后续培训我们将进一步优化培训内容，引入更多与教学实践相关的案例分析和教学技能训练，提高培训的针对性和实用性；完善培训效果评估机制，建立全面、客观的评估体系，除了知识掌握情况的评估外，还要关注后期教师教学行为的改变，确保培训效果的真实性和有效性。</w:t>
      </w:r>
    </w:p>
    <w:p>
      <w:pPr>
        <w:numPr>
          <w:ilvl w:val="0"/>
          <w:numId w:val="0"/>
        </w:numPr>
        <w:adjustRightInd w:val="0"/>
        <w:snapToGrid w:val="0"/>
        <w:spacing w:line="600" w:lineRule="exact"/>
        <w:ind w:firstLine="640" w:firstLineChars="200"/>
        <w:rPr>
          <w:rFonts w:hint="default" w:ascii="黑体" w:hAnsi="黑体" w:eastAsia="黑体" w:cs="Times New Roman"/>
          <w:sz w:val="32"/>
          <w:lang w:val="en-US" w:eastAsia="zh-CN"/>
        </w:rPr>
      </w:pPr>
      <w:r>
        <w:rPr>
          <w:rFonts w:hint="eastAsia" w:ascii="黑体" w:hAnsi="黑体" w:eastAsia="黑体" w:cs="Times New Roman"/>
          <w:sz w:val="32"/>
          <w:lang w:val="en-US" w:eastAsia="zh-CN"/>
        </w:rPr>
        <w:t>五、部门评价结果拟应用和公开情况</w:t>
      </w:r>
    </w:p>
    <w:p>
      <w:pPr>
        <w:spacing w:line="600" w:lineRule="exact"/>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培训，中小学书记（校长）、骨干教师和教育行政干部的管理水平以及教研员、学科教师和心理健康教师的教育教学能力和专业技能都得到了有效提升。拟根据实际情况，继续推选一批清廉学校、遴选一批名校长、名师和骨干教师，并充分发挥示范引领作用，促进全市教师队伍的整体发展和全市中小学教育质量的整体提升。</w:t>
      </w:r>
    </w:p>
    <w:p>
      <w:pPr>
        <w:numPr>
          <w:ilvl w:val="0"/>
          <w:numId w:val="0"/>
        </w:numPr>
        <w:adjustRightInd w:val="0"/>
        <w:snapToGrid w:val="0"/>
        <w:spacing w:line="600" w:lineRule="exact"/>
        <w:ind w:firstLine="640" w:firstLineChars="200"/>
        <w:rPr>
          <w:rFonts w:hint="default" w:ascii="黑体" w:hAnsi="黑体" w:eastAsia="黑体" w:cs="Times New Roman"/>
          <w:sz w:val="32"/>
          <w:lang w:val="en-US" w:eastAsia="zh-CN"/>
        </w:rPr>
      </w:pPr>
      <w:r>
        <w:rPr>
          <w:rFonts w:hint="eastAsia" w:ascii="黑体" w:hAnsi="黑体" w:eastAsia="黑体" w:cs="Times New Roman"/>
          <w:sz w:val="32"/>
          <w:lang w:val="en-US" w:eastAsia="zh-CN"/>
        </w:rPr>
        <w:t>六、其他需要说明的问题</w:t>
      </w:r>
    </w:p>
    <w:p>
      <w:pPr>
        <w:spacing w:line="600" w:lineRule="exact"/>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spacing w:line="600" w:lineRule="exact"/>
        <w:ind w:firstLine="640"/>
        <w:jc w:val="left"/>
        <w:rPr>
          <w:rFonts w:hint="default"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附件：部门评价绩效指标评分表</w:t>
      </w: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spacing w:line="600" w:lineRule="exact"/>
        <w:ind w:firstLine="640"/>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b/>
          <w:bCs/>
          <w:sz w:val="32"/>
          <w:szCs w:val="32"/>
        </w:rPr>
      </w:pPr>
      <w:r>
        <w:rPr>
          <w:rFonts w:hint="eastAsia" w:ascii="仿宋_GB2312"/>
          <w:b/>
          <w:bCs/>
          <w:sz w:val="32"/>
          <w:szCs w:val="32"/>
        </w:rPr>
        <w:t>2023年度教师素养提升（教师培训）项目资金部门评价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b/>
          <w:bCs/>
          <w:sz w:val="32"/>
          <w:szCs w:val="32"/>
        </w:rPr>
      </w:pPr>
      <w:r>
        <w:rPr>
          <w:rFonts w:hint="eastAsia" w:ascii="仿宋_GB2312"/>
          <w:b/>
          <w:bCs/>
          <w:sz w:val="32"/>
          <w:szCs w:val="32"/>
        </w:rPr>
        <w:t>指标体系评分表</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9"/>
        <w:gridCol w:w="999"/>
        <w:gridCol w:w="645"/>
        <w:gridCol w:w="2084"/>
        <w:gridCol w:w="2951"/>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pPr>
              <w:jc w:val="center"/>
              <w:rPr>
                <w:rFonts w:hint="eastAsia" w:ascii="仿宋_GB2312"/>
                <w:sz w:val="21"/>
                <w:szCs w:val="21"/>
              </w:rPr>
            </w:pPr>
            <w:r>
              <w:rPr>
                <w:rFonts w:hint="eastAsia" w:ascii="仿宋_GB2312"/>
                <w:sz w:val="21"/>
                <w:szCs w:val="21"/>
              </w:rPr>
              <w:t>预算支出决策</w:t>
            </w:r>
          </w:p>
          <w:p>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预算支出决策（项目立项）依据</w:t>
            </w:r>
          </w:p>
          <w:p>
            <w:pPr>
              <w:spacing w:line="260" w:lineRule="exact"/>
              <w:ind w:left="105" w:leftChars="50" w:right="105" w:rightChars="50"/>
              <w:jc w:val="center"/>
              <w:rPr>
                <w:rFonts w:hint="eastAsia" w:ascii="仿宋_GB2312"/>
                <w:sz w:val="21"/>
                <w:szCs w:val="21"/>
              </w:rPr>
            </w:pPr>
            <w:r>
              <w:rPr>
                <w:rFonts w:hint="eastAsia" w:ascii="仿宋_GB2312"/>
                <w:sz w:val="21"/>
                <w:szCs w:val="21"/>
              </w:rPr>
              <w:t>充分性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pPr>
              <w:jc w:val="cente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决策（立项）程序规范性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p>
          <w:p>
            <w:pPr>
              <w:spacing w:line="260" w:lineRule="exact"/>
              <w:ind w:left="105"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pPr>
              <w:spacing w:line="260" w:lineRule="exact"/>
              <w:ind w:left="105"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pPr>
              <w:spacing w:line="260" w:lineRule="exact"/>
              <w:ind w:left="105"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pPr>
              <w:spacing w:line="260" w:lineRule="exact"/>
              <w:ind w:left="105" w:lef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pPr>
              <w:rPr>
                <w:rFonts w:hint="eastAsia" w:ascii="仿宋_GB2312"/>
                <w:sz w:val="21"/>
                <w:szCs w:val="21"/>
              </w:rPr>
            </w:pPr>
          </w:p>
        </w:tc>
        <w:tc>
          <w:tcPr>
            <w:tcW w:w="749" w:type="dxa"/>
            <w:vMerge w:val="restart"/>
            <w:noWrap w:val="0"/>
            <w:vAlign w:val="center"/>
          </w:tcPr>
          <w:p>
            <w:pPr>
              <w:jc w:val="center"/>
              <w:rPr>
                <w:rFonts w:hint="eastAsia" w:ascii="仿宋_GB2312"/>
                <w:sz w:val="21"/>
                <w:szCs w:val="21"/>
              </w:rPr>
            </w:pPr>
            <w:r>
              <w:rPr>
                <w:rFonts w:hint="eastAsia" w:ascii="仿宋_GB2312"/>
                <w:sz w:val="21"/>
                <w:szCs w:val="21"/>
              </w:rPr>
              <w:t>绩效</w:t>
            </w:r>
          </w:p>
          <w:p>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绩效目标</w:t>
            </w:r>
          </w:p>
          <w:p>
            <w:pPr>
              <w:spacing w:line="260" w:lineRule="exact"/>
              <w:ind w:left="105" w:leftChars="50" w:right="105"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p>
          <w:p>
            <w:pPr>
              <w:spacing w:line="260" w:lineRule="exact"/>
              <w:ind w:left="105" w:leftChars="50" w:right="105" w:rightChars="50"/>
              <w:rPr>
                <w:rFonts w:hint="eastAsia" w:ascii="仿宋_GB2312"/>
                <w:sz w:val="21"/>
                <w:szCs w:val="21"/>
              </w:rPr>
            </w:pPr>
            <w:r>
              <w:rPr>
                <w:rFonts w:hint="eastAsia" w:ascii="仿宋_GB2312"/>
                <w:sz w:val="21"/>
                <w:szCs w:val="21"/>
              </w:rPr>
              <w:t>（如未设定预算绩效目标，也可考核其他工作任务目标）</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rPr>
                <w:rFonts w:hint="eastAsia" w:ascii="仿宋_GB2312"/>
                <w:sz w:val="21"/>
                <w:szCs w:val="21"/>
              </w:rPr>
            </w:pPr>
          </w:p>
        </w:tc>
        <w:tc>
          <w:tcPr>
            <w:tcW w:w="749" w:type="dxa"/>
            <w:vMerge w:val="continue"/>
            <w:noWrap w:val="0"/>
            <w:vAlign w:val="center"/>
          </w:tcPr>
          <w:p>
            <w:pPr>
              <w:jc w:val="cente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绩效指标</w:t>
            </w:r>
          </w:p>
          <w:p>
            <w:pPr>
              <w:spacing w:line="260" w:lineRule="exact"/>
              <w:ind w:left="105" w:leftChars="50" w:right="105" w:rightChars="50"/>
              <w:jc w:val="center"/>
              <w:rPr>
                <w:rFonts w:hint="eastAsia" w:ascii="仿宋_GB2312"/>
                <w:sz w:val="21"/>
                <w:szCs w:val="21"/>
              </w:rPr>
            </w:pPr>
            <w:r>
              <w:rPr>
                <w:rFonts w:hint="eastAsia" w:ascii="仿宋_GB2312"/>
                <w:sz w:val="21"/>
                <w:szCs w:val="21"/>
              </w:rPr>
              <w:t>明确性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eastAsia="仿宋_GB2312"/>
                <w:sz w:val="21"/>
                <w:szCs w:val="21"/>
                <w:lang w:val="en-US" w:eastAsia="zh-CN"/>
              </w:rPr>
            </w:pPr>
            <w:r>
              <w:rPr>
                <w:rFonts w:hint="eastAsia" w:ascii="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pPr>
              <w:spacing w:line="500" w:lineRule="exact"/>
              <w:jc w:val="center"/>
              <w:rPr>
                <w:rFonts w:hint="eastAsia" w:ascii="仿宋_GB2312"/>
                <w:sz w:val="21"/>
                <w:szCs w:val="21"/>
              </w:rPr>
            </w:pPr>
            <w:r>
              <w:rPr>
                <w:rFonts w:hint="eastAsia" w:ascii="仿宋_GB2312"/>
                <w:sz w:val="21"/>
                <w:szCs w:val="21"/>
              </w:rPr>
              <w:t>决</w:t>
            </w:r>
          </w:p>
          <w:p>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pPr>
              <w:jc w:val="center"/>
              <w:rPr>
                <w:rFonts w:hint="eastAsia" w:ascii="仿宋_GB2312"/>
                <w:sz w:val="21"/>
                <w:szCs w:val="21"/>
              </w:rPr>
            </w:pPr>
            <w:r>
              <w:rPr>
                <w:rFonts w:hint="eastAsia" w:ascii="仿宋_GB2312"/>
                <w:sz w:val="21"/>
                <w:szCs w:val="21"/>
              </w:rPr>
              <w:t>资金</w:t>
            </w:r>
          </w:p>
          <w:p>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预算</w:t>
            </w:r>
          </w:p>
          <w:p>
            <w:pPr>
              <w:spacing w:line="260" w:lineRule="exact"/>
              <w:ind w:left="105" w:leftChars="50" w:right="105" w:rightChars="50"/>
              <w:jc w:val="center"/>
              <w:rPr>
                <w:rFonts w:hint="eastAsia" w:ascii="仿宋_GB2312"/>
                <w:sz w:val="21"/>
                <w:szCs w:val="21"/>
              </w:rPr>
            </w:pPr>
            <w:r>
              <w:rPr>
                <w:rFonts w:hint="eastAsia" w:ascii="仿宋_GB2312"/>
                <w:sz w:val="21"/>
                <w:szCs w:val="21"/>
              </w:rPr>
              <w:t>编制</w:t>
            </w:r>
          </w:p>
          <w:p>
            <w:pPr>
              <w:spacing w:line="260" w:lineRule="exact"/>
              <w:ind w:left="105" w:leftChars="50" w:right="105" w:rightChars="50"/>
              <w:jc w:val="center"/>
              <w:rPr>
                <w:rFonts w:hint="eastAsia" w:ascii="仿宋_GB2312"/>
                <w:sz w:val="21"/>
                <w:szCs w:val="21"/>
              </w:rPr>
            </w:pPr>
            <w:r>
              <w:rPr>
                <w:rFonts w:hint="eastAsia" w:ascii="仿宋_GB2312"/>
                <w:sz w:val="21"/>
                <w:szCs w:val="21"/>
              </w:rPr>
              <w:t>科学性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3</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rPr>
                <w:rFonts w:hint="eastAsia" w:ascii="仿宋_GB2312"/>
                <w:sz w:val="21"/>
                <w:szCs w:val="21"/>
              </w:rPr>
            </w:pPr>
          </w:p>
        </w:tc>
        <w:tc>
          <w:tcPr>
            <w:tcW w:w="749" w:type="dxa"/>
            <w:vMerge w:val="continue"/>
            <w:noWrap w:val="0"/>
            <w:vAlign w:val="center"/>
          </w:tcPr>
          <w:p>
            <w:pPr>
              <w:jc w:val="cente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资金</w:t>
            </w:r>
          </w:p>
          <w:p>
            <w:pPr>
              <w:spacing w:line="260" w:lineRule="exact"/>
              <w:ind w:left="105" w:leftChars="50" w:right="105" w:rightChars="50"/>
              <w:jc w:val="center"/>
              <w:rPr>
                <w:rFonts w:hint="eastAsia" w:ascii="仿宋_GB2312"/>
                <w:sz w:val="21"/>
                <w:szCs w:val="21"/>
              </w:rPr>
            </w:pPr>
            <w:r>
              <w:rPr>
                <w:rFonts w:hint="eastAsia" w:ascii="仿宋_GB2312"/>
                <w:sz w:val="21"/>
                <w:szCs w:val="21"/>
              </w:rPr>
              <w:t>分配</w:t>
            </w:r>
          </w:p>
          <w:p>
            <w:pPr>
              <w:spacing w:line="260" w:lineRule="exact"/>
              <w:ind w:left="105" w:leftChars="50" w:right="105"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p>
          <w:p>
            <w:pPr>
              <w:spacing w:line="260" w:lineRule="exact"/>
              <w:ind w:right="105"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pPr>
              <w:spacing w:line="500" w:lineRule="exact"/>
              <w:jc w:val="center"/>
              <w:rPr>
                <w:rFonts w:hint="eastAsia" w:ascii="仿宋_GB2312"/>
                <w:sz w:val="21"/>
                <w:szCs w:val="21"/>
              </w:rPr>
            </w:pPr>
            <w:r>
              <w:rPr>
                <w:rFonts w:hint="eastAsia" w:ascii="仿宋_GB2312"/>
                <w:sz w:val="21"/>
                <w:szCs w:val="21"/>
              </w:rPr>
              <w:t>过</w:t>
            </w:r>
          </w:p>
          <w:p>
            <w:pPr>
              <w:spacing w:line="500" w:lineRule="exact"/>
              <w:jc w:val="center"/>
              <w:rPr>
                <w:rFonts w:hint="eastAsia" w:ascii="仿宋_GB2312"/>
                <w:sz w:val="21"/>
                <w:szCs w:val="21"/>
              </w:rPr>
            </w:pPr>
            <w:r>
              <w:rPr>
                <w:rFonts w:hint="eastAsia" w:ascii="仿宋_GB2312"/>
                <w:sz w:val="21"/>
                <w:szCs w:val="21"/>
              </w:rPr>
              <w:t>程</w:t>
            </w:r>
          </w:p>
        </w:tc>
        <w:tc>
          <w:tcPr>
            <w:tcW w:w="749" w:type="dxa"/>
            <w:vMerge w:val="restart"/>
            <w:noWrap w:val="0"/>
            <w:tcMar>
              <w:top w:w="10" w:type="dxa"/>
              <w:left w:w="10" w:type="dxa"/>
              <w:bottom w:w="0" w:type="dxa"/>
              <w:right w:w="10" w:type="dxa"/>
            </w:tcMar>
            <w:vAlign w:val="center"/>
          </w:tcPr>
          <w:p>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资金</w:t>
            </w:r>
          </w:p>
          <w:p>
            <w:pPr>
              <w:spacing w:line="260" w:lineRule="exact"/>
              <w:ind w:left="105" w:leftChars="50" w:right="105" w:rightChars="50"/>
              <w:jc w:val="center"/>
              <w:rPr>
                <w:rFonts w:hint="eastAsia" w:ascii="仿宋_GB2312"/>
                <w:sz w:val="21"/>
                <w:szCs w:val="21"/>
              </w:rPr>
            </w:pPr>
            <w:r>
              <w:rPr>
                <w:rFonts w:hint="eastAsia" w:ascii="仿宋_GB2312"/>
                <w:sz w:val="21"/>
                <w:szCs w:val="21"/>
              </w:rPr>
              <w:t>到位率</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eastAsia="仿宋_GB2312"/>
                <w:sz w:val="21"/>
                <w:szCs w:val="21"/>
                <w:lang w:val="en-US" w:eastAsia="zh-CN"/>
              </w:rPr>
            </w:pPr>
            <w:r>
              <w:rPr>
                <w:rFonts w:hint="eastAsia" w:ascii="仿宋_GB2312"/>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pPr>
              <w:jc w:val="cente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预算</w:t>
            </w:r>
          </w:p>
          <w:p>
            <w:pPr>
              <w:spacing w:line="260" w:lineRule="exact"/>
              <w:ind w:left="105" w:leftChars="50" w:right="105" w:rightChars="50"/>
              <w:jc w:val="center"/>
              <w:rPr>
                <w:rFonts w:hint="eastAsia" w:ascii="仿宋_GB2312"/>
                <w:sz w:val="21"/>
                <w:szCs w:val="21"/>
              </w:rPr>
            </w:pPr>
            <w:r>
              <w:rPr>
                <w:rFonts w:hint="eastAsia" w:ascii="仿宋_GB2312"/>
                <w:sz w:val="21"/>
                <w:szCs w:val="21"/>
              </w:rPr>
              <w:t>执行率</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预算执行率=（实际支出资金/实际到位资金）×100%。</w:t>
            </w:r>
          </w:p>
          <w:p>
            <w:pPr>
              <w:spacing w:line="260" w:lineRule="exact"/>
              <w:ind w:left="105" w:leftChars="50" w:right="105"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eastAsia="仿宋_GB2312"/>
                <w:sz w:val="21"/>
                <w:szCs w:val="21"/>
                <w:lang w:val="en-US" w:eastAsia="zh-CN"/>
              </w:rPr>
            </w:pPr>
            <w:r>
              <w:rPr>
                <w:rFonts w:hint="eastAsia" w:ascii="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jc w:val="center"/>
              <w:rPr>
                <w:rFonts w:hint="eastAsia" w:ascii="仿宋_GB2312"/>
                <w:sz w:val="21"/>
                <w:szCs w:val="21"/>
              </w:rPr>
            </w:pPr>
          </w:p>
        </w:tc>
        <w:tc>
          <w:tcPr>
            <w:tcW w:w="749" w:type="dxa"/>
            <w:vMerge w:val="continue"/>
            <w:noWrap w:val="0"/>
            <w:vAlign w:val="center"/>
          </w:tcPr>
          <w:p>
            <w:pP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资金</w:t>
            </w:r>
          </w:p>
          <w:p>
            <w:pPr>
              <w:spacing w:line="260" w:lineRule="exact"/>
              <w:ind w:left="105" w:leftChars="50" w:right="105" w:rightChars="50"/>
              <w:jc w:val="center"/>
              <w:rPr>
                <w:rFonts w:hint="eastAsia" w:ascii="仿宋_GB2312"/>
                <w:sz w:val="21"/>
                <w:szCs w:val="21"/>
              </w:rPr>
            </w:pPr>
            <w:r>
              <w:rPr>
                <w:rFonts w:hint="eastAsia" w:ascii="仿宋_GB2312"/>
                <w:sz w:val="21"/>
                <w:szCs w:val="21"/>
              </w:rPr>
              <w:t>使用</w:t>
            </w:r>
          </w:p>
          <w:p>
            <w:pPr>
              <w:spacing w:line="260" w:lineRule="exact"/>
              <w:ind w:left="105" w:leftChars="50" w:right="105" w:rightChars="50"/>
              <w:jc w:val="center"/>
              <w:rPr>
                <w:rFonts w:hint="eastAsia" w:ascii="仿宋_GB2312"/>
                <w:sz w:val="21"/>
                <w:szCs w:val="21"/>
              </w:rPr>
            </w:pPr>
            <w:r>
              <w:rPr>
                <w:rFonts w:hint="eastAsia" w:ascii="仿宋_GB2312"/>
                <w:sz w:val="21"/>
                <w:szCs w:val="21"/>
              </w:rPr>
              <w:t>合规性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8</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pPr>
              <w:spacing w:line="260" w:lineRule="exact"/>
              <w:ind w:right="105"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pPr>
              <w:spacing w:line="260" w:lineRule="exact"/>
              <w:ind w:right="105"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pPr>
              <w:spacing w:line="260" w:lineRule="exact"/>
              <w:ind w:left="105" w:leftChars="50" w:right="105"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pPr>
              <w:jc w:val="center"/>
              <w:rPr>
                <w:rFonts w:hint="eastAsia" w:ascii="仿宋_GB2312"/>
                <w:sz w:val="21"/>
                <w:szCs w:val="21"/>
              </w:rPr>
            </w:pPr>
            <w:r>
              <w:rPr>
                <w:rFonts w:hint="eastAsia" w:ascii="仿宋_GB2312"/>
                <w:sz w:val="21"/>
                <w:szCs w:val="21"/>
              </w:rPr>
              <w:t>组织</w:t>
            </w:r>
          </w:p>
          <w:p>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管理</w:t>
            </w:r>
          </w:p>
          <w:p>
            <w:pPr>
              <w:spacing w:line="260" w:lineRule="exact"/>
              <w:ind w:left="105" w:leftChars="50" w:right="105" w:rightChars="50"/>
              <w:jc w:val="center"/>
              <w:rPr>
                <w:rFonts w:hint="eastAsia" w:ascii="仿宋_GB2312"/>
                <w:sz w:val="21"/>
                <w:szCs w:val="21"/>
              </w:rPr>
            </w:pPr>
            <w:r>
              <w:rPr>
                <w:rFonts w:hint="eastAsia" w:ascii="仿宋_GB2312"/>
                <w:sz w:val="21"/>
                <w:szCs w:val="21"/>
              </w:rPr>
              <w:t>制度</w:t>
            </w:r>
          </w:p>
          <w:p>
            <w:pPr>
              <w:spacing w:line="260" w:lineRule="exact"/>
              <w:ind w:left="105" w:leftChars="50" w:right="105" w:rightChars="50"/>
              <w:jc w:val="center"/>
              <w:rPr>
                <w:rFonts w:hint="eastAsia" w:ascii="仿宋_GB2312"/>
                <w:sz w:val="21"/>
                <w:szCs w:val="21"/>
              </w:rPr>
            </w:pPr>
            <w:r>
              <w:rPr>
                <w:rFonts w:hint="eastAsia" w:ascii="仿宋_GB2312"/>
                <w:sz w:val="21"/>
                <w:szCs w:val="21"/>
              </w:rPr>
              <w:t>健全性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eastAsia="仿宋_GB2312"/>
                <w:sz w:val="21"/>
                <w:szCs w:val="21"/>
                <w:lang w:val="en-US" w:eastAsia="zh-CN"/>
              </w:rPr>
            </w:pPr>
            <w:r>
              <w:rPr>
                <w:rFonts w:hint="eastAsia" w:ascii="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pPr>
              <w:spacing w:line="500" w:lineRule="exact"/>
              <w:jc w:val="center"/>
              <w:rPr>
                <w:rFonts w:hint="eastAsia" w:ascii="仿宋_GB2312"/>
                <w:sz w:val="21"/>
                <w:szCs w:val="21"/>
              </w:rPr>
            </w:pPr>
            <w:r>
              <w:rPr>
                <w:rFonts w:hint="eastAsia" w:ascii="仿宋_GB2312"/>
                <w:sz w:val="21"/>
                <w:szCs w:val="21"/>
              </w:rPr>
              <w:t>过</w:t>
            </w:r>
          </w:p>
          <w:p>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pP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制度</w:t>
            </w:r>
          </w:p>
          <w:p>
            <w:pPr>
              <w:spacing w:line="260" w:lineRule="exact"/>
              <w:ind w:left="105" w:leftChars="50" w:right="105" w:rightChars="50"/>
              <w:jc w:val="center"/>
              <w:rPr>
                <w:rFonts w:hint="eastAsia" w:ascii="仿宋_GB2312"/>
                <w:sz w:val="21"/>
                <w:szCs w:val="21"/>
              </w:rPr>
            </w:pPr>
            <w:r>
              <w:rPr>
                <w:rFonts w:hint="eastAsia" w:ascii="仿宋_GB2312"/>
                <w:sz w:val="21"/>
                <w:szCs w:val="21"/>
              </w:rPr>
              <w:t>执行</w:t>
            </w:r>
          </w:p>
          <w:p>
            <w:pPr>
              <w:spacing w:line="260" w:lineRule="exact"/>
              <w:ind w:left="105" w:leftChars="50" w:right="105" w:rightChars="50"/>
              <w:jc w:val="center"/>
              <w:rPr>
                <w:rFonts w:hint="eastAsia" w:ascii="仿宋_GB2312"/>
                <w:sz w:val="21"/>
                <w:szCs w:val="21"/>
              </w:rPr>
            </w:pPr>
            <w:r>
              <w:rPr>
                <w:rFonts w:hint="eastAsia" w:ascii="仿宋_GB2312"/>
                <w:sz w:val="21"/>
                <w:szCs w:val="21"/>
              </w:rPr>
              <w:t>有效性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7</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eastAsia="仿宋_GB2312"/>
                <w:sz w:val="21"/>
                <w:szCs w:val="21"/>
                <w:lang w:val="en-US" w:eastAsia="zh-CN"/>
              </w:rPr>
            </w:pPr>
            <w:r>
              <w:rPr>
                <w:rFonts w:hint="eastAsia" w:ascii="仿宋_GB2312"/>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pPr>
              <w:jc w:val="center"/>
              <w:rPr>
                <w:rFonts w:hint="eastAsia" w:ascii="仿宋_GB2312"/>
                <w:sz w:val="21"/>
                <w:szCs w:val="21"/>
              </w:rPr>
            </w:pPr>
            <w:r>
              <w:rPr>
                <w:rFonts w:hint="eastAsia" w:ascii="仿宋_GB2312"/>
                <w:sz w:val="21"/>
                <w:szCs w:val="21"/>
              </w:rPr>
              <w:t>产   出</w:t>
            </w:r>
          </w:p>
        </w:tc>
        <w:tc>
          <w:tcPr>
            <w:tcW w:w="749" w:type="dxa"/>
            <w:noWrap w:val="0"/>
            <w:tcMar>
              <w:top w:w="10" w:type="dxa"/>
              <w:left w:w="10" w:type="dxa"/>
              <w:bottom w:w="0" w:type="dxa"/>
              <w:right w:w="10" w:type="dxa"/>
            </w:tcMar>
            <w:vAlign w:val="center"/>
          </w:tcPr>
          <w:p>
            <w:pPr>
              <w:jc w:val="center"/>
              <w:rPr>
                <w:rFonts w:hint="eastAsia" w:ascii="仿宋_GB2312"/>
                <w:sz w:val="21"/>
                <w:szCs w:val="21"/>
              </w:rPr>
            </w:pPr>
            <w:r>
              <w:rPr>
                <w:rFonts w:hint="eastAsia" w:ascii="仿宋_GB2312"/>
                <w:sz w:val="21"/>
                <w:szCs w:val="21"/>
              </w:rPr>
              <w:t>产出</w:t>
            </w:r>
          </w:p>
          <w:p>
            <w:pPr>
              <w:jc w:val="center"/>
              <w:rPr>
                <w:rFonts w:hint="eastAsia" w:ascii="仿宋_GB2312"/>
                <w:sz w:val="21"/>
                <w:szCs w:val="21"/>
              </w:rPr>
            </w:pPr>
            <w:r>
              <w:rPr>
                <w:rFonts w:hint="eastAsia" w:ascii="仿宋_GB2312"/>
                <w:sz w:val="21"/>
                <w:szCs w:val="21"/>
              </w:rPr>
              <w:t>数量</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实际</w:t>
            </w:r>
          </w:p>
          <w:p>
            <w:pPr>
              <w:spacing w:line="260" w:lineRule="exact"/>
              <w:ind w:left="105" w:leftChars="50" w:right="105" w:rightChars="50"/>
              <w:jc w:val="center"/>
              <w:rPr>
                <w:rFonts w:hint="eastAsia" w:ascii="仿宋_GB2312"/>
                <w:sz w:val="21"/>
                <w:szCs w:val="21"/>
              </w:rPr>
            </w:pPr>
            <w:r>
              <w:rPr>
                <w:rFonts w:hint="eastAsia" w:ascii="仿宋_GB2312"/>
                <w:sz w:val="21"/>
                <w:szCs w:val="21"/>
              </w:rPr>
              <w:t>完成率</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ascii="仿宋_GB2312"/>
                <w:sz w:val="21"/>
                <w:szCs w:val="21"/>
              </w:rPr>
            </w:pPr>
            <w:r>
              <w:rPr>
                <w:rFonts w:hint="eastAsia" w:ascii="仿宋_GB2312"/>
                <w:sz w:val="21"/>
                <w:szCs w:val="21"/>
              </w:rPr>
              <w:t>13</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eastAsia="仿宋_GB2312"/>
                <w:sz w:val="21"/>
                <w:szCs w:val="21"/>
                <w:lang w:val="en-US" w:eastAsia="zh-CN"/>
              </w:rPr>
            </w:pPr>
            <w:r>
              <w:rPr>
                <w:rFonts w:hint="eastAsia" w:ascii="仿宋_GB2312"/>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pPr>
              <w:jc w:val="center"/>
              <w:rPr>
                <w:rFonts w:hint="eastAsia" w:ascii="仿宋_GB2312"/>
                <w:sz w:val="21"/>
                <w:szCs w:val="21"/>
              </w:rPr>
            </w:pPr>
          </w:p>
        </w:tc>
        <w:tc>
          <w:tcPr>
            <w:tcW w:w="749" w:type="dxa"/>
            <w:noWrap w:val="0"/>
            <w:tcMar>
              <w:top w:w="10" w:type="dxa"/>
              <w:left w:w="10" w:type="dxa"/>
              <w:bottom w:w="0" w:type="dxa"/>
              <w:right w:w="10" w:type="dxa"/>
            </w:tcMar>
            <w:vAlign w:val="center"/>
          </w:tcPr>
          <w:p>
            <w:pPr>
              <w:jc w:val="center"/>
              <w:rPr>
                <w:rFonts w:hint="eastAsia" w:ascii="仿宋_GB2312"/>
                <w:sz w:val="21"/>
                <w:szCs w:val="21"/>
              </w:rPr>
            </w:pPr>
            <w:r>
              <w:rPr>
                <w:rFonts w:hint="eastAsia" w:ascii="仿宋_GB2312"/>
                <w:sz w:val="21"/>
                <w:szCs w:val="21"/>
              </w:rPr>
              <w:t>产出</w:t>
            </w:r>
          </w:p>
          <w:p>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质量</w:t>
            </w:r>
          </w:p>
          <w:p>
            <w:pPr>
              <w:spacing w:line="260" w:lineRule="exact"/>
              <w:ind w:left="105" w:leftChars="50" w:right="105" w:rightChars="50"/>
              <w:jc w:val="center"/>
              <w:rPr>
                <w:rFonts w:hint="eastAsia" w:ascii="仿宋_GB2312"/>
                <w:sz w:val="21"/>
                <w:szCs w:val="21"/>
              </w:rPr>
            </w:pPr>
            <w:r>
              <w:rPr>
                <w:rFonts w:hint="eastAsia" w:ascii="仿宋_GB2312"/>
                <w:sz w:val="21"/>
                <w:szCs w:val="21"/>
              </w:rPr>
              <w:t>达标率</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ascii="仿宋_GB2312"/>
                <w:sz w:val="21"/>
                <w:szCs w:val="21"/>
              </w:rPr>
            </w:pPr>
            <w:r>
              <w:rPr>
                <w:rFonts w:hint="eastAsia" w:ascii="仿宋_GB2312"/>
                <w:sz w:val="21"/>
                <w:szCs w:val="21"/>
              </w:rPr>
              <w:t>12</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eastAsia="仿宋_GB2312"/>
                <w:sz w:val="21"/>
                <w:szCs w:val="21"/>
                <w:lang w:val="en-US" w:eastAsia="zh-CN"/>
              </w:rPr>
            </w:pPr>
            <w:r>
              <w:rPr>
                <w:rFonts w:hint="eastAsia" w:ascii="仿宋_GB2312"/>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pPr>
              <w:rPr>
                <w:rFonts w:hint="eastAsia" w:ascii="仿宋_GB2312"/>
                <w:sz w:val="21"/>
                <w:szCs w:val="21"/>
              </w:rPr>
            </w:pPr>
          </w:p>
        </w:tc>
        <w:tc>
          <w:tcPr>
            <w:tcW w:w="749" w:type="dxa"/>
            <w:noWrap w:val="0"/>
            <w:vAlign w:val="center"/>
          </w:tcPr>
          <w:p>
            <w:pPr>
              <w:jc w:val="center"/>
              <w:rPr>
                <w:rFonts w:hint="eastAsia" w:ascii="仿宋_GB2312"/>
                <w:sz w:val="21"/>
                <w:szCs w:val="21"/>
              </w:rPr>
            </w:pPr>
            <w:r>
              <w:rPr>
                <w:rFonts w:hint="eastAsia" w:ascii="仿宋_GB2312"/>
                <w:sz w:val="21"/>
                <w:szCs w:val="21"/>
              </w:rPr>
              <w:t>产出</w:t>
            </w:r>
          </w:p>
          <w:p>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完成</w:t>
            </w:r>
          </w:p>
          <w:p>
            <w:pPr>
              <w:spacing w:line="260" w:lineRule="exact"/>
              <w:ind w:left="105" w:leftChars="50" w:right="105" w:rightChars="50"/>
              <w:jc w:val="center"/>
              <w:rPr>
                <w:rFonts w:hint="eastAsia" w:ascii="仿宋_GB2312"/>
                <w:sz w:val="21"/>
                <w:szCs w:val="21"/>
              </w:rPr>
            </w:pPr>
            <w:r>
              <w:rPr>
                <w:rFonts w:hint="eastAsia" w:ascii="仿宋_GB2312"/>
                <w:sz w:val="21"/>
                <w:szCs w:val="21"/>
              </w:rPr>
              <w:t>及时性</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eastAsia="仿宋_GB2312"/>
                <w:sz w:val="21"/>
                <w:szCs w:val="21"/>
                <w:lang w:val="en-US" w:eastAsia="zh-CN"/>
              </w:rPr>
            </w:pPr>
            <w:r>
              <w:rPr>
                <w:rFonts w:hint="eastAsia" w:ascii="仿宋_GB2312"/>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spacing w:line="500" w:lineRule="exact"/>
              <w:ind w:left="113"/>
              <w:jc w:val="center"/>
              <w:rPr>
                <w:rFonts w:hint="eastAsia" w:ascii="仿宋_GB2312"/>
                <w:sz w:val="21"/>
                <w:szCs w:val="21"/>
              </w:rPr>
            </w:pPr>
          </w:p>
        </w:tc>
        <w:tc>
          <w:tcPr>
            <w:tcW w:w="749" w:type="dxa"/>
            <w:noWrap w:val="0"/>
            <w:vAlign w:val="center"/>
          </w:tcPr>
          <w:p>
            <w:pPr>
              <w:jc w:val="center"/>
              <w:rPr>
                <w:rFonts w:hint="eastAsia" w:ascii="仿宋_GB2312"/>
                <w:sz w:val="21"/>
                <w:szCs w:val="21"/>
              </w:rPr>
            </w:pPr>
            <w:r>
              <w:rPr>
                <w:rFonts w:hint="eastAsia" w:ascii="仿宋_GB2312"/>
                <w:sz w:val="21"/>
                <w:szCs w:val="21"/>
              </w:rPr>
              <w:t>产出</w:t>
            </w:r>
          </w:p>
          <w:p>
            <w:pPr>
              <w:jc w:val="center"/>
              <w:rPr>
                <w:rFonts w:hint="eastAsia" w:ascii="仿宋_GB2312"/>
                <w:sz w:val="21"/>
                <w:szCs w:val="21"/>
              </w:rPr>
            </w:pPr>
            <w:r>
              <w:rPr>
                <w:rFonts w:hint="eastAsia" w:ascii="仿宋_GB2312"/>
                <w:sz w:val="21"/>
                <w:szCs w:val="21"/>
              </w:rPr>
              <w:t>成本</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成本</w:t>
            </w:r>
          </w:p>
          <w:p>
            <w:pPr>
              <w:spacing w:line="260" w:lineRule="exact"/>
              <w:ind w:left="105" w:leftChars="50" w:right="105" w:rightChars="50"/>
              <w:jc w:val="center"/>
              <w:rPr>
                <w:rFonts w:hint="eastAsia" w:ascii="仿宋_GB2312"/>
                <w:sz w:val="21"/>
                <w:szCs w:val="21"/>
              </w:rPr>
            </w:pPr>
            <w:r>
              <w:rPr>
                <w:rFonts w:hint="eastAsia" w:ascii="仿宋_GB2312"/>
                <w:sz w:val="21"/>
                <w:szCs w:val="21"/>
              </w:rPr>
              <w:t>节约率</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eastAsia="仿宋_GB2312"/>
                <w:sz w:val="21"/>
                <w:szCs w:val="21"/>
                <w:lang w:val="en-US" w:eastAsia="zh-CN"/>
              </w:rPr>
            </w:pPr>
            <w:r>
              <w:rPr>
                <w:rFonts w:hint="eastAsia" w:ascii="仿宋_GB2312"/>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pPr>
              <w:jc w:val="center"/>
              <w:rPr>
                <w:rFonts w:hint="eastAsia" w:ascii="仿宋_GB2312"/>
                <w:sz w:val="21"/>
                <w:szCs w:val="21"/>
              </w:rPr>
            </w:pPr>
            <w:r>
              <w:rPr>
                <w:rFonts w:hint="eastAsia" w:ascii="仿宋_GB2312"/>
                <w:sz w:val="21"/>
                <w:szCs w:val="21"/>
              </w:rPr>
              <w:t>预算</w:t>
            </w:r>
          </w:p>
          <w:p>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实施</w:t>
            </w:r>
          </w:p>
          <w:p>
            <w:pPr>
              <w:spacing w:line="260" w:lineRule="exact"/>
              <w:ind w:left="105" w:leftChars="50" w:right="105" w:rightChars="50"/>
              <w:jc w:val="center"/>
              <w:rPr>
                <w:rFonts w:hint="eastAsia" w:ascii="仿宋_GB2312"/>
                <w:sz w:val="21"/>
                <w:szCs w:val="21"/>
              </w:rPr>
            </w:pPr>
            <w:r>
              <w:rPr>
                <w:rFonts w:hint="eastAsia" w:ascii="仿宋_GB2312"/>
                <w:sz w:val="21"/>
                <w:szCs w:val="21"/>
              </w:rPr>
              <w:t>效益</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ascii="仿宋_GB2312"/>
                <w:sz w:val="21"/>
                <w:szCs w:val="21"/>
              </w:rPr>
            </w:pPr>
            <w:r>
              <w:rPr>
                <w:rFonts w:hint="eastAsia" w:ascii="仿宋_GB2312"/>
                <w:sz w:val="21"/>
                <w:szCs w:val="21"/>
              </w:rPr>
              <w:t>15</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预算支出实施所产生的效益。</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eastAsia="仿宋_GB2312"/>
                <w:sz w:val="21"/>
                <w:szCs w:val="21"/>
                <w:lang w:val="en-US" w:eastAsia="zh-CN"/>
              </w:rPr>
            </w:pPr>
            <w:r>
              <w:rPr>
                <w:rFonts w:hint="eastAsia" w:ascii="仿宋_GB2312"/>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rPr>
                <w:rFonts w:hint="eastAsia" w:ascii="仿宋_GB2312"/>
                <w:sz w:val="21"/>
                <w:szCs w:val="21"/>
              </w:rPr>
            </w:pPr>
          </w:p>
        </w:tc>
        <w:tc>
          <w:tcPr>
            <w:tcW w:w="749" w:type="dxa"/>
            <w:vMerge w:val="continue"/>
            <w:noWrap w:val="0"/>
            <w:vAlign w:val="center"/>
          </w:tcPr>
          <w:p>
            <w:pPr>
              <w:rPr>
                <w:rFonts w:hint="eastAsia" w:ascii="仿宋_GB2312"/>
                <w:sz w:val="21"/>
                <w:szCs w:val="21"/>
              </w:rPr>
            </w:pPr>
          </w:p>
        </w:tc>
        <w:tc>
          <w:tcPr>
            <w:tcW w:w="999" w:type="dxa"/>
            <w:noWrap w:val="0"/>
            <w:tcMar>
              <w:top w:w="10" w:type="dxa"/>
              <w:left w:w="10" w:type="dxa"/>
              <w:bottom w:w="0" w:type="dxa"/>
              <w:right w:w="10" w:type="dxa"/>
            </w:tcMar>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社会</w:t>
            </w:r>
          </w:p>
          <w:p>
            <w:pPr>
              <w:spacing w:line="260" w:lineRule="exact"/>
              <w:ind w:left="105" w:leftChars="50" w:right="105" w:rightChars="50"/>
              <w:jc w:val="center"/>
              <w:rPr>
                <w:rFonts w:hint="eastAsia" w:ascii="仿宋_GB2312"/>
                <w:sz w:val="21"/>
                <w:szCs w:val="21"/>
              </w:rPr>
            </w:pPr>
            <w:r>
              <w:rPr>
                <w:rFonts w:hint="eastAsia" w:ascii="仿宋_GB2312"/>
                <w:sz w:val="21"/>
                <w:szCs w:val="21"/>
              </w:rPr>
              <w:t>公众</w:t>
            </w:r>
          </w:p>
          <w:p>
            <w:pPr>
              <w:spacing w:line="260" w:lineRule="exact"/>
              <w:ind w:left="105" w:leftChars="50" w:right="105" w:rightChars="50"/>
              <w:jc w:val="center"/>
              <w:rPr>
                <w:rFonts w:hint="eastAsia" w:ascii="仿宋_GB2312"/>
                <w:sz w:val="21"/>
                <w:szCs w:val="21"/>
              </w:rPr>
            </w:pPr>
            <w:r>
              <w:rPr>
                <w:rFonts w:hint="eastAsia" w:ascii="仿宋_GB2312"/>
                <w:sz w:val="21"/>
                <w:szCs w:val="21"/>
              </w:rPr>
              <w:t>或服</w:t>
            </w:r>
          </w:p>
          <w:p>
            <w:pPr>
              <w:spacing w:line="260" w:lineRule="exact"/>
              <w:ind w:left="105" w:leftChars="50" w:right="105" w:rightChars="50"/>
              <w:jc w:val="center"/>
              <w:rPr>
                <w:rFonts w:hint="eastAsia" w:ascii="仿宋_GB2312"/>
                <w:sz w:val="21"/>
                <w:szCs w:val="21"/>
              </w:rPr>
            </w:pPr>
            <w:r>
              <w:rPr>
                <w:rFonts w:hint="eastAsia" w:ascii="仿宋_GB2312"/>
                <w:sz w:val="21"/>
                <w:szCs w:val="21"/>
              </w:rPr>
              <w:t>务对</w:t>
            </w:r>
          </w:p>
          <w:p>
            <w:pPr>
              <w:spacing w:line="260" w:lineRule="exact"/>
              <w:ind w:left="105" w:leftChars="50" w:right="105" w:rightChars="50"/>
              <w:jc w:val="center"/>
              <w:rPr>
                <w:rFonts w:hint="eastAsia" w:ascii="仿宋_GB2312"/>
                <w:sz w:val="21"/>
                <w:szCs w:val="21"/>
              </w:rPr>
            </w:pPr>
            <w:r>
              <w:rPr>
                <w:rFonts w:hint="eastAsia" w:ascii="仿宋_GB2312"/>
                <w:sz w:val="21"/>
                <w:szCs w:val="21"/>
              </w:rPr>
              <w:t>象满</w:t>
            </w:r>
          </w:p>
          <w:p>
            <w:pPr>
              <w:spacing w:line="260" w:lineRule="exact"/>
              <w:ind w:left="105" w:leftChars="50" w:right="105" w:rightChars="50"/>
              <w:jc w:val="center"/>
              <w:rPr>
                <w:rFonts w:hint="eastAsia" w:ascii="仿宋_GB2312"/>
                <w:sz w:val="21"/>
                <w:szCs w:val="21"/>
              </w:rPr>
            </w:pPr>
            <w:r>
              <w:rPr>
                <w:rFonts w:hint="eastAsia" w:ascii="仿宋_GB2312"/>
                <w:sz w:val="21"/>
                <w:szCs w:val="21"/>
              </w:rPr>
              <w:t>意度</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ascii="仿宋_GB2312"/>
                <w:sz w:val="21"/>
                <w:szCs w:val="21"/>
              </w:rPr>
            </w:pPr>
            <w:r>
              <w:rPr>
                <w:rFonts w:hint="eastAsia" w:ascii="仿宋_GB2312"/>
                <w:sz w:val="21"/>
                <w:szCs w:val="21"/>
              </w:rPr>
              <w:t>10</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pPr>
              <w:spacing w:line="260" w:lineRule="exact"/>
              <w:ind w:left="105" w:leftChars="50" w:right="105" w:rightChars="50"/>
              <w:jc w:val="center"/>
              <w:rPr>
                <w:rFonts w:hint="eastAsia" w:ascii="仿宋_GB2312"/>
                <w:sz w:val="21"/>
                <w:szCs w:val="21"/>
              </w:rPr>
            </w:pPr>
            <w:r>
              <w:rPr>
                <w:rFonts w:hint="eastAsia" w:ascii="仿宋_GB2312"/>
                <w:sz w:val="21"/>
                <w:szCs w:val="21"/>
              </w:rPr>
              <w:t>总分</w:t>
            </w:r>
          </w:p>
        </w:tc>
        <w:tc>
          <w:tcPr>
            <w:tcW w:w="645" w:type="dxa"/>
            <w:noWrap w:val="0"/>
            <w:tcMar>
              <w:top w:w="10" w:type="dxa"/>
              <w:left w:w="10" w:type="dxa"/>
              <w:bottom w:w="0" w:type="dxa"/>
              <w:right w:w="10" w:type="dxa"/>
            </w:tcMar>
            <w:vAlign w:val="center"/>
          </w:tcPr>
          <w:p>
            <w:pPr>
              <w:spacing w:line="260" w:lineRule="exact"/>
              <w:ind w:left="105" w:leftChars="50" w:right="105" w:rightChars="50"/>
              <w:rPr>
                <w:rFonts w:ascii="仿宋_GB2312"/>
                <w:sz w:val="21"/>
                <w:szCs w:val="21"/>
              </w:rPr>
            </w:pPr>
            <w:r>
              <w:rPr>
                <w:rFonts w:hint="eastAsia" w:ascii="仿宋_GB2312"/>
                <w:sz w:val="21"/>
                <w:szCs w:val="21"/>
              </w:rPr>
              <w:t>100</w:t>
            </w:r>
          </w:p>
        </w:tc>
        <w:tc>
          <w:tcPr>
            <w:tcW w:w="2084"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p>
        </w:tc>
        <w:tc>
          <w:tcPr>
            <w:tcW w:w="2951" w:type="dxa"/>
            <w:noWrap w:val="0"/>
            <w:tcMar>
              <w:top w:w="10" w:type="dxa"/>
              <w:left w:w="10" w:type="dxa"/>
              <w:bottom w:w="0" w:type="dxa"/>
              <w:right w:w="10" w:type="dxa"/>
            </w:tcMar>
            <w:vAlign w:val="center"/>
          </w:tcPr>
          <w:p>
            <w:pPr>
              <w:spacing w:line="260" w:lineRule="exact"/>
              <w:ind w:left="105" w:leftChars="50" w:right="105" w:rightChars="50"/>
              <w:rPr>
                <w:rFonts w:hint="eastAsia" w:ascii="仿宋_GB2312"/>
                <w:sz w:val="21"/>
                <w:szCs w:val="21"/>
              </w:rPr>
            </w:pPr>
          </w:p>
        </w:tc>
        <w:tc>
          <w:tcPr>
            <w:tcW w:w="633" w:type="dxa"/>
            <w:noWrap w:val="0"/>
            <w:tcMar>
              <w:top w:w="10" w:type="dxa"/>
              <w:left w:w="10" w:type="dxa"/>
              <w:bottom w:w="0" w:type="dxa"/>
              <w:right w:w="10" w:type="dxa"/>
            </w:tcMar>
            <w:vAlign w:val="center"/>
          </w:tcPr>
          <w:p>
            <w:pPr>
              <w:spacing w:line="260" w:lineRule="exact"/>
              <w:ind w:left="105" w:leftChars="50" w:right="105" w:rightChars="50"/>
              <w:rPr>
                <w:rFonts w:hint="default" w:ascii="仿宋_GB2312" w:eastAsia="仿宋_GB2312"/>
                <w:sz w:val="21"/>
                <w:szCs w:val="21"/>
                <w:lang w:val="en-US" w:eastAsia="zh-CN"/>
              </w:rPr>
            </w:pPr>
            <w:r>
              <w:rPr>
                <w:rFonts w:hint="eastAsia" w:ascii="仿宋_GB2312"/>
                <w:sz w:val="21"/>
                <w:szCs w:val="21"/>
                <w:lang w:val="en-US" w:eastAsia="zh-CN"/>
              </w:rPr>
              <w:t>100</w:t>
            </w:r>
          </w:p>
        </w:tc>
      </w:tr>
    </w:tbl>
    <w:p>
      <w:pPr>
        <w:spacing w:line="600" w:lineRule="exact"/>
        <w:jc w:val="left"/>
        <w:rPr>
          <w:rFonts w:hint="eastAsia" w:ascii="仿宋_GB2312" w:hAnsi="仿宋_GB2312" w:eastAsia="仿宋_GB2312" w:cs="仿宋_GB2312"/>
          <w:color w:val="auto"/>
          <w:sz w:val="32"/>
          <w:szCs w:val="32"/>
          <w:lang w:val="en-US" w:eastAsia="zh-CN"/>
        </w:rPr>
      </w:pPr>
    </w:p>
    <w:p>
      <w:pPr>
        <w:spacing w:line="600" w:lineRule="exact"/>
        <w:jc w:val="center"/>
        <w:rPr>
          <w:rFonts w:ascii="方正大标宋简体" w:hAnsi="方正大标宋简体" w:eastAsia="方正大标宋简体" w:cs="方正大标宋简体"/>
          <w:kern w:val="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F2C08"/>
    <w:multiLevelType w:val="multilevel"/>
    <w:tmpl w:val="BCCF2C08"/>
    <w:lvl w:ilvl="0" w:tentative="0">
      <w:start w:val="4"/>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TRiMWZmZjhkMWEyZDc2Yjg4NjY5YjliYzFmZDEifQ=="/>
  </w:docVars>
  <w:rsids>
    <w:rsidRoot w:val="00172A27"/>
    <w:rsid w:val="005E2A63"/>
    <w:rsid w:val="008B6546"/>
    <w:rsid w:val="00916577"/>
    <w:rsid w:val="00A743D7"/>
    <w:rsid w:val="00AE7D67"/>
    <w:rsid w:val="00D62111"/>
    <w:rsid w:val="00E23BCD"/>
    <w:rsid w:val="00EF2FDF"/>
    <w:rsid w:val="01195DA0"/>
    <w:rsid w:val="016E1EBE"/>
    <w:rsid w:val="0308230D"/>
    <w:rsid w:val="030A6462"/>
    <w:rsid w:val="032E26B2"/>
    <w:rsid w:val="03861335"/>
    <w:rsid w:val="03D2587A"/>
    <w:rsid w:val="076F333F"/>
    <w:rsid w:val="07C2210A"/>
    <w:rsid w:val="08627784"/>
    <w:rsid w:val="08D034EE"/>
    <w:rsid w:val="09C33855"/>
    <w:rsid w:val="0A33641F"/>
    <w:rsid w:val="0A7E118E"/>
    <w:rsid w:val="0AB94F91"/>
    <w:rsid w:val="0AF35494"/>
    <w:rsid w:val="0BEA78EC"/>
    <w:rsid w:val="0C44348E"/>
    <w:rsid w:val="10640165"/>
    <w:rsid w:val="13C87E10"/>
    <w:rsid w:val="167E1A40"/>
    <w:rsid w:val="17154EE2"/>
    <w:rsid w:val="1C61270E"/>
    <w:rsid w:val="1C916C86"/>
    <w:rsid w:val="1CCD2389"/>
    <w:rsid w:val="1CE20971"/>
    <w:rsid w:val="1CFE018A"/>
    <w:rsid w:val="1D865EA7"/>
    <w:rsid w:val="1E3D1764"/>
    <w:rsid w:val="1E415191"/>
    <w:rsid w:val="1E4D6540"/>
    <w:rsid w:val="1FA6580D"/>
    <w:rsid w:val="209C52B0"/>
    <w:rsid w:val="218F029E"/>
    <w:rsid w:val="21E12ADB"/>
    <w:rsid w:val="22172A4B"/>
    <w:rsid w:val="23A17BC0"/>
    <w:rsid w:val="24DB03B1"/>
    <w:rsid w:val="27863B41"/>
    <w:rsid w:val="28BA2E9D"/>
    <w:rsid w:val="28D265DB"/>
    <w:rsid w:val="29203971"/>
    <w:rsid w:val="29FA4218"/>
    <w:rsid w:val="2A7E2CBF"/>
    <w:rsid w:val="2B525ED7"/>
    <w:rsid w:val="2B5E424E"/>
    <w:rsid w:val="2BAF2C24"/>
    <w:rsid w:val="2CE8156A"/>
    <w:rsid w:val="2DFF0D5B"/>
    <w:rsid w:val="2E91458C"/>
    <w:rsid w:val="2EF8425F"/>
    <w:rsid w:val="2F1E38C8"/>
    <w:rsid w:val="30E764F9"/>
    <w:rsid w:val="31531756"/>
    <w:rsid w:val="31CC3DDF"/>
    <w:rsid w:val="32A853DF"/>
    <w:rsid w:val="33EB2F0A"/>
    <w:rsid w:val="34D10B40"/>
    <w:rsid w:val="37C91ECD"/>
    <w:rsid w:val="383502FD"/>
    <w:rsid w:val="38D806EF"/>
    <w:rsid w:val="39CB7266"/>
    <w:rsid w:val="3B3A4D50"/>
    <w:rsid w:val="3BDE622E"/>
    <w:rsid w:val="3BE52578"/>
    <w:rsid w:val="3DFA6429"/>
    <w:rsid w:val="41B27DFB"/>
    <w:rsid w:val="41EF2D17"/>
    <w:rsid w:val="424A5032"/>
    <w:rsid w:val="451352C4"/>
    <w:rsid w:val="48697AA0"/>
    <w:rsid w:val="49081D75"/>
    <w:rsid w:val="4992073F"/>
    <w:rsid w:val="49AF47EF"/>
    <w:rsid w:val="4A2A6138"/>
    <w:rsid w:val="4AA70E92"/>
    <w:rsid w:val="4AE229A0"/>
    <w:rsid w:val="4B4A27D2"/>
    <w:rsid w:val="4BDA577C"/>
    <w:rsid w:val="4D0621F9"/>
    <w:rsid w:val="4D9F16E4"/>
    <w:rsid w:val="4DBB3511"/>
    <w:rsid w:val="4DC94323"/>
    <w:rsid w:val="52303D70"/>
    <w:rsid w:val="52723396"/>
    <w:rsid w:val="52F72125"/>
    <w:rsid w:val="53686474"/>
    <w:rsid w:val="55C878D3"/>
    <w:rsid w:val="56127C98"/>
    <w:rsid w:val="57007FE0"/>
    <w:rsid w:val="58822EF6"/>
    <w:rsid w:val="59977A5A"/>
    <w:rsid w:val="5AEF0D3E"/>
    <w:rsid w:val="5B2200DB"/>
    <w:rsid w:val="5CBD0617"/>
    <w:rsid w:val="5CE105E8"/>
    <w:rsid w:val="5EED1349"/>
    <w:rsid w:val="5F3B0316"/>
    <w:rsid w:val="5FDB492B"/>
    <w:rsid w:val="5FEC4712"/>
    <w:rsid w:val="60306600"/>
    <w:rsid w:val="605D0527"/>
    <w:rsid w:val="6382281A"/>
    <w:rsid w:val="643D4047"/>
    <w:rsid w:val="6477441C"/>
    <w:rsid w:val="64A50658"/>
    <w:rsid w:val="650705A8"/>
    <w:rsid w:val="655A61AC"/>
    <w:rsid w:val="67162DA1"/>
    <w:rsid w:val="672F5216"/>
    <w:rsid w:val="68B471B7"/>
    <w:rsid w:val="69422B13"/>
    <w:rsid w:val="6963096F"/>
    <w:rsid w:val="69E150E6"/>
    <w:rsid w:val="6A3B6E8F"/>
    <w:rsid w:val="6A827E89"/>
    <w:rsid w:val="6AF35A6F"/>
    <w:rsid w:val="6B7D3DF4"/>
    <w:rsid w:val="6B8F7DF7"/>
    <w:rsid w:val="6C665365"/>
    <w:rsid w:val="6C7F7FB2"/>
    <w:rsid w:val="6D946299"/>
    <w:rsid w:val="6DA21A90"/>
    <w:rsid w:val="6DD040D9"/>
    <w:rsid w:val="72C02B4E"/>
    <w:rsid w:val="735A78C7"/>
    <w:rsid w:val="73C32085"/>
    <w:rsid w:val="73FA08FA"/>
    <w:rsid w:val="750C752D"/>
    <w:rsid w:val="76342455"/>
    <w:rsid w:val="7950119A"/>
    <w:rsid w:val="79B424AD"/>
    <w:rsid w:val="7A551FED"/>
    <w:rsid w:val="7AB32296"/>
    <w:rsid w:val="7AE97CB6"/>
    <w:rsid w:val="7C464EFD"/>
    <w:rsid w:val="7C7A41DD"/>
    <w:rsid w:val="7CCE0D46"/>
    <w:rsid w:val="7DAB0CFE"/>
    <w:rsid w:val="7E2F6E4A"/>
    <w:rsid w:val="7EDE42D5"/>
    <w:rsid w:val="7FA34B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论文正文"/>
    <w:basedOn w:val="1"/>
    <w:qFormat/>
    <w:uiPriority w:val="0"/>
    <w:pPr>
      <w:ind w:firstLine="200" w:firstLineChars="200"/>
    </w:pPr>
  </w:style>
  <w:style w:type="paragraph" w:styleId="3">
    <w:name w:val="index 6"/>
    <w:basedOn w:val="1"/>
    <w:next w:val="1"/>
    <w:qFormat/>
    <w:uiPriority w:val="0"/>
    <w:pPr>
      <w:spacing w:line="600" w:lineRule="exact"/>
      <w:ind w:firstLine="640" w:firstLineChars="200"/>
    </w:pPr>
    <w:rPr>
      <w:rFonts w:ascii="仿宋_GB2312" w:hAnsi="黑体"/>
      <w:color w:val="000000"/>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5195</Words>
  <Characters>5312</Characters>
  <Lines>17</Lines>
  <Paragraphs>4</Paragraphs>
  <TotalTime>3</TotalTime>
  <ScaleCrop>false</ScaleCrop>
  <LinksUpToDate>false</LinksUpToDate>
  <CharactersWithSpaces>5338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陈丽</cp:lastModifiedBy>
  <cp:lastPrinted>2024-05-30T07:19:00Z</cp:lastPrinted>
  <dcterms:modified xsi:type="dcterms:W3CDTF">2024-05-30T08:26:39Z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49BDCD1EB236441BAEA3675D6E9D5171_13</vt:lpwstr>
  </property>
</Properties>
</file>