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before="0" w:beforeAutospacing="0" w:after="2" w:afterAutospacing="0"/>
        <w:jc w:val="center"/>
      </w:pPr>
      <w:r>
        <w:rPr>
          <w:rStyle w:val="12"/>
          <w:rFonts w:ascii="宋体" w:hAnsi="宋体" w:eastAsia="宋体" w:cs="宋体"/>
          <w:color w:val="000000"/>
          <w:sz w:val="48"/>
          <w:szCs w:val="48"/>
        </w:rPr>
        <w:t>益阳市发展和改革委员会2024年部门预算公开说明</w:t>
      </w:r>
      <w:r>
        <w:rPr>
          <w:color w:val="000000"/>
        </w:rPr>
        <w:t xml:space="preserve"> </w:t>
      </w:r>
    </w:p>
    <w:p>
      <w:pPr>
        <w:spacing w:before="0" w:beforeAutospacing="0" w:after="2" w:afterAutospacing="0"/>
        <w:jc w:val="center"/>
      </w:pPr>
      <w:r>
        <w:rPr>
          <w:rFonts w:ascii="宋体" w:hAnsi="宋体" w:eastAsia="宋体" w:cs="宋体"/>
          <w:color w:val="000000"/>
          <w:sz w:val="32"/>
          <w:szCs w:val="32"/>
        </w:rPr>
        <w:t> </w:t>
      </w:r>
      <w:r>
        <w:rPr>
          <w:color w:val="000000"/>
        </w:rPr>
        <w:t xml:space="preserve"> </w:t>
      </w:r>
    </w:p>
    <w:p>
      <w:pPr>
        <w:spacing w:before="0" w:beforeAutospacing="0" w:after="2" w:afterAutospacing="0"/>
        <w:jc w:val="center"/>
      </w:pPr>
      <w:r>
        <w:rPr>
          <w:rStyle w:val="12"/>
          <w:rFonts w:ascii="宋体" w:hAnsi="宋体" w:eastAsia="宋体" w:cs="宋体"/>
          <w:color w:val="000000"/>
          <w:sz w:val="36"/>
          <w:szCs w:val="36"/>
        </w:rPr>
        <w:t>目 录</w:t>
      </w:r>
      <w:r>
        <w:rPr>
          <w:color w:val="000000"/>
        </w:rPr>
        <w:t xml:space="preserve"> </w:t>
      </w:r>
    </w:p>
    <w:p>
      <w:pPr>
        <w:spacing w:before="0" w:beforeAutospacing="0" w:after="2" w:afterAutospacing="0"/>
        <w:ind w:left="0" w:firstLine="643"/>
      </w:pPr>
      <w:r>
        <w:rPr>
          <w:rFonts w:ascii="宋体" w:hAnsi="宋体" w:eastAsia="宋体" w:cs="宋体"/>
          <w:b/>
          <w:color w:val="000000"/>
          <w:sz w:val="32"/>
          <w:szCs w:val="32"/>
        </w:rPr>
        <w:t>第一部分 2024年部门预算说明</w:t>
      </w:r>
      <w:r>
        <w:rPr>
          <w:color w:val="000000"/>
        </w:rPr>
        <w:t xml:space="preserve"> </w:t>
      </w:r>
    </w:p>
    <w:p>
      <w:pPr>
        <w:spacing w:before="0" w:beforeAutospacing="0" w:after="2" w:afterAutospacing="0"/>
        <w:ind w:left="0" w:firstLine="643"/>
      </w:pPr>
      <w:r>
        <w:rPr>
          <w:rFonts w:ascii="宋体" w:hAnsi="宋体" w:eastAsia="宋体" w:cs="宋体"/>
          <w:color w:val="000000"/>
          <w:sz w:val="32"/>
          <w:szCs w:val="32"/>
        </w:rPr>
        <w:t>一、部门基本概况</w:t>
      </w:r>
      <w:r>
        <w:rPr>
          <w:color w:val="000000"/>
        </w:rPr>
        <w:t xml:space="preserve"> </w:t>
      </w:r>
    </w:p>
    <w:p>
      <w:pPr>
        <w:spacing w:before="0" w:beforeAutospacing="0" w:after="2" w:afterAutospacing="0"/>
        <w:ind w:left="0" w:firstLine="643"/>
      </w:pPr>
      <w:r>
        <w:rPr>
          <w:rFonts w:ascii="宋体" w:hAnsi="宋体" w:eastAsia="宋体" w:cs="宋体"/>
          <w:color w:val="000000"/>
          <w:sz w:val="32"/>
          <w:szCs w:val="32"/>
        </w:rPr>
        <w:t>（一）职能职责</w:t>
      </w:r>
      <w:r>
        <w:rPr>
          <w:color w:val="000000"/>
        </w:rPr>
        <w:t xml:space="preserve"> </w:t>
      </w:r>
    </w:p>
    <w:p>
      <w:pPr>
        <w:spacing w:before="0" w:beforeAutospacing="0" w:after="2" w:afterAutospacing="0"/>
        <w:ind w:left="0" w:firstLine="643"/>
      </w:pPr>
      <w:r>
        <w:rPr>
          <w:rFonts w:ascii="宋体" w:hAnsi="宋体" w:eastAsia="宋体" w:cs="宋体"/>
          <w:color w:val="000000"/>
          <w:sz w:val="32"/>
          <w:szCs w:val="32"/>
        </w:rPr>
        <w:t>（二）机构设置</w:t>
      </w:r>
      <w:r>
        <w:rPr>
          <w:color w:val="000000"/>
        </w:rPr>
        <w:t xml:space="preserve"> </w:t>
      </w:r>
    </w:p>
    <w:p>
      <w:pPr>
        <w:spacing w:before="0" w:beforeAutospacing="0" w:after="2" w:afterAutospacing="0"/>
        <w:ind w:left="0" w:firstLine="643"/>
      </w:pPr>
      <w:r>
        <w:rPr>
          <w:rFonts w:ascii="宋体" w:hAnsi="宋体" w:eastAsia="宋体" w:cs="宋体"/>
          <w:color w:val="000000"/>
          <w:sz w:val="32"/>
          <w:szCs w:val="32"/>
        </w:rPr>
        <w:t>二、部门预算单位构成</w:t>
      </w:r>
      <w:r>
        <w:rPr>
          <w:color w:val="000000"/>
        </w:rPr>
        <w:t xml:space="preserve"> </w:t>
      </w:r>
    </w:p>
    <w:p>
      <w:pPr>
        <w:spacing w:before="0" w:beforeAutospacing="0" w:after="2" w:afterAutospacing="0"/>
        <w:ind w:left="0" w:firstLine="643"/>
      </w:pPr>
      <w:r>
        <w:rPr>
          <w:rFonts w:ascii="宋体" w:hAnsi="宋体" w:eastAsia="宋体" w:cs="宋体"/>
          <w:color w:val="000000"/>
          <w:sz w:val="32"/>
          <w:szCs w:val="32"/>
        </w:rPr>
        <w:t>三、部门收支总体情况</w:t>
      </w:r>
      <w:r>
        <w:rPr>
          <w:color w:val="000000"/>
        </w:rPr>
        <w:t xml:space="preserve"> </w:t>
      </w:r>
    </w:p>
    <w:p>
      <w:pPr>
        <w:spacing w:before="0" w:beforeAutospacing="0" w:after="2" w:afterAutospacing="0"/>
        <w:ind w:left="0" w:firstLine="643"/>
      </w:pPr>
      <w:r>
        <w:rPr>
          <w:rFonts w:ascii="宋体" w:hAnsi="宋体" w:eastAsia="宋体" w:cs="宋体"/>
          <w:color w:val="000000"/>
          <w:sz w:val="32"/>
          <w:szCs w:val="32"/>
        </w:rPr>
        <w:t>（一）收入预算</w:t>
      </w:r>
      <w:r>
        <w:rPr>
          <w:color w:val="000000"/>
        </w:rPr>
        <w:t xml:space="preserve"> </w:t>
      </w:r>
    </w:p>
    <w:p>
      <w:pPr>
        <w:spacing w:before="0" w:beforeAutospacing="0" w:after="2" w:afterAutospacing="0"/>
        <w:ind w:left="0" w:firstLine="643"/>
      </w:pPr>
      <w:r>
        <w:rPr>
          <w:rFonts w:ascii="宋体" w:hAnsi="宋体" w:eastAsia="宋体" w:cs="宋体"/>
          <w:color w:val="000000"/>
          <w:sz w:val="32"/>
          <w:szCs w:val="32"/>
        </w:rPr>
        <w:t>（二）支出预算</w:t>
      </w:r>
      <w:r>
        <w:rPr>
          <w:color w:val="000000"/>
        </w:rPr>
        <w:t xml:space="preserve"> </w:t>
      </w:r>
    </w:p>
    <w:p>
      <w:pPr>
        <w:spacing w:before="0" w:beforeAutospacing="0" w:after="2" w:afterAutospacing="0"/>
        <w:ind w:left="0" w:firstLine="643"/>
      </w:pPr>
      <w:r>
        <w:rPr>
          <w:rFonts w:ascii="宋体" w:hAnsi="宋体" w:eastAsia="宋体" w:cs="宋体"/>
          <w:color w:val="000000"/>
          <w:sz w:val="32"/>
          <w:szCs w:val="32"/>
        </w:rPr>
        <w:t>四、一般公共预算拨款支出</w:t>
      </w:r>
      <w:r>
        <w:rPr>
          <w:color w:val="000000"/>
        </w:rPr>
        <w:t xml:space="preserve"> </w:t>
      </w:r>
    </w:p>
    <w:p>
      <w:pPr>
        <w:spacing w:before="0" w:beforeAutospacing="0" w:after="2" w:afterAutospacing="0"/>
        <w:ind w:left="0" w:firstLine="643"/>
      </w:pPr>
      <w:r>
        <w:rPr>
          <w:rFonts w:ascii="宋体" w:hAnsi="宋体" w:eastAsia="宋体" w:cs="宋体"/>
          <w:color w:val="000000"/>
          <w:sz w:val="32"/>
          <w:szCs w:val="32"/>
        </w:rPr>
        <w:t>（一）基本支出</w:t>
      </w:r>
      <w:r>
        <w:rPr>
          <w:color w:val="000000"/>
        </w:rPr>
        <w:t xml:space="preserve"> </w:t>
      </w:r>
    </w:p>
    <w:p>
      <w:pPr>
        <w:spacing w:before="0" w:beforeAutospacing="0" w:after="2" w:afterAutospacing="0"/>
        <w:ind w:left="0" w:firstLine="643"/>
      </w:pPr>
      <w:r>
        <w:rPr>
          <w:rFonts w:ascii="宋体" w:hAnsi="宋体" w:eastAsia="宋体" w:cs="宋体"/>
          <w:color w:val="000000"/>
          <w:sz w:val="32"/>
          <w:szCs w:val="32"/>
        </w:rPr>
        <w:t>（二）项目支出</w:t>
      </w:r>
      <w:r>
        <w:rPr>
          <w:color w:val="000000"/>
        </w:rPr>
        <w:t xml:space="preserve"> </w:t>
      </w:r>
    </w:p>
    <w:p>
      <w:pPr>
        <w:spacing w:before="0" w:beforeAutospacing="0" w:after="2" w:afterAutospacing="0"/>
        <w:ind w:left="0" w:firstLine="643"/>
      </w:pPr>
      <w:r>
        <w:rPr>
          <w:rFonts w:ascii="宋体" w:hAnsi="宋体" w:eastAsia="宋体" w:cs="宋体"/>
          <w:color w:val="000000"/>
          <w:sz w:val="32"/>
          <w:szCs w:val="32"/>
        </w:rPr>
        <w:t>五、政府性基金预算支出</w:t>
      </w:r>
      <w:r>
        <w:rPr>
          <w:color w:val="000000"/>
        </w:rPr>
        <w:t xml:space="preserve"> </w:t>
      </w:r>
    </w:p>
    <w:p>
      <w:pPr>
        <w:spacing w:before="0" w:beforeAutospacing="0" w:after="2" w:afterAutospacing="0"/>
        <w:ind w:left="0" w:firstLine="643"/>
      </w:pPr>
      <w:r>
        <w:rPr>
          <w:rFonts w:ascii="宋体" w:hAnsi="宋体" w:eastAsia="宋体" w:cs="宋体"/>
          <w:color w:val="000000"/>
          <w:sz w:val="32"/>
          <w:szCs w:val="32"/>
        </w:rPr>
        <w:t>六、其他重要事项的情况说明</w:t>
      </w:r>
      <w:r>
        <w:rPr>
          <w:color w:val="000000"/>
        </w:rPr>
        <w:t xml:space="preserve"> </w:t>
      </w:r>
    </w:p>
    <w:p>
      <w:pPr>
        <w:spacing w:before="0" w:beforeAutospacing="0" w:after="2" w:afterAutospacing="0"/>
        <w:ind w:left="0" w:firstLine="643"/>
      </w:pPr>
      <w:r>
        <w:rPr>
          <w:rFonts w:ascii="宋体" w:hAnsi="宋体" w:eastAsia="宋体" w:cs="宋体"/>
          <w:color w:val="000000"/>
          <w:sz w:val="32"/>
          <w:szCs w:val="32"/>
        </w:rPr>
        <w:t>（一）机关运行经费</w:t>
      </w:r>
      <w:r>
        <w:rPr>
          <w:color w:val="000000"/>
        </w:rPr>
        <w:t xml:space="preserve"> </w:t>
      </w:r>
    </w:p>
    <w:p>
      <w:pPr>
        <w:spacing w:before="0" w:beforeAutospacing="0" w:after="2" w:afterAutospacing="0"/>
        <w:ind w:left="0" w:firstLine="643"/>
      </w:pPr>
      <w:r>
        <w:rPr>
          <w:rFonts w:ascii="宋体" w:hAnsi="宋体" w:eastAsia="宋体" w:cs="宋体"/>
          <w:color w:val="000000"/>
          <w:sz w:val="32"/>
          <w:szCs w:val="32"/>
        </w:rPr>
        <w:t>（二）“三公”经费预算</w:t>
      </w:r>
      <w:r>
        <w:rPr>
          <w:color w:val="000000"/>
        </w:rPr>
        <w:t xml:space="preserve"> </w:t>
      </w:r>
    </w:p>
    <w:p>
      <w:pPr>
        <w:spacing w:before="0" w:beforeAutospacing="0" w:after="2" w:afterAutospacing="0"/>
        <w:ind w:left="0" w:firstLine="643"/>
      </w:pPr>
      <w:r>
        <w:rPr>
          <w:rFonts w:ascii="宋体" w:hAnsi="宋体" w:eastAsia="宋体" w:cs="宋体"/>
          <w:color w:val="000000"/>
          <w:sz w:val="32"/>
          <w:szCs w:val="32"/>
        </w:rPr>
        <w:t>（三）一般性支出情况</w:t>
      </w:r>
      <w:r>
        <w:rPr>
          <w:color w:val="000000"/>
        </w:rPr>
        <w:t xml:space="preserve"> </w:t>
      </w:r>
    </w:p>
    <w:p>
      <w:pPr>
        <w:spacing w:before="0" w:beforeAutospacing="0" w:after="2" w:afterAutospacing="0"/>
        <w:ind w:left="0" w:firstLine="643"/>
      </w:pPr>
      <w:r>
        <w:rPr>
          <w:rFonts w:ascii="宋体" w:hAnsi="宋体" w:eastAsia="宋体" w:cs="宋体"/>
          <w:color w:val="000000"/>
          <w:sz w:val="32"/>
          <w:szCs w:val="32"/>
        </w:rPr>
        <w:t>（四）政府采购情况</w:t>
      </w:r>
      <w:r>
        <w:rPr>
          <w:color w:val="000000"/>
        </w:rPr>
        <w:t xml:space="preserve"> </w:t>
      </w:r>
    </w:p>
    <w:p>
      <w:pPr>
        <w:spacing w:before="0" w:beforeAutospacing="0" w:after="2" w:afterAutospacing="0"/>
        <w:ind w:left="0" w:firstLine="643"/>
      </w:pPr>
      <w:r>
        <w:rPr>
          <w:rFonts w:ascii="宋体" w:hAnsi="宋体" w:eastAsia="宋体" w:cs="宋体"/>
          <w:color w:val="000000"/>
          <w:sz w:val="32"/>
          <w:szCs w:val="32"/>
        </w:rPr>
        <w:t>（五）国有资产占用使用及新增资产配置情况</w:t>
      </w:r>
      <w:r>
        <w:rPr>
          <w:color w:val="000000"/>
        </w:rPr>
        <w:t xml:space="preserve"> </w:t>
      </w:r>
    </w:p>
    <w:p>
      <w:pPr>
        <w:spacing w:before="0" w:beforeAutospacing="0" w:after="2" w:afterAutospacing="0"/>
        <w:ind w:left="0" w:firstLine="643"/>
      </w:pPr>
      <w:r>
        <w:rPr>
          <w:rFonts w:ascii="宋体" w:hAnsi="宋体" w:eastAsia="宋体" w:cs="宋体"/>
          <w:color w:val="000000"/>
          <w:sz w:val="32"/>
          <w:szCs w:val="32"/>
        </w:rPr>
        <w:t>（六）部门整体支出、单位项目支出、重点（专项）项目支出预算绩效目标情况说明</w:t>
      </w:r>
      <w:r>
        <w:rPr>
          <w:color w:val="000000"/>
        </w:rPr>
        <w:t xml:space="preserve"> </w:t>
      </w:r>
    </w:p>
    <w:p>
      <w:pPr>
        <w:spacing w:before="0" w:beforeAutospacing="0" w:after="2" w:afterAutospacing="0"/>
        <w:ind w:left="0" w:firstLine="643"/>
      </w:pPr>
      <w:r>
        <w:rPr>
          <w:rFonts w:ascii="宋体" w:hAnsi="宋体" w:eastAsia="宋体" w:cs="宋体"/>
          <w:color w:val="000000"/>
          <w:sz w:val="32"/>
          <w:szCs w:val="32"/>
        </w:rPr>
        <w:t>七、名词解释</w:t>
      </w:r>
    </w:p>
    <w:p>
      <w:pPr>
        <w:spacing w:before="0" w:beforeAutospacing="0" w:after="2" w:afterAutospacing="0"/>
        <w:ind w:left="0" w:firstLine="643"/>
      </w:pPr>
      <w:r>
        <w:rPr>
          <w:rFonts w:ascii="宋体" w:hAnsi="宋体" w:eastAsia="宋体" w:cs="宋体"/>
          <w:b/>
          <w:color w:val="000000"/>
          <w:sz w:val="32"/>
          <w:szCs w:val="32"/>
        </w:rPr>
        <w:t>第二部分</w:t>
      </w:r>
      <w:r>
        <w:rPr>
          <w:b/>
          <w:color w:val="000000"/>
        </w:rPr>
        <w:t xml:space="preserve"> </w:t>
      </w:r>
      <w:r>
        <w:rPr>
          <w:rFonts w:ascii="宋体" w:hAnsi="宋体" w:eastAsia="宋体" w:cs="宋体"/>
          <w:b/>
          <w:color w:val="000000"/>
          <w:sz w:val="32"/>
          <w:szCs w:val="32"/>
        </w:rPr>
        <w:t>2024年部门预算表</w:t>
      </w:r>
      <w:r>
        <w:rPr>
          <w:color w:val="000000"/>
        </w:rPr>
        <w:t xml:space="preserve"> </w:t>
      </w:r>
    </w:p>
    <w:p>
      <w:pPr>
        <w:spacing w:before="0" w:beforeAutospacing="0" w:after="2" w:afterAutospacing="0"/>
        <w:ind w:left="0" w:firstLine="643"/>
      </w:pPr>
      <w:r>
        <w:rPr>
          <w:rFonts w:ascii="宋体" w:hAnsi="宋体" w:eastAsia="宋体" w:cs="宋体"/>
          <w:color w:val="000000"/>
          <w:sz w:val="32"/>
          <w:szCs w:val="32"/>
        </w:rPr>
        <w:t>1、收支总表</w:t>
      </w:r>
      <w:r>
        <w:rPr>
          <w:color w:val="000000"/>
        </w:rPr>
        <w:t xml:space="preserve"> </w:t>
      </w:r>
    </w:p>
    <w:p>
      <w:pPr>
        <w:spacing w:before="0" w:beforeAutospacing="0" w:after="2" w:afterAutospacing="0"/>
        <w:ind w:left="0" w:firstLine="643"/>
      </w:pPr>
      <w:r>
        <w:rPr>
          <w:rFonts w:ascii="宋体" w:hAnsi="宋体" w:eastAsia="宋体" w:cs="宋体"/>
          <w:color w:val="000000"/>
          <w:sz w:val="32"/>
          <w:szCs w:val="32"/>
        </w:rPr>
        <w:t>2、收入总表</w:t>
      </w:r>
      <w:r>
        <w:rPr>
          <w:color w:val="000000"/>
        </w:rPr>
        <w:t xml:space="preserve"> </w:t>
      </w:r>
    </w:p>
    <w:p>
      <w:pPr>
        <w:spacing w:before="0" w:beforeAutospacing="0" w:after="2" w:afterAutospacing="0"/>
        <w:ind w:left="0" w:firstLine="643"/>
      </w:pPr>
      <w:r>
        <w:rPr>
          <w:rFonts w:ascii="宋体" w:hAnsi="宋体" w:eastAsia="宋体" w:cs="宋体"/>
          <w:color w:val="000000"/>
          <w:sz w:val="32"/>
          <w:szCs w:val="32"/>
        </w:rPr>
        <w:t>3、支出总表</w:t>
      </w:r>
      <w:r>
        <w:rPr>
          <w:color w:val="000000"/>
        </w:rPr>
        <w:t xml:space="preserve"> </w:t>
      </w:r>
    </w:p>
    <w:p>
      <w:pPr>
        <w:spacing w:before="0" w:beforeAutospacing="0" w:after="2" w:afterAutospacing="0"/>
        <w:ind w:left="0" w:firstLine="643"/>
      </w:pPr>
      <w:r>
        <w:rPr>
          <w:rFonts w:ascii="宋体" w:hAnsi="宋体" w:eastAsia="宋体" w:cs="宋体"/>
          <w:color w:val="000000"/>
          <w:sz w:val="32"/>
          <w:szCs w:val="32"/>
        </w:rPr>
        <w:t>4、支出预算分类汇总表（按政府预算经济分类）</w:t>
      </w:r>
      <w:r>
        <w:rPr>
          <w:color w:val="000000"/>
        </w:rPr>
        <w:t xml:space="preserve"> </w:t>
      </w:r>
    </w:p>
    <w:p>
      <w:pPr>
        <w:spacing w:before="0" w:beforeAutospacing="0" w:after="2" w:afterAutospacing="0"/>
        <w:ind w:left="0" w:firstLine="643"/>
      </w:pPr>
      <w:r>
        <w:rPr>
          <w:rFonts w:ascii="宋体" w:hAnsi="宋体" w:eastAsia="宋体" w:cs="宋体"/>
          <w:color w:val="000000"/>
          <w:sz w:val="32"/>
          <w:szCs w:val="32"/>
        </w:rPr>
        <w:t>5、支出预算分类汇总表（按部门预算经济分类）</w:t>
      </w:r>
      <w:r>
        <w:rPr>
          <w:color w:val="000000"/>
        </w:rPr>
        <w:t xml:space="preserve"> </w:t>
      </w:r>
    </w:p>
    <w:p>
      <w:pPr>
        <w:spacing w:before="0" w:beforeAutospacing="0" w:after="2" w:afterAutospacing="0"/>
        <w:ind w:left="0" w:firstLine="643"/>
      </w:pPr>
      <w:r>
        <w:rPr>
          <w:rFonts w:ascii="宋体" w:hAnsi="宋体" w:eastAsia="宋体" w:cs="宋体"/>
          <w:color w:val="000000"/>
          <w:sz w:val="32"/>
          <w:szCs w:val="32"/>
        </w:rPr>
        <w:t>6、财政拨款收支总表</w:t>
      </w:r>
      <w:r>
        <w:rPr>
          <w:color w:val="000000"/>
        </w:rPr>
        <w:t xml:space="preserve"> </w:t>
      </w:r>
    </w:p>
    <w:p>
      <w:pPr>
        <w:spacing w:before="0" w:beforeAutospacing="0" w:after="2" w:afterAutospacing="0"/>
        <w:ind w:left="0" w:firstLine="643"/>
      </w:pPr>
      <w:r>
        <w:rPr>
          <w:rFonts w:ascii="宋体" w:hAnsi="宋体" w:eastAsia="宋体" w:cs="宋体"/>
          <w:color w:val="000000"/>
          <w:sz w:val="32"/>
          <w:szCs w:val="32"/>
        </w:rPr>
        <w:t>7、一般公共预算支出表</w:t>
      </w:r>
      <w:r>
        <w:rPr>
          <w:color w:val="000000"/>
        </w:rPr>
        <w:t xml:space="preserve"> </w:t>
      </w:r>
    </w:p>
    <w:p>
      <w:pPr>
        <w:spacing w:before="0" w:beforeAutospacing="0" w:after="2" w:afterAutospacing="0"/>
        <w:ind w:left="0" w:firstLine="643"/>
      </w:pPr>
      <w:r>
        <w:rPr>
          <w:rFonts w:ascii="宋体" w:hAnsi="宋体" w:eastAsia="宋体" w:cs="宋体"/>
          <w:color w:val="000000"/>
          <w:sz w:val="32"/>
          <w:szCs w:val="32"/>
        </w:rPr>
        <w:t>8、一般公共预算基本支出表（纵向）</w:t>
      </w:r>
      <w:r>
        <w:rPr>
          <w:color w:val="000000"/>
        </w:rPr>
        <w:t xml:space="preserve"> </w:t>
      </w:r>
    </w:p>
    <w:p>
      <w:pPr>
        <w:spacing w:before="0" w:beforeAutospacing="0" w:after="2" w:afterAutospacing="0"/>
        <w:ind w:left="0" w:firstLine="643"/>
      </w:pPr>
      <w:r>
        <w:rPr>
          <w:rFonts w:ascii="宋体" w:hAnsi="宋体" w:eastAsia="宋体" w:cs="宋体"/>
          <w:color w:val="000000"/>
          <w:sz w:val="32"/>
          <w:szCs w:val="32"/>
        </w:rPr>
        <w:t>9、一般公共预算基本支出表（横向）</w:t>
      </w:r>
      <w:r>
        <w:rPr>
          <w:color w:val="000000"/>
        </w:rPr>
        <w:t xml:space="preserve"> </w:t>
      </w:r>
    </w:p>
    <w:p>
      <w:pPr>
        <w:spacing w:before="0" w:beforeAutospacing="0" w:after="2" w:afterAutospacing="0"/>
        <w:ind w:left="0" w:firstLine="643"/>
      </w:pPr>
      <w:r>
        <w:rPr>
          <w:rFonts w:ascii="宋体" w:hAnsi="宋体" w:eastAsia="宋体" w:cs="宋体"/>
          <w:color w:val="000000"/>
          <w:sz w:val="32"/>
          <w:szCs w:val="32"/>
        </w:rPr>
        <w:t>10、一般公共预算基本支出表--人员经费(工资福利支出)(按政府预算经济分类)</w:t>
      </w:r>
      <w:r>
        <w:rPr>
          <w:color w:val="000000"/>
        </w:rPr>
        <w:t xml:space="preserve"> </w:t>
      </w:r>
    </w:p>
    <w:p>
      <w:pPr>
        <w:spacing w:before="0" w:beforeAutospacing="0" w:after="2" w:afterAutospacing="0"/>
        <w:ind w:left="0" w:firstLine="643"/>
      </w:pPr>
      <w:r>
        <w:rPr>
          <w:rFonts w:ascii="宋体" w:hAnsi="宋体" w:eastAsia="宋体" w:cs="宋体"/>
          <w:color w:val="000000"/>
          <w:sz w:val="32"/>
          <w:szCs w:val="32"/>
        </w:rPr>
        <w:t>11、一般公共预算基本支出表--人员经费(工资福利支出)(按部门预算经济分类)</w:t>
      </w:r>
      <w:r>
        <w:rPr>
          <w:color w:val="000000"/>
        </w:rPr>
        <w:t xml:space="preserve"> </w:t>
      </w:r>
    </w:p>
    <w:p>
      <w:pPr>
        <w:spacing w:before="0" w:beforeAutospacing="0" w:after="2" w:afterAutospacing="0"/>
        <w:ind w:left="0" w:firstLine="643"/>
      </w:pPr>
      <w:r>
        <w:rPr>
          <w:rFonts w:ascii="宋体" w:hAnsi="宋体" w:eastAsia="宋体" w:cs="宋体"/>
          <w:color w:val="000000"/>
          <w:sz w:val="32"/>
          <w:szCs w:val="32"/>
        </w:rPr>
        <w:t>12、一般公共预算基本支出表--人员经费(对个人和家庭的补助)(按政府预算经济分类)</w:t>
      </w:r>
      <w:r>
        <w:rPr>
          <w:color w:val="000000"/>
        </w:rPr>
        <w:t xml:space="preserve"> </w:t>
      </w:r>
    </w:p>
    <w:p>
      <w:pPr>
        <w:spacing w:before="0" w:beforeAutospacing="0" w:after="2" w:afterAutospacing="0"/>
        <w:ind w:left="0" w:firstLine="643"/>
      </w:pPr>
      <w:r>
        <w:rPr>
          <w:rFonts w:ascii="宋体" w:hAnsi="宋体" w:eastAsia="宋体" w:cs="宋体"/>
          <w:color w:val="000000"/>
          <w:sz w:val="32"/>
          <w:szCs w:val="32"/>
        </w:rPr>
        <w:t>13、一般公共预算基本支出表--人员经费(对个人和家庭的补助)（按部门预算经济分类）</w:t>
      </w:r>
      <w:r>
        <w:rPr>
          <w:color w:val="000000"/>
        </w:rPr>
        <w:t xml:space="preserve"> </w:t>
      </w:r>
    </w:p>
    <w:p>
      <w:pPr>
        <w:spacing w:before="0" w:beforeAutospacing="0" w:after="2" w:afterAutospacing="0"/>
        <w:ind w:left="0" w:firstLine="643"/>
      </w:pPr>
      <w:r>
        <w:rPr>
          <w:rFonts w:ascii="宋体" w:hAnsi="宋体" w:eastAsia="宋体" w:cs="宋体"/>
          <w:color w:val="000000"/>
          <w:sz w:val="32"/>
          <w:szCs w:val="32"/>
        </w:rPr>
        <w:t>14、一般公共预算基本支出表--公用经费(商品和服务支出)（按政府预算经济分类）</w:t>
      </w:r>
      <w:r>
        <w:rPr>
          <w:color w:val="000000"/>
        </w:rPr>
        <w:t xml:space="preserve"> </w:t>
      </w:r>
    </w:p>
    <w:p>
      <w:pPr>
        <w:spacing w:before="0" w:beforeAutospacing="0" w:after="2" w:afterAutospacing="0"/>
        <w:ind w:left="0" w:firstLine="643"/>
      </w:pPr>
      <w:r>
        <w:rPr>
          <w:rFonts w:ascii="宋体" w:hAnsi="宋体" w:eastAsia="宋体" w:cs="宋体"/>
          <w:color w:val="000000"/>
          <w:sz w:val="32"/>
          <w:szCs w:val="32"/>
        </w:rPr>
        <w:t>15、一般公共预算基本支出表--公用经费(商品和服务支出)(按部门预算经济分类)</w:t>
      </w:r>
      <w:r>
        <w:rPr>
          <w:color w:val="000000"/>
        </w:rPr>
        <w:t xml:space="preserve"> </w:t>
      </w:r>
    </w:p>
    <w:p>
      <w:pPr>
        <w:spacing w:before="0" w:beforeAutospacing="0" w:after="2" w:afterAutospacing="0"/>
        <w:ind w:left="0" w:firstLine="643"/>
      </w:pPr>
      <w:r>
        <w:rPr>
          <w:rFonts w:ascii="宋体" w:hAnsi="宋体" w:eastAsia="宋体" w:cs="宋体"/>
          <w:color w:val="000000"/>
          <w:sz w:val="32"/>
          <w:szCs w:val="32"/>
        </w:rPr>
        <w:t>16、一般公共预算“三公”经费支出表</w:t>
      </w:r>
      <w:r>
        <w:rPr>
          <w:color w:val="000000"/>
        </w:rPr>
        <w:t xml:space="preserve"> </w:t>
      </w:r>
    </w:p>
    <w:p>
      <w:pPr>
        <w:spacing w:before="0" w:beforeAutospacing="0" w:after="2" w:afterAutospacing="0"/>
        <w:ind w:left="0" w:firstLine="643"/>
      </w:pPr>
      <w:r>
        <w:rPr>
          <w:rFonts w:ascii="宋体" w:hAnsi="宋体" w:eastAsia="宋体" w:cs="宋体"/>
          <w:color w:val="000000"/>
          <w:sz w:val="32"/>
          <w:szCs w:val="32"/>
        </w:rPr>
        <w:t>17、政府性基金预算支出表</w:t>
      </w:r>
      <w:r>
        <w:rPr>
          <w:color w:val="000000"/>
        </w:rPr>
        <w:t xml:space="preserve"> </w:t>
      </w:r>
    </w:p>
    <w:p>
      <w:pPr>
        <w:spacing w:before="0" w:beforeAutospacing="0" w:after="2" w:afterAutospacing="0"/>
        <w:ind w:left="0" w:firstLine="643"/>
      </w:pPr>
      <w:r>
        <w:rPr>
          <w:rFonts w:ascii="宋体" w:hAnsi="宋体" w:eastAsia="宋体" w:cs="宋体"/>
          <w:color w:val="000000"/>
          <w:sz w:val="32"/>
          <w:szCs w:val="32"/>
        </w:rPr>
        <w:t>18、政府性基金预算支出分类汇总表（按政府预算经济分类）</w:t>
      </w:r>
      <w:r>
        <w:rPr>
          <w:color w:val="000000"/>
        </w:rPr>
        <w:t xml:space="preserve"> </w:t>
      </w:r>
    </w:p>
    <w:p>
      <w:pPr>
        <w:spacing w:before="0" w:beforeAutospacing="0" w:after="2" w:afterAutospacing="0"/>
        <w:ind w:left="0" w:firstLine="643"/>
      </w:pPr>
      <w:r>
        <w:rPr>
          <w:rFonts w:ascii="宋体" w:hAnsi="宋体" w:eastAsia="宋体" w:cs="宋体"/>
          <w:color w:val="000000"/>
          <w:sz w:val="32"/>
          <w:szCs w:val="32"/>
        </w:rPr>
        <w:t>19、政府性基金预算支出分类汇总表（按部门预算经济分类）</w:t>
      </w:r>
      <w:r>
        <w:rPr>
          <w:color w:val="000000"/>
        </w:rPr>
        <w:t xml:space="preserve"> </w:t>
      </w:r>
    </w:p>
    <w:p>
      <w:pPr>
        <w:spacing w:before="0" w:beforeAutospacing="0" w:after="2" w:afterAutospacing="0"/>
        <w:ind w:left="0" w:firstLine="643"/>
      </w:pPr>
      <w:r>
        <w:rPr>
          <w:rFonts w:ascii="宋体" w:hAnsi="宋体" w:eastAsia="宋体" w:cs="宋体"/>
          <w:color w:val="000000"/>
          <w:sz w:val="32"/>
          <w:szCs w:val="32"/>
        </w:rPr>
        <w:t>20、国有资本经营预算表</w:t>
      </w:r>
      <w:r>
        <w:rPr>
          <w:color w:val="000000"/>
        </w:rPr>
        <w:t xml:space="preserve"> </w:t>
      </w:r>
    </w:p>
    <w:p>
      <w:pPr>
        <w:spacing w:before="0" w:beforeAutospacing="0" w:after="2" w:afterAutospacing="0"/>
        <w:ind w:left="0" w:firstLine="643"/>
      </w:pPr>
      <w:r>
        <w:rPr>
          <w:rFonts w:ascii="宋体" w:hAnsi="宋体" w:eastAsia="宋体" w:cs="宋体"/>
          <w:color w:val="000000"/>
          <w:sz w:val="32"/>
          <w:szCs w:val="32"/>
        </w:rPr>
        <w:t>21、财政专户管理资金预算支出表</w:t>
      </w:r>
      <w:r>
        <w:rPr>
          <w:color w:val="000000"/>
        </w:rPr>
        <w:t xml:space="preserve"> </w:t>
      </w:r>
    </w:p>
    <w:p>
      <w:pPr>
        <w:spacing w:before="0" w:beforeAutospacing="0" w:after="2" w:afterAutospacing="0"/>
        <w:ind w:left="0" w:firstLine="643"/>
      </w:pPr>
      <w:r>
        <w:rPr>
          <w:rFonts w:ascii="宋体" w:hAnsi="宋体" w:eastAsia="宋体" w:cs="宋体"/>
          <w:color w:val="000000"/>
          <w:sz w:val="32"/>
          <w:szCs w:val="32"/>
        </w:rPr>
        <w:t>22、专项资金预算汇总表</w:t>
      </w:r>
      <w:r>
        <w:rPr>
          <w:color w:val="000000"/>
        </w:rPr>
        <w:t xml:space="preserve"> </w:t>
      </w:r>
    </w:p>
    <w:p>
      <w:pPr>
        <w:spacing w:before="0" w:beforeAutospacing="0" w:after="2" w:afterAutospacing="0"/>
        <w:ind w:left="0" w:firstLine="643"/>
      </w:pPr>
      <w:r>
        <w:rPr>
          <w:rFonts w:ascii="宋体" w:hAnsi="宋体" w:eastAsia="宋体" w:cs="宋体"/>
          <w:color w:val="000000"/>
          <w:sz w:val="32"/>
          <w:szCs w:val="32"/>
        </w:rPr>
        <w:t>23、项目支出绩效目标表</w:t>
      </w:r>
      <w:r>
        <w:rPr>
          <w:color w:val="000000"/>
        </w:rPr>
        <w:t xml:space="preserve"> </w:t>
      </w:r>
    </w:p>
    <w:p>
      <w:pPr>
        <w:spacing w:before="0" w:beforeAutospacing="0" w:after="2" w:afterAutospacing="0"/>
        <w:ind w:left="0" w:firstLine="643"/>
      </w:pPr>
      <w:r>
        <w:rPr>
          <w:rFonts w:ascii="宋体" w:hAnsi="宋体" w:eastAsia="宋体" w:cs="宋体"/>
          <w:color w:val="000000"/>
          <w:sz w:val="32"/>
          <w:szCs w:val="32"/>
        </w:rPr>
        <w:t>24、整体支出绩效目标表</w:t>
      </w:r>
      <w:r>
        <w:rPr>
          <w:color w:val="000000"/>
        </w:rPr>
        <w:t xml:space="preserve"> </w:t>
      </w:r>
    </w:p>
    <w:p>
      <w:pPr>
        <w:spacing w:before="0" w:beforeAutospacing="0" w:after="2" w:afterAutospacing="0"/>
        <w:ind w:left="0" w:firstLine="643"/>
      </w:pPr>
      <w:r>
        <w:rPr>
          <w:rStyle w:val="12"/>
          <w:rFonts w:ascii="宋体" w:hAnsi="宋体" w:eastAsia="宋体" w:cs="宋体"/>
          <w:color w:val="000000"/>
          <w:sz w:val="28"/>
          <w:szCs w:val="28"/>
        </w:rPr>
        <w:t>注：以上</w:t>
      </w:r>
      <w:r>
        <w:rPr>
          <w:rStyle w:val="12"/>
          <w:rFonts w:ascii="宋体" w:hAnsi="宋体" w:eastAsia="宋体" w:cs="宋体"/>
          <w:b/>
          <w:color w:val="000000"/>
          <w:sz w:val="28"/>
          <w:szCs w:val="28"/>
        </w:rPr>
        <w:t>部门</w:t>
      </w:r>
      <w:r>
        <w:rPr>
          <w:rStyle w:val="12"/>
          <w:rFonts w:ascii="宋体" w:hAnsi="宋体" w:eastAsia="宋体" w:cs="宋体"/>
          <w:color w:val="000000"/>
          <w:sz w:val="28"/>
          <w:szCs w:val="28"/>
        </w:rPr>
        <w:t>预算报表中，空表表示本</w:t>
      </w:r>
      <w:r>
        <w:rPr>
          <w:rStyle w:val="12"/>
          <w:rFonts w:ascii="宋体" w:hAnsi="宋体" w:eastAsia="宋体" w:cs="宋体"/>
          <w:b/>
          <w:color w:val="000000"/>
          <w:sz w:val="28"/>
          <w:szCs w:val="28"/>
        </w:rPr>
        <w:t>部门</w:t>
      </w:r>
      <w:r>
        <w:rPr>
          <w:rStyle w:val="12"/>
          <w:rFonts w:ascii="宋体" w:hAnsi="宋体" w:eastAsia="宋体" w:cs="宋体"/>
          <w:color w:val="000000"/>
          <w:sz w:val="28"/>
          <w:szCs w:val="28"/>
        </w:rPr>
        <w:t>无相关收支情况。</w:t>
      </w:r>
      <w:r>
        <w:rPr>
          <w:color w:val="000000"/>
        </w:rPr>
        <w:t xml:space="preserve"> </w:t>
      </w:r>
    </w:p>
    <w:p>
      <w:pPr>
        <w:spacing w:before="0" w:beforeAutospacing="0" w:after="2" w:afterAutospacing="0"/>
      </w:pPr>
      <w:r>
        <w:rPr>
          <w:rFonts w:ascii="宋体" w:hAnsi="宋体" w:eastAsia="宋体" w:cs="宋体"/>
          <w:color w:val="000000"/>
          <w:sz w:val="32"/>
          <w:szCs w:val="32"/>
        </w:rPr>
        <w:t> </w:t>
      </w:r>
      <w:r>
        <w:rPr>
          <w:color w:val="000000"/>
        </w:rPr>
        <w:t xml:space="preserve"> </w:t>
      </w:r>
    </w:p>
    <w:p>
      <w:pPr>
        <w:spacing w:before="0" w:beforeAutospacing="0" w:after="2" w:afterAutospacing="0"/>
      </w:pPr>
    </w:p>
    <w:p>
      <w:pPr>
        <w:spacing w:before="0" w:beforeAutospacing="0" w:after="2" w:afterAutospacing="0"/>
        <w:jc w:val="center"/>
      </w:pPr>
      <w:r>
        <w:rPr>
          <w:rStyle w:val="12"/>
          <w:rFonts w:ascii="宋体" w:hAnsi="宋体" w:eastAsia="宋体" w:cs="宋体"/>
          <w:color w:val="000000"/>
          <w:sz w:val="40"/>
          <w:szCs w:val="40"/>
        </w:rPr>
        <w:t>第一部分 2024年部门预算说明</w:t>
      </w:r>
      <w:r>
        <w:rPr>
          <w:color w:val="000000"/>
        </w:rPr>
        <w:t xml:space="preserve"> </w:t>
      </w:r>
    </w:p>
    <w:p>
      <w:pPr>
        <w:spacing w:before="0" w:beforeAutospacing="0" w:after="2" w:afterAutospacing="0"/>
      </w:pPr>
      <w:r>
        <w:rPr>
          <w:rFonts w:ascii="宋体" w:hAnsi="宋体" w:eastAsia="宋体" w:cs="宋体"/>
          <w:b/>
          <w:color w:val="000000"/>
          <w:sz w:val="32"/>
          <w:szCs w:val="32"/>
        </w:rPr>
        <w:t> </w:t>
      </w:r>
      <w:r>
        <w:rPr>
          <w:color w:val="000000"/>
        </w:rPr>
        <w:t xml:space="preserve"> </w:t>
      </w:r>
    </w:p>
    <w:p>
      <w:pPr>
        <w:spacing w:before="0" w:beforeAutospacing="0" w:after="2" w:afterAutospacing="0"/>
        <w:ind w:left="0" w:firstLine="627"/>
      </w:pPr>
      <w:r>
        <w:rPr>
          <w:rStyle w:val="12"/>
          <w:rFonts w:ascii="宋体" w:hAnsi="宋体" w:eastAsia="宋体" w:cs="宋体"/>
          <w:color w:val="000000"/>
          <w:sz w:val="32"/>
          <w:szCs w:val="32"/>
        </w:rPr>
        <w:t>一、</w:t>
      </w:r>
      <w:r>
        <w:rPr>
          <w:rStyle w:val="12"/>
          <w:rFonts w:ascii="宋体" w:hAnsi="宋体" w:eastAsia="宋体" w:cs="宋体"/>
          <w:b/>
          <w:color w:val="000000"/>
          <w:sz w:val="32"/>
          <w:szCs w:val="32"/>
        </w:rPr>
        <w:t>部门</w:t>
      </w:r>
      <w:r>
        <w:rPr>
          <w:rStyle w:val="12"/>
          <w:rFonts w:ascii="宋体" w:hAnsi="宋体" w:eastAsia="宋体" w:cs="宋体"/>
          <w:color w:val="000000"/>
          <w:sz w:val="32"/>
          <w:szCs w:val="32"/>
        </w:rPr>
        <w:t>基本概况</w:t>
      </w:r>
      <w:r>
        <w:rPr>
          <w:color w:val="000000"/>
        </w:rPr>
        <w:t xml:space="preserve"> </w:t>
      </w:r>
    </w:p>
    <w:p>
      <w:pPr>
        <w:spacing w:before="0" w:beforeAutospacing="0" w:after="2" w:afterAutospacing="0"/>
        <w:ind w:left="0" w:firstLine="630"/>
      </w:pPr>
      <w:r>
        <w:rPr>
          <w:rFonts w:ascii="宋体" w:hAnsi="宋体" w:eastAsia="宋体" w:cs="宋体"/>
          <w:b/>
          <w:color w:val="000000"/>
          <w:sz w:val="32"/>
          <w:szCs w:val="32"/>
        </w:rPr>
        <w:t>（一）职能职责</w:t>
      </w:r>
      <w:r>
        <w:rPr>
          <w:color w:val="000000"/>
        </w:rPr>
        <w:t xml:space="preserve"> </w:t>
      </w:r>
    </w:p>
    <w:p>
      <w:pPr>
        <w:spacing w:before="0" w:beforeAutospacing="0" w:after="2" w:afterAutospacing="0"/>
        <w:ind w:left="0" w:firstLine="630"/>
      </w:pPr>
      <w:r>
        <w:rPr>
          <w:rFonts w:ascii="宋体" w:hAnsi="宋体" w:eastAsia="宋体" w:cs="宋体"/>
          <w:color w:val="000000"/>
          <w:sz w:val="32"/>
          <w:szCs w:val="32"/>
        </w:rPr>
        <w:t>1、拟订并组织实施全市国民经济和社会发展战略、中长期规划和年度计划，统筹协调相关总体规划、区域规划与专项规划。提出全市国民经济发展、价格总水平调控和优化重大经济结构的目标、政策，提出综合运用各种经济手段和政策的建议，受市政府委托向市人民代表大会提交国民经济和社会发展计划的报告。</w:t>
      </w:r>
      <w:r>
        <w:rPr>
          <w:rFonts w:hint="default" w:ascii="Times New Roman" w:hAnsi="Times New Roman" w:cs="Times New Roman"/>
          <w:color w:val="000000"/>
          <w:sz w:val="32"/>
          <w:szCs w:val="32"/>
        </w:rPr>
        <w:t xml:space="preserve"> </w:t>
      </w:r>
    </w:p>
    <w:p>
      <w:pPr>
        <w:spacing w:before="0" w:beforeAutospacing="0" w:after="2" w:afterAutospacing="0"/>
        <w:ind w:left="0" w:firstLine="630"/>
      </w:pPr>
      <w:r>
        <w:rPr>
          <w:rFonts w:ascii="宋体" w:hAnsi="宋体" w:eastAsia="宋体" w:cs="宋体"/>
          <w:color w:val="000000"/>
          <w:sz w:val="32"/>
          <w:szCs w:val="32"/>
        </w:rPr>
        <w:t>2、研究全市宏观经济运行、总量平衡、经济安全和总体产业安全等重要问题并提出宏观调控政策建议，协调解决经济运行中的重大问题，调节国民经济运行。</w:t>
      </w:r>
      <w:r>
        <w:rPr>
          <w:rFonts w:hint="default" w:ascii="Times New Roman" w:hAnsi="Times New Roman" w:cs="Times New Roman"/>
          <w:color w:val="000000"/>
          <w:sz w:val="32"/>
          <w:szCs w:val="32"/>
        </w:rPr>
        <w:t xml:space="preserve"> </w:t>
      </w:r>
    </w:p>
    <w:p>
      <w:pPr>
        <w:spacing w:before="0" w:beforeAutospacing="0" w:after="2" w:afterAutospacing="0"/>
        <w:ind w:left="0" w:firstLine="630"/>
      </w:pPr>
      <w:r>
        <w:rPr>
          <w:rFonts w:ascii="宋体" w:hAnsi="宋体" w:eastAsia="宋体" w:cs="宋体"/>
          <w:color w:val="000000"/>
          <w:sz w:val="32"/>
          <w:szCs w:val="32"/>
        </w:rPr>
        <w:t>3、汇总社会资金总体运行情况，参与制定财政、金融、土地政策并综合分析政策执行效果。拟订并组织实施产业政策，监督检查产业政策的执行。会同有关部门完善宏观调控协调机制，统筹推进产业、创业等投资基金的发展和制度建设。</w:t>
      </w:r>
      <w:r>
        <w:rPr>
          <w:rFonts w:hint="default" w:ascii="Times New Roman" w:hAnsi="Times New Roman" w:cs="Times New Roman"/>
          <w:color w:val="000000"/>
          <w:sz w:val="32"/>
          <w:szCs w:val="32"/>
        </w:rPr>
        <w:t xml:space="preserve"> </w:t>
      </w:r>
    </w:p>
    <w:p>
      <w:pPr>
        <w:spacing w:before="0" w:beforeAutospacing="0" w:after="2" w:afterAutospacing="0"/>
        <w:ind w:left="0" w:firstLine="630"/>
      </w:pPr>
      <w:r>
        <w:rPr>
          <w:rFonts w:ascii="宋体" w:hAnsi="宋体" w:eastAsia="宋体" w:cs="宋体"/>
          <w:color w:val="000000"/>
          <w:sz w:val="32"/>
          <w:szCs w:val="32"/>
        </w:rPr>
        <w:t>4、指导推进和综合协调全市经济体制改革，研究全市经济体制改革和对外开放的重大问题；组织拟订综合性经济体制改革方案，协调有关专项经济体制改革方案实施，会同有关部门搞好专项改革之间的衔接；指导经济体制改革试点和改革试验区工作，协调推进“两型”社会建设综合配套改革工作。</w:t>
      </w:r>
      <w:r>
        <w:rPr>
          <w:rFonts w:hint="default" w:ascii="Times New Roman" w:hAnsi="Times New Roman" w:cs="Times New Roman"/>
          <w:color w:val="000000"/>
          <w:sz w:val="32"/>
          <w:szCs w:val="32"/>
        </w:rPr>
        <w:t xml:space="preserve"> </w:t>
      </w:r>
    </w:p>
    <w:p>
      <w:pPr>
        <w:spacing w:before="0" w:beforeAutospacing="0" w:after="2" w:afterAutospacing="0"/>
        <w:ind w:left="0" w:firstLine="630"/>
      </w:pPr>
      <w:r>
        <w:rPr>
          <w:rFonts w:ascii="宋体" w:hAnsi="宋体" w:eastAsia="宋体" w:cs="宋体"/>
          <w:color w:val="000000"/>
          <w:sz w:val="32"/>
          <w:szCs w:val="32"/>
        </w:rPr>
        <w:t>5、拟订全市全社会固定资产投资总规模和投资结构的调控目标、政策及措施；规划全市重大建设项目和生产力布局，按规定权限审批、核准、审核、备案跨地区、跨行业、跨领域和涉及综合平衡、重大布局的重大建设项目、外资项目、境外投资项目；研究提出全市利用外资和境外投资的战略、规划、总量平衡和结构优化的目标和政策；指导和监督国外贷款建设资金的使用，引导民间投资方向；牵头组织编制重特大自然灾害的灾后恢复重建规划，协调有关重大问题；研究提出市重点建设项目计划；负责政府投资项目代建制实施的指导、协调和监督管理。指导工程咨询业发展。</w:t>
      </w:r>
      <w:r>
        <w:rPr>
          <w:rFonts w:hint="default" w:ascii="Times New Roman" w:hAnsi="Times New Roman" w:cs="Times New Roman"/>
          <w:color w:val="000000"/>
          <w:sz w:val="32"/>
          <w:szCs w:val="32"/>
        </w:rPr>
        <w:t xml:space="preserve"> </w:t>
      </w:r>
    </w:p>
    <w:p>
      <w:pPr>
        <w:spacing w:before="0" w:beforeAutospacing="0" w:after="2" w:afterAutospacing="0"/>
        <w:ind w:left="0" w:firstLine="630"/>
      </w:pPr>
      <w:r>
        <w:rPr>
          <w:rFonts w:ascii="宋体" w:hAnsi="宋体" w:eastAsia="宋体" w:cs="宋体"/>
          <w:color w:val="000000"/>
          <w:sz w:val="32"/>
          <w:szCs w:val="32"/>
        </w:rPr>
        <w:t>6、组织拟订综合性产业政策，负责协调第一、二、三产业发展的重大问题并衔接平衡相关发展规划和重大政策，负责综合交通运输体系规划与经济和社会发展规划的衔接平衡；协调农业和农村经济社会发展的重大问题，统筹推进现代农业改革；负责制定发展战略性新兴产业规划，研究提出新型工业化和产业集群发展的政策措施；会同有关部门研究拟订高新技术产业、服务业发展规划和重大政策，实施高新技术产业发展的宏观指导，协调解决重大技术装备推广应用等方面的重大问题。</w:t>
      </w:r>
      <w:r>
        <w:rPr>
          <w:rFonts w:hint="default" w:ascii="Times New Roman" w:hAnsi="Times New Roman" w:cs="Times New Roman"/>
          <w:color w:val="000000"/>
          <w:sz w:val="32"/>
          <w:szCs w:val="32"/>
        </w:rPr>
        <w:t xml:space="preserve"> </w:t>
      </w:r>
    </w:p>
    <w:p>
      <w:pPr>
        <w:spacing w:before="0" w:beforeAutospacing="0" w:after="2" w:afterAutospacing="0"/>
        <w:ind w:left="0" w:firstLine="630"/>
      </w:pPr>
      <w:r>
        <w:rPr>
          <w:rFonts w:ascii="宋体" w:hAnsi="宋体" w:eastAsia="宋体" w:cs="宋体"/>
          <w:color w:val="000000"/>
          <w:sz w:val="32"/>
          <w:szCs w:val="32"/>
        </w:rPr>
        <w:t>7、贯彻落实国家中部崛起、长江经济带开发建设的政策措施，研究分析区域经济发展情况，组织编制区域规划、跨区县（市）城镇群规划；负责统筹促进洞庭湖生态经济区加快发展的战略、规划和重大政策落实，承担市洞庭湖生态经济区建设领导小组的日常工作。拟订并组织实施全市以工代赈规划和计划；参与研究拟订全市城镇化发展战略和重大政策措施。参与制定开发园区发展规划和政策；承担市对口支援新疆有关工作。</w:t>
      </w:r>
      <w:r>
        <w:rPr>
          <w:rFonts w:hint="default" w:ascii="Times New Roman" w:hAnsi="Times New Roman" w:cs="Times New Roman"/>
          <w:color w:val="000000"/>
          <w:sz w:val="32"/>
          <w:szCs w:val="32"/>
        </w:rPr>
        <w:t xml:space="preserve"> </w:t>
      </w:r>
    </w:p>
    <w:p>
      <w:pPr>
        <w:spacing w:before="0" w:beforeAutospacing="0" w:after="2" w:afterAutospacing="0"/>
        <w:ind w:left="0" w:firstLine="630"/>
      </w:pPr>
      <w:r>
        <w:rPr>
          <w:rFonts w:ascii="宋体" w:hAnsi="宋体" w:eastAsia="宋体" w:cs="宋体"/>
          <w:color w:val="000000"/>
          <w:sz w:val="32"/>
          <w:szCs w:val="32"/>
        </w:rPr>
        <w:t>8、承担重要商品总量平衡和宏观调控，编制重要农产品、工业品和原材料进出口总量平衡计划并监督执行，根据经济运行情况对计划进行调整；拟订重要战略物资储备规划，负责组织收储、动用、轮换和管理，会同有关部门管理粮食、棉花和食糖等储备。牵头负责全市物流发展工作，拟订现代物流业发展战略、规划，协调物流业发展重大布局。</w:t>
      </w:r>
      <w:r>
        <w:rPr>
          <w:rFonts w:hint="default" w:ascii="Times New Roman" w:hAnsi="Times New Roman" w:cs="Times New Roman"/>
          <w:color w:val="000000"/>
          <w:sz w:val="32"/>
          <w:szCs w:val="32"/>
        </w:rPr>
        <w:t xml:space="preserve"> </w:t>
      </w:r>
    </w:p>
    <w:p>
      <w:pPr>
        <w:spacing w:before="0" w:beforeAutospacing="0" w:after="2" w:afterAutospacing="0"/>
        <w:ind w:left="0" w:firstLine="630"/>
      </w:pPr>
      <w:r>
        <w:rPr>
          <w:rFonts w:ascii="宋体" w:hAnsi="宋体" w:eastAsia="宋体" w:cs="宋体"/>
          <w:color w:val="000000"/>
          <w:sz w:val="32"/>
          <w:szCs w:val="32"/>
        </w:rPr>
        <w:t>9、贯彻执行粮食流通和物资储备管理的政策法规；制定并组织实施全市粮食流通发展规划，组织指导粮食市场体系和质量监测体系建设；承担全市粮食流通宏观调控的具体工作，负责粮食流通行政管理，指导协调政策性粮食购销和粮食产销合作；研究提出市级粮食和物资储备规划、储备品种目录建议，管理市级粮食、棉花、食糖等战略物资和救灾物资储备；贯彻落实国家粮食和物资储备仓储管理有关技术标准和规范，指导科技进步、技术改造；组织指导粮食流通、加工行业安全生产，承担所属物资承储单位安全生产的监管责任；拟订并组织实施全市储备基础设施和粮食流通设施建设规划；保障军队粮食供应；负责粮食流通和物资储备监督检查，组织指导粮食行政执法工作，组织实施粮食库存检查工作；承担粮食安全责任制考核日常工作；负责全市社会粮食流通和储备物资的统计工作；监管直属单位国有资产。</w:t>
      </w:r>
      <w:r>
        <w:rPr>
          <w:rFonts w:hint="default" w:ascii="Times New Roman" w:hAnsi="Times New Roman" w:cs="Times New Roman"/>
          <w:color w:val="000000"/>
          <w:sz w:val="32"/>
          <w:szCs w:val="32"/>
        </w:rPr>
        <w:t xml:space="preserve"> </w:t>
      </w:r>
    </w:p>
    <w:p>
      <w:pPr>
        <w:spacing w:before="0" w:beforeAutospacing="0" w:after="2" w:afterAutospacing="0"/>
        <w:ind w:left="0" w:firstLine="630"/>
      </w:pPr>
      <w:r>
        <w:rPr>
          <w:rFonts w:ascii="宋体" w:hAnsi="宋体" w:eastAsia="宋体" w:cs="宋体"/>
          <w:color w:val="000000"/>
          <w:sz w:val="32"/>
          <w:szCs w:val="32"/>
        </w:rPr>
        <w:t>10、负责国民经济和社会发展的政策衔接。组织拟订社会发展战略、总体规划和年度计划。拟订人口发展战略、规划及人口政策；参与拟订科学技术、教育、文化、卫生、民政等发展政策。统筹推进基本公共服务体系建设和收入分配制度改革；研究提出促进就业、完善社会保障与经济协调发展的政策建议；协调社会事业发展和改革中的重大问题及政策。参与推进深化医药卫生体制改革工作。</w:t>
      </w:r>
      <w:r>
        <w:rPr>
          <w:rFonts w:hint="default" w:ascii="Times New Roman" w:hAnsi="Times New Roman" w:cs="Times New Roman"/>
          <w:color w:val="000000"/>
          <w:sz w:val="32"/>
          <w:szCs w:val="32"/>
        </w:rPr>
        <w:t xml:space="preserve"> </w:t>
      </w:r>
    </w:p>
    <w:p>
      <w:pPr>
        <w:spacing w:before="0" w:beforeAutospacing="0" w:after="2" w:afterAutospacing="0"/>
        <w:ind w:left="0" w:firstLine="630"/>
      </w:pPr>
      <w:r>
        <w:rPr>
          <w:rFonts w:ascii="宋体" w:hAnsi="宋体" w:eastAsia="宋体" w:cs="宋体"/>
          <w:color w:val="000000"/>
          <w:sz w:val="32"/>
          <w:szCs w:val="32"/>
        </w:rPr>
        <w:t>11、研究分析经济社会与资源、环境协调发展的重大问题，研究提出能源消费总量控制目标的建议，牵头拟订能源消费总量控制工作方案并组织实施；组织拟订发展循环经济、能源资源节约和综合利用规划、政策并协调实施。参与编制生态环境保护规划，协调生态建设、能源资源节约和综合利用的重大问题，会同有关部门提出建立健全生态补偿机制的政策措施。综合协调节能环保产业和清洁生产促进有关工作；完善固定资产投资项目节能评估和审查制度。</w:t>
      </w:r>
      <w:r>
        <w:rPr>
          <w:rFonts w:hint="default" w:ascii="Times New Roman" w:hAnsi="Times New Roman" w:cs="Times New Roman"/>
          <w:color w:val="000000"/>
          <w:sz w:val="32"/>
          <w:szCs w:val="32"/>
        </w:rPr>
        <w:t xml:space="preserve"> </w:t>
      </w:r>
    </w:p>
    <w:p>
      <w:pPr>
        <w:spacing w:before="0" w:beforeAutospacing="0" w:after="2" w:afterAutospacing="0"/>
        <w:ind w:left="0" w:firstLine="630"/>
      </w:pPr>
      <w:r>
        <w:rPr>
          <w:rFonts w:ascii="宋体" w:hAnsi="宋体" w:eastAsia="宋体" w:cs="宋体"/>
          <w:color w:val="000000"/>
          <w:sz w:val="32"/>
          <w:szCs w:val="32"/>
        </w:rPr>
        <w:t>12、编制和执行全市价格改革规划，拟订并组织实施价格政策。监测分析市场价格形势，组织实施价格总水平调控。管理国家、省列名管理的商品和服务价格（药品和医疗价格除外），监管实行市场调节价的商品和服务价格，承担行政事业性收费管理、价格监测和涉案物价鉴证工作；依法对重特大自然灾害和特殊时期实施临时价格干预措施，负责价格公共服务工作；负责价格成本调查和监审。</w:t>
      </w:r>
      <w:r>
        <w:rPr>
          <w:rFonts w:hint="default" w:ascii="Times New Roman" w:hAnsi="Times New Roman" w:cs="Times New Roman"/>
          <w:color w:val="000000"/>
          <w:sz w:val="32"/>
          <w:szCs w:val="32"/>
        </w:rPr>
        <w:t xml:space="preserve"> </w:t>
      </w:r>
    </w:p>
    <w:p>
      <w:pPr>
        <w:spacing w:before="0" w:beforeAutospacing="0" w:after="2" w:afterAutospacing="0"/>
        <w:ind w:left="0" w:firstLine="630"/>
      </w:pPr>
      <w:r>
        <w:rPr>
          <w:rFonts w:ascii="宋体" w:hAnsi="宋体" w:eastAsia="宋体" w:cs="宋体"/>
          <w:color w:val="000000"/>
          <w:sz w:val="32"/>
          <w:szCs w:val="32"/>
        </w:rPr>
        <w:t>13、协调推进经济发展环境的优化，牵头落实有关鼓励市场主体投资、保护投资者权益、促进市场公平竞争、维护市场正常秩序的政务、法制、商务、信用等环境，优化重点项目建设环境；指导全市优化经济发展环境的相关工作，承担治理工程建设领域突出问题有关工作。</w:t>
      </w:r>
      <w:r>
        <w:rPr>
          <w:rFonts w:hint="default" w:ascii="Times New Roman" w:hAnsi="Times New Roman" w:cs="Times New Roman"/>
          <w:color w:val="000000"/>
          <w:sz w:val="32"/>
          <w:szCs w:val="32"/>
        </w:rPr>
        <w:t xml:space="preserve"> </w:t>
      </w:r>
    </w:p>
    <w:p>
      <w:pPr>
        <w:spacing w:before="0" w:beforeAutospacing="0" w:after="2" w:afterAutospacing="0"/>
        <w:ind w:left="0" w:firstLine="630"/>
      </w:pPr>
      <w:r>
        <w:rPr>
          <w:rFonts w:ascii="宋体" w:hAnsi="宋体" w:eastAsia="宋体" w:cs="宋体"/>
          <w:color w:val="000000"/>
          <w:sz w:val="32"/>
          <w:szCs w:val="32"/>
        </w:rPr>
        <w:t>14、研究提出全市能源发展战略和改革建议。拟订能源发展规划、产业政策并组织实施；监测能源发展情况，衔接能源生产建设和供需平衡；负责能源预测预警，发布能源信息，参与能源重大建设项目规划布局，参与能源运行调节和应急保障；组织协调核电和新能源开发利用的前期工作。统筹协调农村能源发展政策与规划。</w:t>
      </w:r>
      <w:r>
        <w:rPr>
          <w:rFonts w:hint="default" w:ascii="Times New Roman" w:hAnsi="Times New Roman" w:cs="Times New Roman"/>
          <w:color w:val="000000"/>
          <w:sz w:val="32"/>
          <w:szCs w:val="32"/>
        </w:rPr>
        <w:t xml:space="preserve"> </w:t>
      </w:r>
    </w:p>
    <w:p>
      <w:pPr>
        <w:spacing w:before="0" w:beforeAutospacing="0" w:after="2" w:afterAutospacing="0"/>
        <w:ind w:left="0" w:firstLine="630"/>
      </w:pPr>
      <w:r>
        <w:rPr>
          <w:rFonts w:ascii="宋体" w:hAnsi="宋体" w:eastAsia="宋体" w:cs="宋体"/>
          <w:color w:val="000000"/>
          <w:sz w:val="32"/>
          <w:szCs w:val="32"/>
        </w:rPr>
        <w:t>15、制定推进社会信用体系建设的规划、政策措施，统筹推进统一的信用信息平台建设，促进信用信息资源的整合与运用，协调社会信用体系建设的重大问题。</w:t>
      </w:r>
      <w:r>
        <w:rPr>
          <w:rFonts w:hint="default" w:ascii="Times New Roman" w:hAnsi="Times New Roman" w:cs="Times New Roman"/>
          <w:color w:val="000000"/>
          <w:sz w:val="32"/>
          <w:szCs w:val="32"/>
        </w:rPr>
        <w:t xml:space="preserve"> </w:t>
      </w:r>
    </w:p>
    <w:p>
      <w:pPr>
        <w:spacing w:before="0" w:beforeAutospacing="0" w:after="2" w:afterAutospacing="0"/>
        <w:ind w:left="0" w:firstLine="630"/>
      </w:pPr>
      <w:r>
        <w:rPr>
          <w:rFonts w:ascii="宋体" w:hAnsi="宋体" w:eastAsia="宋体" w:cs="宋体"/>
          <w:color w:val="000000"/>
          <w:sz w:val="32"/>
          <w:szCs w:val="32"/>
        </w:rPr>
        <w:t>16、拟订推进经济建设与国防建设协调发展的战略和规划，协调有关重大问题；组织编制全市国民经济动员和装备动员规划、计划，并组织实施有关工作。</w:t>
      </w:r>
      <w:r>
        <w:rPr>
          <w:rFonts w:hint="default" w:ascii="Times New Roman" w:hAnsi="Times New Roman" w:cs="Times New Roman"/>
          <w:color w:val="000000"/>
          <w:sz w:val="32"/>
          <w:szCs w:val="32"/>
        </w:rPr>
        <w:t xml:space="preserve"> </w:t>
      </w:r>
    </w:p>
    <w:p>
      <w:pPr>
        <w:spacing w:before="0" w:beforeAutospacing="0" w:after="2" w:afterAutospacing="0"/>
        <w:ind w:left="0" w:firstLine="630"/>
      </w:pPr>
      <w:r>
        <w:rPr>
          <w:rFonts w:ascii="宋体" w:hAnsi="宋体" w:eastAsia="宋体" w:cs="宋体"/>
          <w:color w:val="000000"/>
          <w:sz w:val="32"/>
          <w:szCs w:val="32"/>
        </w:rPr>
        <w:t>17、负责公共资源交易综合监督管理，承担市公共资源交易管理委员会的日常工作，指导督促各区县（市）和市直有关部门落实市公共资源交易管理委员会的决策部署，指导协调监督各法定监管机关依法履行公共资源交易监管执法职责。指导协调全市招投标工作；对依法必须进行招标的本部门审批、核准项目，审批、核准其招标范围、招标方式、招标组织形式，对招标投标活动实施监督，依法查处招标投标活动中的违法行为。</w:t>
      </w:r>
      <w:r>
        <w:rPr>
          <w:rFonts w:hint="default" w:ascii="Times New Roman" w:hAnsi="Times New Roman" w:cs="Times New Roman"/>
          <w:color w:val="000000"/>
          <w:sz w:val="32"/>
          <w:szCs w:val="32"/>
        </w:rPr>
        <w:t xml:space="preserve"> </w:t>
      </w:r>
    </w:p>
    <w:p>
      <w:pPr>
        <w:spacing w:before="0" w:beforeAutospacing="0" w:after="2" w:afterAutospacing="0"/>
        <w:ind w:left="0" w:firstLine="630"/>
      </w:pPr>
      <w:r>
        <w:rPr>
          <w:rFonts w:ascii="宋体" w:hAnsi="宋体" w:eastAsia="宋体" w:cs="宋体"/>
          <w:color w:val="000000"/>
          <w:sz w:val="32"/>
          <w:szCs w:val="32"/>
        </w:rPr>
        <w:t>18、完成市委、市政府交办的其他任务。</w:t>
      </w:r>
      <w:r>
        <w:rPr>
          <w:rFonts w:hint="default" w:ascii="Times New Roman" w:hAnsi="Times New Roman" w:cs="Times New Roman"/>
          <w:color w:val="000000"/>
          <w:sz w:val="32"/>
          <w:szCs w:val="32"/>
        </w:rPr>
        <w:t xml:space="preserve"> </w:t>
      </w:r>
    </w:p>
    <w:p>
      <w:pPr>
        <w:spacing w:before="0" w:beforeAutospacing="0" w:after="2" w:afterAutospacing="0"/>
        <w:ind w:left="0" w:firstLine="630"/>
      </w:pPr>
      <w:r>
        <w:rPr>
          <w:rFonts w:ascii="宋体" w:hAnsi="宋体" w:eastAsia="宋体" w:cs="宋体"/>
          <w:color w:val="000000"/>
          <w:sz w:val="32"/>
          <w:szCs w:val="32"/>
        </w:rPr>
        <w:t>19、职能转变。将房屋建筑、市政工程建设、交通、水利工程等专业领域招投标监督管理职责分别划入住房住房和城乡建设、交通运输、水利等主管部门。</w:t>
      </w:r>
      <w:r>
        <w:rPr>
          <w:rFonts w:hint="default" w:ascii="Times New Roman" w:hAnsi="Times New Roman" w:cs="Times New Roman"/>
          <w:color w:val="000000"/>
          <w:sz w:val="32"/>
          <w:szCs w:val="32"/>
        </w:rPr>
        <w:t xml:space="preserve"> </w:t>
      </w:r>
    </w:p>
    <w:p>
      <w:pPr>
        <w:spacing w:before="0" w:beforeAutospacing="0" w:after="2" w:afterAutospacing="0"/>
        <w:ind w:left="0" w:firstLine="630"/>
      </w:pPr>
      <w:r>
        <w:rPr>
          <w:rFonts w:ascii="宋体" w:hAnsi="宋体" w:eastAsia="宋体" w:cs="宋体"/>
          <w:b/>
          <w:color w:val="000000"/>
          <w:sz w:val="32"/>
          <w:szCs w:val="32"/>
        </w:rPr>
        <w:t>（二）机构设置</w:t>
      </w:r>
      <w:r>
        <w:rPr>
          <w:color w:val="000000"/>
        </w:rPr>
        <w:t xml:space="preserve"> </w:t>
      </w:r>
    </w:p>
    <w:p>
      <w:pPr>
        <w:spacing w:before="0" w:beforeAutospacing="0" w:after="2" w:afterAutospacing="0"/>
        <w:ind w:left="0" w:firstLine="630"/>
      </w:pPr>
      <w:r>
        <w:rPr>
          <w:rFonts w:ascii="宋体" w:hAnsi="宋体" w:eastAsia="宋体" w:cs="宋体"/>
          <w:color w:val="000000"/>
          <w:sz w:val="32"/>
          <w:szCs w:val="32"/>
        </w:rPr>
        <w:t>益阳市发展和改革委员会内设机构包括：市发改委机关内设机构39个（含机关党委），均为正科级；所属事业单位12个，其中5个副处级单位，7个正科级单位。5个副处级单位：益阳市人民防空工程质量监督站、益阳市人民防空工程管理站、益阳市人民防空指挥信息保障中心、益阳市重点建设项目事务中心、益阳市区域经济发展事务中心；7个正科级单位：益阳市政府投资项目评审中心、益阳市价格监测分析中心、益阳市发展和改革委员会信息中心、益阳市价格认证中心、益阳市粮食行政执法支队、益阳市粮食质量检测站、益阳市军粮供应站。本部门共有编制人数220人，实有人数440人。</w:t>
      </w:r>
      <w:r>
        <w:rPr>
          <w:color w:val="000000"/>
        </w:rPr>
        <w:t xml:space="preserve"> </w:t>
      </w:r>
    </w:p>
    <w:p>
      <w:pPr>
        <w:spacing w:before="0" w:beforeAutospacing="0" w:after="2" w:afterAutospacing="0"/>
        <w:ind w:left="0" w:firstLine="627"/>
      </w:pPr>
      <w:r>
        <w:rPr>
          <w:rStyle w:val="12"/>
          <w:rFonts w:ascii="宋体" w:hAnsi="宋体" w:eastAsia="宋体" w:cs="宋体"/>
          <w:color w:val="000000"/>
          <w:sz w:val="32"/>
          <w:szCs w:val="32"/>
        </w:rPr>
        <w:t>二、</w:t>
      </w:r>
      <w:r>
        <w:rPr>
          <w:rStyle w:val="12"/>
          <w:rFonts w:ascii="宋体" w:hAnsi="宋体" w:eastAsia="宋体" w:cs="宋体"/>
          <w:b/>
          <w:color w:val="000000"/>
          <w:sz w:val="32"/>
          <w:szCs w:val="32"/>
        </w:rPr>
        <w:t>部门</w:t>
      </w:r>
      <w:r>
        <w:rPr>
          <w:rStyle w:val="12"/>
          <w:rFonts w:ascii="宋体" w:hAnsi="宋体" w:eastAsia="宋体" w:cs="宋体"/>
          <w:color w:val="000000"/>
          <w:sz w:val="32"/>
          <w:szCs w:val="32"/>
        </w:rPr>
        <w:t>预算单位构成</w:t>
      </w:r>
      <w:r>
        <w:rPr>
          <w:color w:val="000000"/>
        </w:rPr>
        <w:t xml:space="preserve"> </w:t>
      </w:r>
    </w:p>
    <w:p>
      <w:pPr>
        <w:spacing w:before="0" w:beforeAutospacing="0" w:after="2" w:afterAutospacing="0"/>
        <w:ind w:left="0" w:firstLine="627"/>
      </w:pPr>
      <w:r>
        <w:rPr>
          <w:rFonts w:ascii="宋体" w:hAnsi="宋体" w:eastAsia="宋体" w:cs="宋体"/>
          <w:color w:val="000000"/>
          <w:sz w:val="32"/>
          <w:szCs w:val="32"/>
        </w:rPr>
        <w:t>本部门预算为汇总预算，纳入编制范围的预算单位包括：1.益阳市发展和改革委员会本级；2.益阳市人民防空工程质量监督站；3.益阳市人民防空工程管理站；4.益阳市人民防空指挥信息保障中心。</w:t>
      </w:r>
    </w:p>
    <w:p>
      <w:pPr>
        <w:spacing w:before="0" w:beforeAutospacing="0" w:after="2" w:afterAutospacing="0"/>
        <w:ind w:left="0" w:firstLine="627"/>
      </w:pPr>
      <w:r>
        <w:rPr>
          <w:rStyle w:val="12"/>
          <w:rFonts w:ascii="宋体" w:hAnsi="宋体" w:eastAsia="宋体" w:cs="宋体"/>
          <w:color w:val="000000"/>
          <w:sz w:val="32"/>
          <w:szCs w:val="32"/>
        </w:rPr>
        <w:t>三、</w:t>
      </w:r>
      <w:r>
        <w:rPr>
          <w:rStyle w:val="12"/>
          <w:rFonts w:ascii="宋体" w:hAnsi="宋体" w:eastAsia="宋体" w:cs="宋体"/>
          <w:b/>
          <w:color w:val="000000"/>
          <w:sz w:val="32"/>
          <w:szCs w:val="32"/>
        </w:rPr>
        <w:t>部门</w:t>
      </w:r>
      <w:r>
        <w:rPr>
          <w:rStyle w:val="12"/>
          <w:rFonts w:ascii="宋体" w:hAnsi="宋体" w:eastAsia="宋体" w:cs="宋体"/>
          <w:color w:val="000000"/>
          <w:sz w:val="32"/>
          <w:szCs w:val="32"/>
        </w:rPr>
        <w:t>收支总体情况</w:t>
      </w:r>
      <w:r>
        <w:rPr>
          <w:color w:val="000000"/>
        </w:rPr>
        <w:t xml:space="preserve"> </w:t>
      </w:r>
    </w:p>
    <w:p>
      <w:pPr>
        <w:spacing w:before="0" w:beforeAutospacing="0" w:after="2" w:afterAutospacing="0"/>
        <w:ind w:left="0" w:firstLine="630"/>
      </w:pPr>
      <w:r>
        <w:rPr>
          <w:rFonts w:ascii="宋体" w:hAnsi="宋体" w:eastAsia="宋体" w:cs="宋体"/>
          <w:b/>
          <w:color w:val="000000"/>
          <w:sz w:val="32"/>
          <w:szCs w:val="32"/>
        </w:rPr>
        <w:t>（一）收入预算：</w:t>
      </w:r>
      <w:r>
        <w:rPr>
          <w:rFonts w:ascii="宋体" w:hAnsi="宋体" w:eastAsia="宋体" w:cs="宋体"/>
          <w:color w:val="000000"/>
          <w:sz w:val="32"/>
          <w:szCs w:val="32"/>
        </w:rPr>
        <w:t>包括一般公共预算、政府性基金、国有资本经营预算等财政拨款收入，以及经营收入、事业收入等单位资金。2024年本部门收入预算4,</w:t>
      </w:r>
      <w:r>
        <w:rPr>
          <w:rFonts w:hint="default" w:ascii="宋体" w:hAnsi="宋体" w:eastAsia="宋体" w:cs="宋体"/>
          <w:color w:val="000000"/>
          <w:sz w:val="32"/>
          <w:szCs w:val="32"/>
          <w:lang w:val="en"/>
        </w:rPr>
        <w:t>1</w:t>
      </w:r>
      <w:r>
        <w:rPr>
          <w:rFonts w:ascii="宋体" w:hAnsi="宋体" w:eastAsia="宋体" w:cs="宋体"/>
          <w:color w:val="000000"/>
          <w:sz w:val="32"/>
          <w:szCs w:val="32"/>
        </w:rPr>
        <w:t>44.23万元，其中，公共财政预算拨款4,144.23万元。收入较去年增加4,</w:t>
      </w:r>
      <w:r>
        <w:rPr>
          <w:rFonts w:hint="default" w:ascii="宋体" w:hAnsi="宋体" w:eastAsia="宋体" w:cs="宋体"/>
          <w:color w:val="000000"/>
          <w:sz w:val="32"/>
          <w:szCs w:val="32"/>
          <w:lang w:val="en"/>
        </w:rPr>
        <w:t>1</w:t>
      </w:r>
      <w:r>
        <w:rPr>
          <w:rFonts w:ascii="宋体" w:hAnsi="宋体" w:eastAsia="宋体" w:cs="宋体"/>
          <w:color w:val="000000"/>
          <w:sz w:val="32"/>
          <w:szCs w:val="32"/>
        </w:rPr>
        <w:t>44.23万元，主要原因是机构改革，国防动员办公室并入发改委。</w:t>
      </w:r>
      <w:r>
        <w:rPr>
          <w:color w:val="000000"/>
        </w:rPr>
        <w:t xml:space="preserve"> </w:t>
      </w:r>
    </w:p>
    <w:p>
      <w:pPr>
        <w:spacing w:before="0" w:beforeAutospacing="0" w:after="2" w:afterAutospacing="0"/>
        <w:ind w:left="0" w:firstLine="630"/>
      </w:pPr>
      <w:r>
        <w:rPr>
          <w:rFonts w:ascii="宋体" w:hAnsi="宋体" w:eastAsia="宋体" w:cs="宋体"/>
          <w:b/>
          <w:color w:val="000000"/>
          <w:sz w:val="32"/>
          <w:szCs w:val="32"/>
        </w:rPr>
        <w:t>（二）支出预算：</w:t>
      </w:r>
      <w:r>
        <w:rPr>
          <w:rFonts w:ascii="宋体" w:hAnsi="宋体" w:eastAsia="宋体" w:cs="宋体"/>
          <w:color w:val="000000"/>
          <w:sz w:val="32"/>
          <w:szCs w:val="32"/>
        </w:rPr>
        <w:t>2024年本部门支出预算4,</w:t>
      </w:r>
      <w:r>
        <w:rPr>
          <w:rFonts w:hint="default" w:ascii="宋体" w:hAnsi="宋体" w:eastAsia="宋体" w:cs="宋体"/>
          <w:color w:val="000000"/>
          <w:sz w:val="32"/>
          <w:szCs w:val="32"/>
          <w:lang w:val="en"/>
        </w:rPr>
        <w:t>1</w:t>
      </w:r>
      <w:r>
        <w:rPr>
          <w:rFonts w:ascii="宋体" w:hAnsi="宋体" w:eastAsia="宋体" w:cs="宋体"/>
          <w:color w:val="000000"/>
          <w:sz w:val="32"/>
          <w:szCs w:val="32"/>
        </w:rPr>
        <w:t>44.23万元，其中：一般公共服务支出3,254.91万元，社会保障和就业支出393.72万元，卫生健康支出261.46万元，住房保障支出234.15万元。支出较去年增加4,</w:t>
      </w:r>
      <w:r>
        <w:rPr>
          <w:rFonts w:hint="default" w:ascii="宋体" w:hAnsi="宋体" w:eastAsia="宋体" w:cs="宋体"/>
          <w:color w:val="000000"/>
          <w:sz w:val="32"/>
          <w:szCs w:val="32"/>
          <w:lang w:val="en"/>
        </w:rPr>
        <w:t>1</w:t>
      </w:r>
      <w:r>
        <w:rPr>
          <w:rFonts w:ascii="宋体" w:hAnsi="宋体" w:eastAsia="宋体" w:cs="宋体"/>
          <w:color w:val="000000"/>
          <w:sz w:val="32"/>
          <w:szCs w:val="32"/>
        </w:rPr>
        <w:t>44.23万元，主要原因是机构改革，国防动员办公室并入发改委。</w:t>
      </w:r>
      <w:r>
        <w:rPr>
          <w:color w:val="000000"/>
        </w:rPr>
        <w:t xml:space="preserve"> </w:t>
      </w:r>
    </w:p>
    <w:p>
      <w:pPr>
        <w:spacing w:before="0" w:beforeAutospacing="0" w:after="2" w:afterAutospacing="0"/>
        <w:ind w:left="0" w:firstLine="660"/>
      </w:pPr>
      <w:r>
        <w:rPr>
          <w:rStyle w:val="12"/>
          <w:rFonts w:ascii="宋体" w:hAnsi="宋体" w:eastAsia="宋体" w:cs="宋体"/>
          <w:color w:val="000000"/>
          <w:sz w:val="32"/>
          <w:szCs w:val="32"/>
        </w:rPr>
        <w:t>四、一般公共预算拨款支出</w:t>
      </w:r>
      <w:r>
        <w:rPr>
          <w:color w:val="000000"/>
        </w:rPr>
        <w:t xml:space="preserve"> </w:t>
      </w:r>
    </w:p>
    <w:p>
      <w:pPr>
        <w:spacing w:before="0" w:beforeAutospacing="0" w:after="2" w:afterAutospacing="0"/>
        <w:ind w:left="0" w:firstLine="660"/>
      </w:pPr>
      <w:r>
        <w:rPr>
          <w:rFonts w:ascii="宋体" w:hAnsi="宋体" w:eastAsia="宋体" w:cs="宋体"/>
          <w:color w:val="000000"/>
          <w:sz w:val="32"/>
          <w:szCs w:val="32"/>
        </w:rPr>
        <w:t>2024年本部门一般公共预算拨款支出预算4,</w:t>
      </w:r>
      <w:r>
        <w:rPr>
          <w:rFonts w:hint="default" w:ascii="宋体" w:hAnsi="宋体" w:eastAsia="宋体" w:cs="宋体"/>
          <w:color w:val="000000"/>
          <w:sz w:val="32"/>
          <w:szCs w:val="32"/>
          <w:lang w:val="en"/>
        </w:rPr>
        <w:t>1</w:t>
      </w:r>
      <w:r>
        <w:rPr>
          <w:rFonts w:ascii="宋体" w:hAnsi="宋体" w:eastAsia="宋体" w:cs="宋体"/>
          <w:color w:val="000000"/>
          <w:sz w:val="32"/>
          <w:szCs w:val="32"/>
        </w:rPr>
        <w:t>44.23万元，其中：一般公共服务支出3,254.91万元，占</w:t>
      </w:r>
      <w:r>
        <w:rPr>
          <w:rFonts w:hint="default" w:ascii="宋体" w:hAnsi="宋体" w:eastAsia="宋体" w:cs="宋体"/>
          <w:color w:val="000000"/>
          <w:sz w:val="32"/>
          <w:szCs w:val="32"/>
          <w:lang w:val="en"/>
        </w:rPr>
        <w:t>78.54</w:t>
      </w:r>
      <w:r>
        <w:rPr>
          <w:rFonts w:ascii="宋体" w:hAnsi="宋体" w:eastAsia="宋体" w:cs="宋体"/>
          <w:color w:val="000000"/>
          <w:sz w:val="32"/>
          <w:szCs w:val="32"/>
        </w:rPr>
        <w:t>%；社会保障和就业支出393.72万元，占</w:t>
      </w:r>
      <w:r>
        <w:rPr>
          <w:rFonts w:hint="default" w:ascii="宋体" w:hAnsi="宋体" w:eastAsia="宋体" w:cs="宋体"/>
          <w:color w:val="000000"/>
          <w:sz w:val="32"/>
          <w:szCs w:val="32"/>
          <w:lang w:val="en"/>
        </w:rPr>
        <w:t>9.5</w:t>
      </w:r>
      <w:r>
        <w:rPr>
          <w:rFonts w:ascii="宋体" w:hAnsi="宋体" w:eastAsia="宋体" w:cs="宋体"/>
          <w:color w:val="000000"/>
          <w:sz w:val="32"/>
          <w:szCs w:val="32"/>
        </w:rPr>
        <w:t>%；卫生健康支出261.46万元，占</w:t>
      </w:r>
      <w:r>
        <w:rPr>
          <w:rFonts w:hint="default" w:ascii="宋体" w:hAnsi="宋体" w:eastAsia="宋体" w:cs="宋体"/>
          <w:color w:val="000000"/>
          <w:sz w:val="32"/>
          <w:szCs w:val="32"/>
          <w:lang w:val="en"/>
        </w:rPr>
        <w:t>6.3</w:t>
      </w:r>
      <w:r>
        <w:rPr>
          <w:rFonts w:ascii="宋体" w:hAnsi="宋体" w:eastAsia="宋体" w:cs="宋体"/>
          <w:color w:val="000000"/>
          <w:sz w:val="32"/>
          <w:szCs w:val="32"/>
        </w:rPr>
        <w:t>%；住房保障支出234.15万元，占</w:t>
      </w:r>
      <w:r>
        <w:rPr>
          <w:rFonts w:hint="default" w:ascii="宋体" w:hAnsi="宋体" w:eastAsia="宋体" w:cs="宋体"/>
          <w:color w:val="000000"/>
          <w:sz w:val="32"/>
          <w:szCs w:val="32"/>
          <w:lang w:val="en"/>
        </w:rPr>
        <w:t>5.65</w:t>
      </w:r>
      <w:r>
        <w:rPr>
          <w:rFonts w:ascii="宋体" w:hAnsi="宋体" w:eastAsia="宋体" w:cs="宋体"/>
          <w:color w:val="000000"/>
          <w:sz w:val="32"/>
          <w:szCs w:val="32"/>
        </w:rPr>
        <w:t>%。具体安排情况如下：</w:t>
      </w:r>
      <w:r>
        <w:rPr>
          <w:color w:val="000000"/>
        </w:rPr>
        <w:t xml:space="preserve"> </w:t>
      </w:r>
    </w:p>
    <w:p>
      <w:pPr>
        <w:spacing w:before="0" w:beforeAutospacing="0" w:after="2" w:afterAutospacing="0"/>
        <w:ind w:left="0" w:firstLine="660"/>
      </w:pPr>
      <w:r>
        <w:rPr>
          <w:rFonts w:ascii="宋体" w:hAnsi="宋体" w:eastAsia="宋体" w:cs="宋体"/>
          <w:b/>
          <w:color w:val="000000"/>
          <w:sz w:val="32"/>
          <w:szCs w:val="32"/>
        </w:rPr>
        <w:t>（一）基本支出：</w:t>
      </w:r>
      <w:r>
        <w:rPr>
          <w:rFonts w:ascii="宋体" w:hAnsi="宋体" w:eastAsia="宋体" w:cs="宋体"/>
          <w:color w:val="000000"/>
          <w:sz w:val="32"/>
          <w:szCs w:val="32"/>
        </w:rPr>
        <w:t>2024年本部门基本支出预算4,134.23万元，主要是为保障部门正常运转、完成日常工作任务而发生的各项支出，包括用于基本工资、津贴补贴等人员经费以及办公费、印刷费、水电费、办公设备购置等公用经费。</w:t>
      </w:r>
      <w:r>
        <w:rPr>
          <w:color w:val="000000"/>
        </w:rPr>
        <w:t xml:space="preserve"> </w:t>
      </w:r>
    </w:p>
    <w:p>
      <w:pPr>
        <w:spacing w:before="0" w:beforeAutospacing="0" w:after="2" w:afterAutospacing="0"/>
        <w:ind w:left="0" w:firstLine="660"/>
      </w:pPr>
      <w:r>
        <w:rPr>
          <w:rFonts w:ascii="宋体" w:hAnsi="宋体" w:eastAsia="宋体" w:cs="宋体"/>
          <w:b/>
          <w:color w:val="000000"/>
          <w:sz w:val="32"/>
          <w:szCs w:val="32"/>
        </w:rPr>
        <w:t>（二）项目支出：</w:t>
      </w:r>
      <w:r>
        <w:rPr>
          <w:rFonts w:ascii="宋体" w:hAnsi="宋体" w:eastAsia="宋体" w:cs="宋体"/>
          <w:color w:val="000000"/>
          <w:sz w:val="32"/>
          <w:szCs w:val="32"/>
        </w:rPr>
        <w:t>2024年本部门项目支出预算10万元，主要是部门为完成特定行政工作任务或事业发展目标而发生的支出，包括有关事业发展专项、专项业务费、基本建设支出等。其中：行政运行支出10万元，主要用于派驻纪检监察组工作经费等方面。</w:t>
      </w:r>
      <w:r>
        <w:rPr>
          <w:color w:val="000000"/>
        </w:rPr>
        <w:t xml:space="preserve"> </w:t>
      </w:r>
    </w:p>
    <w:p>
      <w:pPr>
        <w:spacing w:before="0" w:beforeAutospacing="0" w:after="2" w:afterAutospacing="0"/>
        <w:ind w:left="0" w:firstLine="660"/>
      </w:pPr>
      <w:r>
        <w:rPr>
          <w:rStyle w:val="12"/>
          <w:rFonts w:ascii="宋体" w:hAnsi="宋体" w:eastAsia="宋体" w:cs="宋体"/>
          <w:color w:val="000000"/>
          <w:sz w:val="32"/>
          <w:szCs w:val="32"/>
        </w:rPr>
        <w:t>五、政府性基金预算支出</w:t>
      </w:r>
      <w:r>
        <w:rPr>
          <w:color w:val="000000"/>
        </w:rPr>
        <w:t xml:space="preserve"> </w:t>
      </w:r>
    </w:p>
    <w:p>
      <w:pPr>
        <w:spacing w:before="0" w:beforeAutospacing="0" w:after="2" w:afterAutospacing="0"/>
        <w:ind w:left="0" w:firstLine="660"/>
      </w:pPr>
      <w:r>
        <w:rPr>
          <w:rFonts w:ascii="宋体" w:hAnsi="宋体" w:eastAsia="宋体" w:cs="宋体"/>
          <w:color w:val="000000"/>
          <w:sz w:val="32"/>
          <w:szCs w:val="32"/>
          <w:shd w:val="clear" w:fill="FFFFFF"/>
        </w:rPr>
        <w:t>本部门无政府性基金安排的支出。</w:t>
      </w:r>
      <w:r>
        <w:rPr>
          <w:color w:val="000000"/>
        </w:rPr>
        <w:t xml:space="preserve"> </w:t>
      </w:r>
    </w:p>
    <w:p>
      <w:pPr>
        <w:spacing w:before="0" w:beforeAutospacing="0" w:after="2" w:afterAutospacing="0"/>
        <w:ind w:left="0" w:firstLine="660"/>
      </w:pPr>
      <w:r>
        <w:rPr>
          <w:rStyle w:val="12"/>
          <w:rFonts w:ascii="宋体" w:hAnsi="宋体" w:eastAsia="宋体" w:cs="宋体"/>
          <w:color w:val="000000"/>
          <w:sz w:val="32"/>
          <w:szCs w:val="32"/>
        </w:rPr>
        <w:t>六、其他重要事项的情况说明</w:t>
      </w:r>
      <w:r>
        <w:rPr>
          <w:color w:val="000000"/>
        </w:rPr>
        <w:t xml:space="preserve"> </w:t>
      </w:r>
    </w:p>
    <w:p>
      <w:pPr>
        <w:spacing w:before="0" w:beforeAutospacing="0" w:after="2" w:afterAutospacing="0"/>
        <w:ind w:left="0" w:firstLine="660"/>
      </w:pPr>
      <w:r>
        <w:rPr>
          <w:rFonts w:ascii="宋体" w:hAnsi="宋体" w:eastAsia="宋体" w:cs="宋体"/>
          <w:b/>
          <w:color w:val="000000"/>
          <w:sz w:val="32"/>
          <w:szCs w:val="32"/>
        </w:rPr>
        <w:t>（一）机关运行经费：</w:t>
      </w:r>
      <w:r>
        <w:rPr>
          <w:rFonts w:ascii="宋体" w:hAnsi="宋体" w:eastAsia="宋体" w:cs="宋体"/>
          <w:color w:val="000000"/>
          <w:sz w:val="32"/>
          <w:szCs w:val="32"/>
        </w:rPr>
        <w:t>2024年本部门机关运行经费862.65万元，比上年预算增加862.65万元，主要原因是人员增加，运行经费增加。</w:t>
      </w:r>
      <w:r>
        <w:rPr>
          <w:color w:val="000000"/>
        </w:rPr>
        <w:t xml:space="preserve"> </w:t>
      </w:r>
    </w:p>
    <w:p>
      <w:pPr>
        <w:spacing w:before="0" w:beforeAutospacing="0" w:after="2" w:afterAutospacing="0"/>
        <w:ind w:left="0" w:firstLine="660"/>
      </w:pPr>
      <w:r>
        <w:rPr>
          <w:rFonts w:ascii="宋体" w:hAnsi="宋体" w:eastAsia="宋体" w:cs="宋体"/>
          <w:b/>
          <w:color w:val="000000"/>
          <w:sz w:val="32"/>
          <w:szCs w:val="32"/>
        </w:rPr>
        <w:t>（二）“三公”经费预算：</w:t>
      </w:r>
      <w:r>
        <w:rPr>
          <w:rFonts w:ascii="宋体" w:hAnsi="宋体" w:eastAsia="宋体" w:cs="宋体"/>
          <w:color w:val="000000"/>
          <w:sz w:val="32"/>
          <w:szCs w:val="32"/>
        </w:rPr>
        <w:t>2024年本部门“三公”经费预算数为62万元，其中，公务接待费6万元，公务用车购置及运行费56万元（其中，公务用车购置费0万元，公务用车运行费56万元），因公出国（境）费0万元。2024年“三公”经费预算较2023年增加62万元，主要原因是机构改革，国防动员办公室并入发改委，增加4台公务用车。</w:t>
      </w:r>
      <w:r>
        <w:rPr>
          <w:color w:val="000000"/>
        </w:rPr>
        <w:t xml:space="preserve"> </w:t>
      </w:r>
    </w:p>
    <w:p>
      <w:pPr>
        <w:spacing w:before="0" w:beforeAutospacing="0" w:after="2" w:afterAutospacing="0"/>
        <w:ind w:left="0" w:firstLine="660"/>
      </w:pPr>
      <w:r>
        <w:rPr>
          <w:rFonts w:ascii="宋体" w:hAnsi="宋体" w:eastAsia="宋体" w:cs="宋体"/>
          <w:b/>
          <w:color w:val="000000"/>
          <w:sz w:val="32"/>
          <w:szCs w:val="32"/>
        </w:rPr>
        <w:t>（三）一般性支出情况：</w:t>
      </w:r>
      <w:r>
        <w:rPr>
          <w:rFonts w:ascii="宋体" w:hAnsi="宋体" w:eastAsia="宋体" w:cs="宋体"/>
          <w:color w:val="000000"/>
          <w:sz w:val="32"/>
          <w:szCs w:val="32"/>
        </w:rPr>
        <w:t>2024年本部门会议费预算5万元，拟召开3次会议，人数100人，内容为业务科室相关会议、退休仪式等；培训费预算5万元，拟召开5次培训，人数50人，内容为事业单位工作人员培训，职业技能培训等；拟举办0场节庆、晚会、论坛、赛事活动，经费预算0万元。</w:t>
      </w:r>
      <w:r>
        <w:rPr>
          <w:color w:val="000000"/>
        </w:rPr>
        <w:t xml:space="preserve"> </w:t>
      </w:r>
    </w:p>
    <w:p>
      <w:pPr>
        <w:spacing w:before="0" w:beforeAutospacing="0" w:after="2" w:afterAutospacing="0"/>
        <w:ind w:left="0" w:firstLine="660"/>
      </w:pPr>
      <w:r>
        <w:rPr>
          <w:rFonts w:ascii="宋体" w:hAnsi="宋体" w:eastAsia="宋体" w:cs="宋体"/>
          <w:b/>
          <w:color w:val="000000"/>
          <w:sz w:val="32"/>
          <w:szCs w:val="32"/>
        </w:rPr>
        <w:t>（四）政府采购情况：</w:t>
      </w:r>
      <w:r>
        <w:rPr>
          <w:rFonts w:ascii="宋体" w:hAnsi="宋体" w:eastAsia="宋体" w:cs="宋体"/>
          <w:color w:val="000000"/>
          <w:sz w:val="32"/>
          <w:szCs w:val="32"/>
        </w:rPr>
        <w:t>2024年本部门政府采购预算总额0万元，其中，货物类采购预算0万元；工程类采购预算0万元；服务类采购预算0万元。</w:t>
      </w:r>
      <w:r>
        <w:rPr>
          <w:color w:val="000000"/>
        </w:rPr>
        <w:t xml:space="preserve"> </w:t>
      </w:r>
    </w:p>
    <w:p>
      <w:pPr>
        <w:spacing w:before="0" w:beforeAutospacing="0" w:after="2" w:afterAutospacing="0"/>
        <w:ind w:left="0" w:firstLine="660"/>
      </w:pPr>
      <w:r>
        <w:rPr>
          <w:rFonts w:ascii="宋体" w:hAnsi="宋体" w:eastAsia="宋体" w:cs="宋体"/>
          <w:b/>
          <w:color w:val="000000"/>
          <w:sz w:val="32"/>
          <w:szCs w:val="32"/>
        </w:rPr>
        <w:t>（五）国有资产占用使用及新增资产配置情况：</w:t>
      </w:r>
      <w:r>
        <w:rPr>
          <w:rFonts w:ascii="宋体" w:hAnsi="宋体" w:eastAsia="宋体" w:cs="宋体"/>
          <w:color w:val="000000"/>
          <w:sz w:val="32"/>
          <w:szCs w:val="32"/>
        </w:rPr>
        <w:t>截至2023年12月底，本部门共有公务用车8辆，其中，机要通信用车0辆，应急保障用车0辆，执法执勤用车0辆，特种专业技术用车0辆，其他按照规定配备的公务用车8辆；单位价值50万元以上通用设备1台，单位价值100万元以上专用设备1台。2024年拟新增配置公务用车0辆，其中，机要通信用车0辆，应急保障用车0辆，执法执勤用车0辆，特种专业技术用车0辆，其他按照规定配备的公务用车0辆；新增配备单位价值50万元以上通用设备0台，单位价值100万元以上专用设备0台。</w:t>
      </w:r>
      <w:r>
        <w:rPr>
          <w:color w:val="000000"/>
        </w:rPr>
        <w:t xml:space="preserve"> </w:t>
      </w:r>
    </w:p>
    <w:p>
      <w:pPr>
        <w:spacing w:before="0" w:beforeAutospacing="0" w:after="2" w:afterAutospacing="0"/>
        <w:ind w:left="0" w:firstLine="660"/>
      </w:pPr>
      <w:r>
        <w:rPr>
          <w:rFonts w:ascii="宋体" w:hAnsi="宋体" w:eastAsia="宋体" w:cs="宋体"/>
          <w:b/>
          <w:color w:val="000000"/>
          <w:sz w:val="32"/>
          <w:szCs w:val="32"/>
        </w:rPr>
        <w:t>（六）</w:t>
      </w:r>
      <w:r>
        <w:rPr>
          <w:rStyle w:val="12"/>
          <w:rFonts w:ascii="宋体" w:hAnsi="宋体" w:eastAsia="宋体" w:cs="宋体"/>
          <w:b/>
          <w:color w:val="000000"/>
          <w:sz w:val="32"/>
          <w:szCs w:val="32"/>
        </w:rPr>
        <w:t>部门</w:t>
      </w:r>
      <w:r>
        <w:rPr>
          <w:rFonts w:ascii="宋体" w:hAnsi="宋体" w:eastAsia="宋体" w:cs="宋体"/>
          <w:b/>
          <w:color w:val="000000"/>
          <w:sz w:val="32"/>
          <w:szCs w:val="32"/>
        </w:rPr>
        <w:t>整体支出、单位项目支出、重点（专项）项目支出预算绩效目标情况说明：</w:t>
      </w:r>
      <w:r>
        <w:rPr>
          <w:rFonts w:ascii="宋体" w:hAnsi="宋体" w:eastAsia="宋体" w:cs="宋体"/>
          <w:color w:val="000000"/>
          <w:sz w:val="32"/>
          <w:szCs w:val="32"/>
        </w:rPr>
        <w:t>本部门所有支出实行绩效目标管理，其中：纳入2024年部门整体支出绩效目标的金额为4,</w:t>
      </w:r>
      <w:r>
        <w:rPr>
          <w:rFonts w:hint="default" w:ascii="宋体" w:hAnsi="宋体" w:eastAsia="宋体" w:cs="宋体"/>
          <w:color w:val="000000"/>
          <w:sz w:val="32"/>
          <w:szCs w:val="32"/>
          <w:lang w:val="en"/>
        </w:rPr>
        <w:t>1</w:t>
      </w:r>
      <w:r>
        <w:rPr>
          <w:rFonts w:ascii="宋体" w:hAnsi="宋体" w:eastAsia="宋体" w:cs="宋体"/>
          <w:color w:val="000000"/>
          <w:sz w:val="32"/>
          <w:szCs w:val="32"/>
        </w:rPr>
        <w:t>44.23万元，基本支出4,134.23万元，单位项目支出10万元。具体绩效目标详见报表。</w:t>
      </w:r>
      <w:r>
        <w:rPr>
          <w:color w:val="000000"/>
        </w:rPr>
        <w:t xml:space="preserve"> </w:t>
      </w:r>
    </w:p>
    <w:p>
      <w:pPr>
        <w:spacing w:before="0" w:beforeAutospacing="0" w:after="2" w:afterAutospacing="0"/>
        <w:ind w:left="0" w:firstLine="660"/>
      </w:pPr>
      <w:r>
        <w:rPr>
          <w:rStyle w:val="12"/>
          <w:rFonts w:ascii="宋体" w:hAnsi="宋体" w:eastAsia="宋体" w:cs="宋体"/>
          <w:color w:val="000000"/>
          <w:sz w:val="32"/>
          <w:szCs w:val="32"/>
        </w:rPr>
        <w:t>七、名词解释</w:t>
      </w:r>
      <w:r>
        <w:rPr>
          <w:color w:val="000000"/>
        </w:rPr>
        <w:t xml:space="preserve"> </w:t>
      </w:r>
    </w:p>
    <w:p>
      <w:pPr>
        <w:spacing w:before="0" w:beforeAutospacing="0" w:after="2" w:afterAutospacing="0"/>
        <w:ind w:left="0" w:firstLine="660"/>
      </w:pPr>
      <w:r>
        <w:rPr>
          <w:rFonts w:ascii="宋体" w:hAnsi="宋体" w:eastAsia="宋体" w:cs="宋体"/>
          <w:color w:val="000000"/>
          <w:sz w:val="32"/>
          <w:szCs w:val="32"/>
        </w:rPr>
        <w:t>1、“三公”经费：纳入省（市/县）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住宿费、伙食费、培训费、公杂费等支出。</w:t>
      </w:r>
      <w:r>
        <w:rPr>
          <w:color w:val="000000"/>
        </w:rPr>
        <w:t xml:space="preserve"> </w:t>
      </w:r>
    </w:p>
    <w:p>
      <w:pPr>
        <w:spacing w:before="0" w:beforeAutospacing="0" w:after="2" w:afterAutospacing="0"/>
        <w:ind w:left="0" w:firstLine="660"/>
      </w:pPr>
      <w:r>
        <w:rPr>
          <w:rFonts w:ascii="宋体" w:hAnsi="宋体" w:eastAsia="宋体" w:cs="宋体"/>
          <w:color w:val="000000"/>
          <w:sz w:val="32"/>
          <w:szCs w:val="32"/>
        </w:rPr>
        <w:t>2、机关运行经费：是指各部门的公用经费，包括办公及印刷费、邮电费、差旅费、会议费、福利费、日常维修费、专用资料及一般设备购置费、办公用房水电费、办公用房取暖费、办公用房物业管理费、公务用车运行维护费以及其他费用。</w:t>
      </w:r>
    </w:p>
    <w:p>
      <w:pPr>
        <w:pStyle w:val="9"/>
        <w:keepNext w:val="0"/>
        <w:keepLines w:val="0"/>
        <w:widowControl/>
        <w:suppressLineNumbers w:val="0"/>
        <w:spacing w:before="0" w:beforeAutospacing="0" w:after="2" w:afterAutospacing="0"/>
      </w:pPr>
    </w:p>
    <w:p>
      <w:pPr>
        <w:spacing w:before="0" w:beforeAutospacing="0" w:after="240" w:afterAutospacing="0"/>
        <w:ind w:left="0" w:firstLine="660"/>
      </w:pPr>
    </w:p>
    <w:p>
      <w:pPr>
        <w:spacing w:before="0" w:beforeAutospacing="0" w:after="2" w:afterAutospacing="0"/>
        <w:ind w:left="0" w:firstLine="660"/>
      </w:pPr>
    </w:p>
    <w:p>
      <w:pPr>
        <w:spacing w:before="0" w:beforeAutospacing="0" w:after="2" w:afterAutospacing="0"/>
        <w:ind w:left="0" w:firstLine="660"/>
      </w:pPr>
    </w:p>
    <w:p>
      <w:pPr>
        <w:spacing w:before="0" w:beforeAutospacing="0" w:after="2" w:afterAutospacing="0"/>
        <w:jc w:val="center"/>
      </w:pPr>
      <w:r>
        <w:rPr>
          <w:rStyle w:val="12"/>
          <w:rFonts w:ascii="宋体" w:hAnsi="宋体" w:eastAsia="宋体" w:cs="宋体"/>
          <w:color w:val="000000"/>
          <w:sz w:val="40"/>
          <w:szCs w:val="40"/>
        </w:rPr>
        <w:t>第二部分 2024年部门预算表</w:t>
      </w:r>
      <w:r>
        <w:rPr>
          <w:color w:val="000000"/>
        </w:rPr>
        <w:t xml:space="preserve"> </w:t>
      </w:r>
    </w:p>
    <w:p>
      <w:pPr>
        <w:spacing w:before="0" w:beforeAutospacing="0" w:after="2" w:afterAutospacing="0"/>
        <w:jc w:val="center"/>
      </w:pPr>
      <w:r>
        <w:rPr>
          <w:rFonts w:ascii="宋体" w:hAnsi="宋体" w:eastAsia="宋体" w:cs="宋体"/>
          <w:sz w:val="36"/>
          <w:szCs w:val="36"/>
        </w:rPr>
        <w:fldChar w:fldCharType="begin"/>
      </w:r>
      <w:r>
        <w:rPr>
          <w:rFonts w:ascii="宋体" w:hAnsi="宋体" w:eastAsia="宋体" w:cs="宋体"/>
          <w:sz w:val="36"/>
          <w:szCs w:val="36"/>
        </w:rPr>
        <w:instrText xml:space="preserve"> HYPERLINK "http://220.170.153.212:9000/home/downloadAttachment?attachGUID=78d24363bb45491f85b22c9a7f20f12e" \t "_blank" </w:instrText>
      </w:r>
      <w:r>
        <w:rPr>
          <w:rFonts w:ascii="宋体" w:hAnsi="宋体" w:eastAsia="宋体" w:cs="宋体"/>
          <w:sz w:val="36"/>
          <w:szCs w:val="36"/>
        </w:rPr>
        <w:fldChar w:fldCharType="separate"/>
      </w:r>
      <w:r>
        <w:rPr>
          <w:rStyle w:val="13"/>
          <w:rFonts w:ascii="宋体" w:hAnsi="宋体" w:eastAsia="宋体" w:cs="宋体"/>
          <w:sz w:val="36"/>
          <w:szCs w:val="36"/>
        </w:rPr>
        <w:t>307__益阳市发展和改革委员会部门预算公开表.xlsx</w:t>
      </w:r>
      <w:r>
        <w:rPr>
          <w:rFonts w:ascii="宋体" w:hAnsi="宋体" w:eastAsia="宋体" w:cs="宋体"/>
          <w:sz w:val="36"/>
          <w:szCs w:val="36"/>
        </w:rPr>
        <w:fldChar w:fldCharType="end"/>
      </w:r>
    </w:p>
    <w:sectPr>
      <w:pgSz w:w="11906" w:h="16839"/>
      <w:pgMar w:top="1440" w:right="1800" w:bottom="1440" w:left="1800" w:header="851" w:footer="992" w:gutter="0"/>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auto"/>
    <w:pitch w:val="fixed"/>
    <w:sig w:usb0="800002BF" w:usb1="38CF7CFA" w:usb2="00000016" w:usb3="00000000" w:csb0="00040001" w:csb1="00000000"/>
  </w:font>
  <w:font w:name="@等线">
    <w:altName w:val="华文仿宋"/>
    <w:panose1 w:val="02010600030101010101"/>
    <w:charset w:val="86"/>
    <w:family w:val="auto"/>
    <w:pitch w:val="variable"/>
    <w:sig w:usb0="A00002BF" w:usb1="38CF7CFA" w:usb2="00000016" w:usb3="00000000" w:csb0="0004000F" w:csb1="00000000"/>
  </w:font>
  <w:font w:name="新宋体">
    <w:altName w:val="方正书宋_GBK"/>
    <w:panose1 w:val="02010609030101010101"/>
    <w:charset w:val="86"/>
    <w:family w:val="auto"/>
    <w:pitch w:val="fixed"/>
    <w:sig w:usb0="00000283" w:usb1="288F0000" w:usb2="00000016" w:usb3="00000000" w:csb0="00040001" w:csb1="00000000"/>
  </w:font>
  <w:font w:name="Arial Black">
    <w:altName w:val="DejaVu Sans"/>
    <w:panose1 w:val="020B0A04020102020204"/>
    <w:charset w:val="00"/>
    <w:family w:val="auto"/>
    <w:pitch w:val="variable"/>
    <w:sig w:usb0="A00002AF" w:usb1="400078FB" w:usb2="00000000" w:usb3="00000000" w:csb0="0000009F" w:csb1="00000000"/>
  </w:font>
  <w:font w:name="@黑体">
    <w:altName w:val="方正黑体_GBK"/>
    <w:panose1 w:val="02010600030101010101"/>
    <w:charset w:val="86"/>
    <w:family w:val="auto"/>
    <w:pitch w:val="fixed"/>
    <w:sig w:usb0="800002BF" w:usb1="38CF7CFA" w:usb2="00000016" w:usb3="00000000" w:csb0="00040001" w:csb1="00000000"/>
  </w:font>
  <w:font w:name="@宋体">
    <w:altName w:val="方正书宋_GBK"/>
    <w:panose1 w:val="02010600030101010101"/>
    <w:charset w:val="86"/>
    <w:family w:val="auto"/>
    <w:pitch w:val="variable"/>
    <w:sig w:usb0="00000003" w:usb1="288F0000" w:usb2="00000016" w:usb3="00000000" w:csb0="00040001" w:csb1="00000000"/>
  </w:font>
  <w:font w:name="@新宋体">
    <w:altName w:val="方正书宋_GBK"/>
    <w:panose1 w:val="00000000000000000000"/>
    <w:charset w:val="86"/>
    <w:family w:val="auto"/>
    <w:pitch w:val="fixed"/>
    <w:sig w:usb0="00000283" w:usb1="288F0000" w:usb2="00000016" w:usb3="00000000" w:csb0="00040001" w:csb1="00000000"/>
  </w:font>
  <w:font w:name="微软雅黑">
    <w:altName w:val="方正黑体_GBK"/>
    <w:panose1 w:val="020B0503020204020204"/>
    <w:charset w:val="86"/>
    <w:family w:val="auto"/>
    <w:pitch w:val="variable"/>
    <w:sig w:usb0="80000287" w:usb1="2ACF3C50" w:usb2="00000016" w:usb3="00000000" w:csb0="0004001F" w:csb1="00000000"/>
  </w:font>
  <w:font w:name="楷体">
    <w:altName w:val="方正楷体_GBK"/>
    <w:panose1 w:val="02010609060101010101"/>
    <w:charset w:val="86"/>
    <w:family w:val="auto"/>
    <w:pitch w:val="fixed"/>
    <w:sig w:usb0="800002BF" w:usb1="38CF7CFA" w:usb2="00000016" w:usb3="00000000" w:csb0="00040001" w:csb1="00000000"/>
  </w:font>
  <w:font w:name="@微软雅黑">
    <w:altName w:val="方正黑体_GBK"/>
    <w:panose1 w:val="00000000000000000000"/>
    <w:charset w:val="86"/>
    <w:family w:val="auto"/>
    <w:pitch w:val="variable"/>
    <w:sig w:usb0="80000287" w:usb1="2ACF3C50" w:usb2="00000016" w:usb3="00000000" w:csb0="0004001F" w:csb1="00000000"/>
  </w:font>
  <w:font w:name="@楷体">
    <w:altName w:val="方正楷体_GBK"/>
    <w:panose1 w:val="00000000000000000000"/>
    <w:charset w:val="86"/>
    <w:family w:val="auto"/>
    <w:pitch w:val="fixed"/>
    <w:sig w:usb0="800002BF" w:usb1="38CF7CFA" w:usb2="00000016" w:usb3="00000000" w:csb0="00040001" w:csb1="00000000"/>
  </w:font>
  <w:font w:name="Verdana">
    <w:altName w:val="Ubuntu"/>
    <w:panose1 w:val="020B0604030504040204"/>
    <w:charset w:val="00"/>
    <w:family w:val="auto"/>
    <w:pitch w:val="variable"/>
    <w:sig w:usb0="A00006FF" w:usb1="4000205B" w:usb2="00000010" w:usb3="00000000" w:csb0="0000019F" w:csb1="00000000"/>
  </w:font>
  <w:font w:name="@仿宋">
    <w:altName w:val="方正仿宋_GBK"/>
    <w:panose1 w:val="00000000000000000000"/>
    <w:charset w:val="86"/>
    <w:family w:val="auto"/>
    <w:pitch w:val="fixed"/>
    <w:sig w:usb0="800002BF" w:usb1="38CF7CFA" w:usb2="00000016" w:usb3="00000000" w:csb0="00040001" w:csb1="00000000"/>
  </w:font>
  <w:font w:name="等线">
    <w:altName w:val="华文仿宋"/>
    <w:panose1 w:val="02010600030101010101"/>
    <w:charset w:val="86"/>
    <w:family w:val="auto"/>
    <w:pitch w:val="variable"/>
    <w:sig w:usb0="A00002BF" w:usb1="38CF7CFA" w:usb2="00000016" w:usb3="00000000" w:csb0="0004000F" w:csb1="00000000"/>
  </w:font>
  <w:font w:name="Tahoma">
    <w:altName w:val="DejaVu Sans"/>
    <w:panose1 w:val="020B0604030504040204"/>
    <w:charset w:val="00"/>
    <w:family w:val="auto"/>
    <w:pitch w:val="variable"/>
    <w:sig w:usb0="E1002EFF" w:usb1="C000605B" w:usb2="00000029" w:usb3="00000000" w:csb0="000101FF" w:csb1="00000000"/>
  </w:font>
  <w:font w:name="Cambria Math">
    <w:altName w:val="DejaVu Math TeX Gyre"/>
    <w:panose1 w:val="02040503050406030204"/>
    <w:charset w:val="00"/>
    <w:family w:val="auto"/>
    <w:pitch w:val="variable"/>
    <w:sig w:usb0="E00006FF" w:usb1="420024FF" w:usb2="02000000" w:usb3="00000000" w:csb0="0000019F" w:csb1="00000000"/>
  </w:font>
  <w:font w:name="华文仿宋">
    <w:panose1 w:val="02010600040101010101"/>
    <w:charset w:val="86"/>
    <w:family w:val="auto"/>
    <w:pitch w:val="default"/>
    <w:sig w:usb0="00000287" w:usb1="080F0000" w:usb2="00000000" w:usb3="00000000" w:csb0="0004009F" w:csb1="DFD7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web"/>
  <w:zoom w:percent="100"/>
  <w:bordersDoNotSurroundHeader w:val="false"/>
  <w:bordersDoNotSurroundFooter w:val="false"/>
  <w:documentProtection w:enforcement="0"/>
  <w:defaultTabStop w:val="420"/>
  <w:displayHorizontalDrawingGridEvery w:val="1"/>
  <w:displayVerticalDrawingGridEvery w:val="1"/>
  <w:noPunctuationKerning w:val="true"/>
  <w:characterSpacingControl w:val="doNotCompress"/>
  <w:compat>
    <w:doNotBreakWrappedTab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B3BB3B4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uppressLineNumbers w:val="0"/>
      <w:spacing w:before="0" w:beforeAutospacing="0" w:after="0" w:afterAutospacing="0"/>
      <w:ind w:left="0" w:right="0"/>
      <w:jc w:val="both"/>
    </w:pPr>
    <w:rPr>
      <w:rFonts w:hint="eastAsia" w:ascii="等线" w:hAnsi="等线" w:eastAsia="等线" w:cs="Times New Roman"/>
      <w:kern w:val="2"/>
      <w:sz w:val="21"/>
      <w:szCs w:val="22"/>
      <w:lang w:val="en-US" w:eastAsia="zh-CN" w:bidi="ar"/>
    </w:rPr>
  </w:style>
  <w:style w:type="paragraph" w:styleId="2">
    <w:name w:val="heading 1"/>
    <w:basedOn w:val="1"/>
    <w:next w:val="1"/>
    <w:qFormat/>
    <w:uiPriority w:val="0"/>
    <w:pPr>
      <w:widowControl/>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widowControl/>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semiHidden/>
    <w:unhideWhenUsed/>
    <w:qFormat/>
    <w:uiPriority w:val="0"/>
    <w:pPr>
      <w:widowControl/>
      <w:spacing w:before="0" w:beforeAutospacing="1" w:after="0" w:afterAutospacing="1"/>
      <w:jc w:val="left"/>
    </w:pPr>
    <w:rPr>
      <w:rFonts w:hint="eastAsia" w:ascii="宋体" w:hAnsi="宋体" w:eastAsia="宋体" w:cs="宋体"/>
      <w:b/>
      <w:kern w:val="0"/>
      <w:sz w:val="27"/>
      <w:szCs w:val="27"/>
      <w:lang w:val="en-US" w:eastAsia="zh-CN" w:bidi="ar"/>
    </w:rPr>
  </w:style>
  <w:style w:type="paragraph" w:styleId="5">
    <w:name w:val="heading 4"/>
    <w:basedOn w:val="1"/>
    <w:next w:val="1"/>
    <w:semiHidden/>
    <w:unhideWhenUsed/>
    <w:qFormat/>
    <w:uiPriority w:val="0"/>
    <w:pPr>
      <w:widowControl/>
      <w:spacing w:before="0" w:beforeAutospacing="1" w:after="0" w:afterAutospacing="1"/>
      <w:jc w:val="left"/>
    </w:pPr>
    <w:rPr>
      <w:rFonts w:hint="eastAsia" w:ascii="宋体" w:hAnsi="宋体" w:eastAsia="宋体" w:cs="宋体"/>
      <w:b/>
      <w:kern w:val="0"/>
      <w:sz w:val="24"/>
      <w:szCs w:val="24"/>
      <w:lang w:val="en-US" w:eastAsia="zh-CN" w:bidi="ar"/>
    </w:rPr>
  </w:style>
  <w:style w:type="paragraph" w:styleId="6">
    <w:name w:val="heading 5"/>
    <w:basedOn w:val="1"/>
    <w:next w:val="1"/>
    <w:semiHidden/>
    <w:unhideWhenUsed/>
    <w:qFormat/>
    <w:uiPriority w:val="0"/>
    <w:pPr>
      <w:widowControl/>
      <w:spacing w:before="0" w:beforeAutospacing="1" w:after="0" w:afterAutospacing="1"/>
      <w:jc w:val="left"/>
    </w:pPr>
    <w:rPr>
      <w:rFonts w:hint="eastAsia" w:ascii="宋体" w:hAnsi="宋体" w:eastAsia="宋体" w:cs="宋体"/>
      <w:b/>
      <w:kern w:val="0"/>
      <w:sz w:val="20"/>
      <w:szCs w:val="20"/>
      <w:lang w:val="en-US" w:eastAsia="zh-CN" w:bidi="ar"/>
    </w:rPr>
  </w:style>
  <w:style w:type="paragraph" w:styleId="7">
    <w:name w:val="heading 6"/>
    <w:basedOn w:val="1"/>
    <w:next w:val="1"/>
    <w:semiHidden/>
    <w:unhideWhenUsed/>
    <w:qFormat/>
    <w:uiPriority w:val="0"/>
    <w:pPr>
      <w:widowControl/>
      <w:spacing w:before="0" w:beforeAutospacing="1" w:after="0" w:afterAutospacing="1"/>
      <w:jc w:val="left"/>
    </w:pPr>
    <w:rPr>
      <w:rFonts w:hint="eastAsia" w:ascii="宋体" w:hAnsi="宋体" w:eastAsia="宋体" w:cs="宋体"/>
      <w:b/>
      <w:kern w:val="0"/>
      <w:sz w:val="15"/>
      <w:szCs w:val="15"/>
      <w:lang w:val="en-US" w:eastAsia="zh-CN" w:bidi="ar"/>
    </w:rPr>
  </w:style>
  <w:style w:type="character" w:default="1" w:styleId="11">
    <w:name w:val="Default Paragraph Font"/>
    <w:semiHidden/>
    <w:uiPriority w:val="0"/>
  </w:style>
  <w:style w:type="table" w:default="1" w:styleId="10">
    <w:name w:val="Normal Table"/>
    <w:semiHidden/>
    <w:uiPriority w:val="0"/>
    <w:tblPr>
      <w:tblCellMar>
        <w:top w:w="0" w:type="dxa"/>
        <w:left w:w="108" w:type="dxa"/>
        <w:bottom w:w="0" w:type="dxa"/>
        <w:right w:w="108" w:type="dxa"/>
      </w:tblCellMar>
    </w:tblPr>
  </w:style>
  <w:style w:type="paragraph" w:styleId="8">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uiPriority w:val="0"/>
    <w:pPr>
      <w:widowControl/>
      <w:spacing w:before="0" w:beforeAutospacing="1" w:after="0" w:afterAutospacing="1"/>
      <w:ind w:left="0" w:right="0"/>
      <w:jc w:val="left"/>
    </w:pPr>
    <w:rPr>
      <w:rFonts w:hint="default" w:ascii="宋体" w:hAnsi="宋体" w:eastAsia="宋体" w:cs="宋体"/>
      <w:kern w:val="0"/>
      <w:sz w:val="24"/>
      <w:szCs w:val="24"/>
      <w:lang w:val="en-US" w:eastAsia="zh-CN" w:bidi="ar"/>
    </w:rPr>
  </w:style>
  <w:style w:type="character" w:styleId="12">
    <w:name w:val="Strong"/>
    <w:basedOn w:val="11"/>
    <w:qFormat/>
    <w:uiPriority w:val="0"/>
    <w:rPr>
      <w:b/>
    </w:rPr>
  </w:style>
  <w:style w:type="character" w:styleId="13">
    <w:name w:val="Hyperlink"/>
    <w:basedOn w:val="11"/>
    <w:uiPriority w:val="0"/>
    <w:rPr>
      <w:color w:val="0000FF"/>
      <w:u w:val="single"/>
    </w:rPr>
  </w:style>
  <w:style w:type="paragraph" w:customStyle="1" w:styleId="14">
    <w:name w:val="18"/>
    <w:basedOn w:val="1"/>
    <w:uiPriority w:val="0"/>
    <w:pPr>
      <w:keepNext w:val="0"/>
      <w:keepLines w:val="0"/>
      <w:widowControl w:val="0"/>
      <w:suppressLineNumbers w:val="0"/>
      <w:spacing w:before="0" w:beforeAutospacing="0" w:after="0" w:afterAutospacing="0"/>
      <w:ind w:left="0" w:right="0"/>
      <w:jc w:val="both"/>
    </w:pPr>
    <w:rPr>
      <w:rFonts w:hint="eastAsia" w:ascii="等线" w:hAnsi="等线" w:eastAsia="等线" w:cs="Times New Roman"/>
      <w:kern w:val="2"/>
      <w:sz w:val="21"/>
      <w:szCs w:val="22"/>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39</TotalTime>
  <ScaleCrop>false</ScaleCrop>
  <LinksUpToDate>false</LinksUpToDate>
  <Application>WPS Office_11.8.2.10505_F1E327BC-269C-435d-A152-05C5408002CA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2024-04-02T08:33:22Z</dcterms:created>
  <dc:creator>kylin</dc:creator>
  <cp:lastModifiedBy>kylin</cp:lastModifiedBy>
  <dcterms:modified xsi:type="dcterms:W3CDTF">2024-04-02T09:12:46Z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ies>
</file>