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益阳市</w:t>
      </w:r>
      <w:r>
        <w:rPr>
          <w:rFonts w:hint="eastAsia" w:ascii="宋体" w:hAnsi="宋体" w:eastAsia="宋体" w:cs="宋体"/>
          <w:b/>
          <w:bCs/>
          <w:sz w:val="44"/>
          <w:szCs w:val="44"/>
          <w:lang w:eastAsia="zh-CN"/>
        </w:rPr>
        <w:t>西流湾电排管理站</w:t>
      </w:r>
    </w:p>
    <w:p>
      <w:pPr>
        <w:spacing w:line="600" w:lineRule="exact"/>
        <w:jc w:val="center"/>
        <w:rPr>
          <w:rFonts w:ascii="宋体" w:hAnsi="宋体" w:eastAsia="宋体" w:cs="宋体"/>
          <w:b/>
          <w:bCs/>
          <w:color w:val="000000"/>
          <w:sz w:val="44"/>
          <w:szCs w:val="44"/>
          <w:shd w:val="clear" w:color="auto" w:fill="FFFFFF"/>
        </w:rPr>
      </w:pPr>
      <w:r>
        <w:rPr>
          <w:rFonts w:hint="eastAsia" w:ascii="宋体" w:hAnsi="宋体" w:eastAsia="宋体" w:cs="宋体"/>
          <w:b/>
          <w:bCs/>
          <w:sz w:val="44"/>
          <w:szCs w:val="44"/>
        </w:rPr>
        <w:t>2022年整体支出绩效自评报告</w:t>
      </w:r>
    </w:p>
    <w:p>
      <w:pPr>
        <w:spacing w:line="600" w:lineRule="exact"/>
        <w:ind w:firstLine="640" w:firstLineChars="200"/>
        <w:jc w:val="left"/>
        <w:rPr>
          <w:rFonts w:ascii="方正仿宋简体" w:hAnsi="方正仿宋简体" w:eastAsia="方正仿宋简体" w:cs="方正仿宋简体"/>
          <w:color w:val="000000"/>
          <w:sz w:val="32"/>
          <w:szCs w:val="32"/>
          <w:shd w:val="clear" w:color="auto" w:fill="FFFFFF"/>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落实《中共中央国务院关于全面实施预算绩效管理的意见》（中发〔2018〕34号）文件精神，不断增强预算绩效理念，强化部门支出责任,推进全面实施预算绩效管理，提高财政资金使用效益，根据益阳市财政关于开展2022年度部门绩效自评工作的通知》要求，我</w:t>
      </w:r>
      <w:r>
        <w:rPr>
          <w:rFonts w:hint="eastAsia" w:ascii="仿宋" w:hAnsi="仿宋" w:eastAsia="仿宋" w:cs="仿宋"/>
          <w:sz w:val="32"/>
          <w:szCs w:val="32"/>
          <w:lang w:eastAsia="zh-CN"/>
        </w:rPr>
        <w:t>站</w:t>
      </w:r>
      <w:r>
        <w:rPr>
          <w:rFonts w:hint="eastAsia" w:ascii="仿宋" w:hAnsi="仿宋" w:eastAsia="仿宋" w:cs="仿宋"/>
          <w:sz w:val="32"/>
          <w:szCs w:val="32"/>
        </w:rPr>
        <w:t>认真组织开展了2022年整体支出绩效自评工作。现将有关情况报告如下：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单位基本情况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益阳市</w:t>
      </w:r>
      <w:r>
        <w:rPr>
          <w:rFonts w:hint="eastAsia" w:ascii="仿宋" w:hAnsi="仿宋" w:eastAsia="仿宋" w:cs="仿宋"/>
          <w:sz w:val="32"/>
          <w:szCs w:val="32"/>
          <w:lang w:eastAsia="zh-CN"/>
        </w:rPr>
        <w:t>西流湾电排管理站</w:t>
      </w:r>
      <w:r>
        <w:rPr>
          <w:rFonts w:hint="eastAsia" w:ascii="仿宋" w:hAnsi="仿宋" w:eastAsia="仿宋" w:cs="仿宋"/>
          <w:sz w:val="32"/>
          <w:szCs w:val="32"/>
        </w:rPr>
        <w:t>，是污水提升的中转站，主要承担康复路以西，迎宾路以北9.58平方千米内170多家政府部门企事业单位的排渍、污水提升任务，服务的对象是秀峰片区12万余人广大市民。</w:t>
      </w:r>
    </w:p>
    <w:p>
      <w:pPr>
        <w:spacing w:line="560" w:lineRule="exact"/>
        <w:ind w:firstLine="320" w:firstLineChars="100"/>
        <w:rPr>
          <w:rFonts w:hint="eastAsia" w:ascii="仿宋" w:hAnsi="仿宋" w:eastAsia="仿宋" w:cs="仿宋"/>
          <w:color w:val="000000"/>
          <w:sz w:val="32"/>
          <w:szCs w:val="32"/>
          <w:lang w:eastAsia="zh-CN"/>
        </w:rPr>
      </w:pPr>
      <w:r>
        <w:rPr>
          <w:rFonts w:hint="eastAsia" w:ascii="仿宋" w:hAnsi="仿宋" w:eastAsia="仿宋" w:cs="仿宋"/>
          <w:sz w:val="32"/>
          <w:szCs w:val="32"/>
        </w:rPr>
        <w:t>本单位编制数24人，在职人员2</w:t>
      </w:r>
      <w:r>
        <w:rPr>
          <w:rFonts w:hint="eastAsia" w:ascii="仿宋" w:hAnsi="仿宋" w:eastAsia="仿宋" w:cs="仿宋"/>
          <w:sz w:val="32"/>
          <w:szCs w:val="32"/>
          <w:lang w:val="en-US" w:eastAsia="zh-CN"/>
        </w:rPr>
        <w:t>4</w:t>
      </w:r>
      <w:r>
        <w:rPr>
          <w:rFonts w:hint="eastAsia" w:ascii="仿宋" w:hAnsi="仿宋" w:eastAsia="仿宋" w:cs="仿宋"/>
          <w:sz w:val="32"/>
          <w:szCs w:val="32"/>
        </w:rPr>
        <w:t>人（配一正二副），</w:t>
      </w:r>
      <w:r>
        <w:rPr>
          <w:rFonts w:hint="eastAsia" w:ascii="仿宋" w:hAnsi="仿宋" w:eastAsia="仿宋" w:cs="仿宋"/>
          <w:color w:val="000000"/>
          <w:sz w:val="32"/>
          <w:szCs w:val="32"/>
        </w:rPr>
        <w:t>退休人员</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二、整体收入支出情况</w:t>
      </w:r>
    </w:p>
    <w:p>
      <w:pPr>
        <w:spacing w:after="1" w:line="560" w:lineRule="exact"/>
        <w:ind w:firstLine="630"/>
        <w:rPr>
          <w:rFonts w:ascii="仿宋" w:hAnsi="仿宋" w:eastAsia="仿宋" w:cs="仿宋"/>
          <w:color w:val="000000"/>
          <w:sz w:val="32"/>
          <w:szCs w:val="32"/>
        </w:rPr>
      </w:pPr>
      <w:r>
        <w:rPr>
          <w:rFonts w:hint="eastAsia" w:ascii="楷体" w:hAnsi="楷体" w:eastAsia="楷体" w:cs="楷体"/>
          <w:b/>
          <w:bCs/>
          <w:sz w:val="32"/>
          <w:szCs w:val="32"/>
        </w:rPr>
        <w:t>（一）2022年度收入总计</w:t>
      </w:r>
      <w:r>
        <w:rPr>
          <w:rFonts w:hint="eastAsia" w:ascii="楷体" w:hAnsi="楷体" w:eastAsia="楷体" w:cs="楷体"/>
          <w:b/>
          <w:bCs/>
          <w:sz w:val="32"/>
          <w:szCs w:val="32"/>
          <w:lang w:val="en-US" w:eastAsia="zh-CN"/>
        </w:rPr>
        <w:t>690.55万元</w:t>
      </w:r>
      <w:r>
        <w:rPr>
          <w:rFonts w:hint="eastAsia" w:ascii="楷体" w:hAnsi="楷体" w:eastAsia="楷体" w:cs="楷体"/>
          <w:b/>
          <w:bCs/>
          <w:sz w:val="32"/>
          <w:szCs w:val="32"/>
        </w:rPr>
        <w:t>。</w:t>
      </w:r>
      <w:r>
        <w:rPr>
          <w:rFonts w:hint="eastAsia" w:ascii="仿宋" w:hAnsi="仿宋" w:eastAsia="仿宋" w:cs="仿宋"/>
          <w:color w:val="000000"/>
          <w:sz w:val="32"/>
          <w:szCs w:val="32"/>
        </w:rPr>
        <w:t>其中一般公共预算资金：</w:t>
      </w:r>
      <w:r>
        <w:rPr>
          <w:rFonts w:hint="eastAsia" w:ascii="仿宋" w:hAnsi="仿宋" w:eastAsia="仿宋" w:cs="仿宋"/>
          <w:color w:val="000000"/>
          <w:sz w:val="32"/>
          <w:szCs w:val="32"/>
          <w:lang w:val="en-US" w:eastAsia="zh-CN"/>
        </w:rPr>
        <w:t>640.19</w:t>
      </w:r>
      <w:r>
        <w:rPr>
          <w:rFonts w:hint="eastAsia" w:ascii="仿宋" w:hAnsi="仿宋" w:eastAsia="仿宋" w:cs="仿宋"/>
          <w:color w:val="000000"/>
          <w:sz w:val="32"/>
          <w:szCs w:val="32"/>
        </w:rPr>
        <w:t>万元；政府性基金预算资金：</w:t>
      </w:r>
      <w:r>
        <w:rPr>
          <w:rFonts w:hint="eastAsia" w:ascii="仿宋" w:hAnsi="仿宋" w:eastAsia="仿宋" w:cs="仿宋"/>
          <w:color w:val="000000"/>
          <w:sz w:val="32"/>
          <w:szCs w:val="32"/>
          <w:lang w:val="en-US" w:eastAsia="zh-CN"/>
        </w:rPr>
        <w:t>50.35</w:t>
      </w:r>
      <w:r>
        <w:rPr>
          <w:rFonts w:hint="eastAsia" w:ascii="仿宋" w:hAnsi="仿宋" w:eastAsia="仿宋" w:cs="仿宋"/>
          <w:color w:val="000000"/>
          <w:sz w:val="32"/>
          <w:szCs w:val="32"/>
        </w:rPr>
        <w:t>万元。</w:t>
      </w:r>
    </w:p>
    <w:p>
      <w:pPr>
        <w:spacing w:after="1" w:line="560" w:lineRule="exact"/>
        <w:ind w:firstLine="630"/>
        <w:rPr>
          <w:rFonts w:hint="default" w:ascii="仿宋" w:hAnsi="仿宋" w:eastAsia="仿宋" w:cs="仿宋"/>
          <w:color w:val="FF0000"/>
          <w:sz w:val="32"/>
          <w:szCs w:val="32"/>
          <w:lang w:val="en-US" w:eastAsia="zh-CN"/>
        </w:rPr>
      </w:pPr>
      <w:r>
        <w:rPr>
          <w:rFonts w:hint="eastAsia" w:ascii="楷体" w:hAnsi="楷体" w:eastAsia="楷体" w:cs="楷体"/>
          <w:b/>
          <w:bCs/>
          <w:sz w:val="32"/>
          <w:szCs w:val="32"/>
        </w:rPr>
        <w:t>（二）2022年度支出总计</w:t>
      </w:r>
      <w:r>
        <w:rPr>
          <w:rFonts w:hint="eastAsia" w:ascii="楷体" w:hAnsi="楷体" w:eastAsia="楷体" w:cs="楷体"/>
          <w:b/>
          <w:bCs/>
          <w:sz w:val="32"/>
          <w:szCs w:val="32"/>
          <w:lang w:val="en-US" w:eastAsia="zh-CN"/>
        </w:rPr>
        <w:t>690.55</w:t>
      </w:r>
      <w:r>
        <w:rPr>
          <w:rFonts w:hint="eastAsia" w:ascii="楷体" w:hAnsi="楷体" w:eastAsia="楷体" w:cs="楷体"/>
          <w:b/>
          <w:bCs/>
          <w:sz w:val="32"/>
          <w:szCs w:val="32"/>
        </w:rPr>
        <w:t>万元。</w:t>
      </w:r>
      <w:r>
        <w:rPr>
          <w:rFonts w:hint="eastAsia" w:ascii="仿宋" w:hAnsi="仿宋" w:eastAsia="仿宋" w:cs="仿宋"/>
          <w:color w:val="000000"/>
          <w:sz w:val="32"/>
          <w:szCs w:val="32"/>
        </w:rPr>
        <w:t>一般公共预算资金：</w:t>
      </w:r>
      <w:r>
        <w:rPr>
          <w:rFonts w:hint="eastAsia" w:ascii="仿宋" w:hAnsi="仿宋" w:eastAsia="仿宋" w:cs="仿宋"/>
          <w:color w:val="000000"/>
          <w:sz w:val="32"/>
          <w:szCs w:val="32"/>
          <w:lang w:val="en-US" w:eastAsia="zh-CN"/>
        </w:rPr>
        <w:t>640.19</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其中基本支出</w:t>
      </w:r>
      <w:r>
        <w:rPr>
          <w:rFonts w:hint="eastAsia" w:ascii="仿宋" w:hAnsi="仿宋" w:eastAsia="仿宋" w:cs="仿宋"/>
          <w:color w:val="000000"/>
          <w:sz w:val="32"/>
          <w:szCs w:val="32"/>
          <w:lang w:val="en-US" w:eastAsia="zh-CN"/>
        </w:rPr>
        <w:t>365.19万元、项目支出325.35万元。</w:t>
      </w:r>
    </w:p>
    <w:p>
      <w:pPr>
        <w:pStyle w:val="5"/>
      </w:pPr>
      <w:r>
        <w:rPr>
          <w:rFonts w:hint="eastAsia"/>
        </w:rPr>
        <w:t xml:space="preserve"> </w:t>
      </w:r>
    </w:p>
    <w:tbl>
      <w:tblPr>
        <w:tblStyle w:val="7"/>
        <w:tblW w:w="7650" w:type="dxa"/>
        <w:jc w:val="center"/>
        <w:tblLayout w:type="autofit"/>
        <w:tblCellMar>
          <w:top w:w="0" w:type="dxa"/>
          <w:left w:w="108" w:type="dxa"/>
          <w:bottom w:w="0" w:type="dxa"/>
          <w:right w:w="108" w:type="dxa"/>
        </w:tblCellMar>
      </w:tblPr>
      <w:tblGrid>
        <w:gridCol w:w="3137"/>
        <w:gridCol w:w="4513"/>
      </w:tblGrid>
      <w:tr>
        <w:tblPrEx>
          <w:tblCellMar>
            <w:top w:w="0" w:type="dxa"/>
            <w:left w:w="108" w:type="dxa"/>
            <w:bottom w:w="0" w:type="dxa"/>
            <w:right w:w="108" w:type="dxa"/>
          </w:tblCellMar>
        </w:tblPrEx>
        <w:trPr>
          <w:trHeight w:val="545"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新宋体" w:hAnsi="新宋体" w:eastAsia="新宋体" w:cs="新宋体"/>
                <w:b/>
                <w:bCs/>
                <w:color w:val="000000"/>
                <w:sz w:val="20"/>
                <w:szCs w:val="20"/>
              </w:rPr>
            </w:pPr>
            <w:r>
              <w:rPr>
                <w:rFonts w:hint="eastAsia" w:ascii="新宋体" w:hAnsi="新宋体" w:eastAsia="新宋体" w:cs="新宋体"/>
                <w:b/>
                <w:bCs/>
                <w:color w:val="000000"/>
                <w:sz w:val="20"/>
                <w:szCs w:val="20"/>
              </w:rPr>
              <w:t>基本支出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sz w:val="20"/>
                <w:szCs w:val="20"/>
              </w:rPr>
              <w:t>2022年支出</w:t>
            </w:r>
          </w:p>
        </w:tc>
      </w:tr>
      <w:tr>
        <w:tblPrEx>
          <w:tblCellMar>
            <w:top w:w="0" w:type="dxa"/>
            <w:left w:w="108" w:type="dxa"/>
            <w:bottom w:w="0" w:type="dxa"/>
            <w:right w:w="108" w:type="dxa"/>
          </w:tblCellMar>
        </w:tblPrEx>
        <w:trPr>
          <w:trHeight w:val="4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合    计</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3651935.71</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42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工资及福利支出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3170458.24</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325"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基本工资</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1108295.32</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379"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绩效工资</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1329909.4</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402"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机关事业单位基本养老保险缴费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244905.28</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402"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职工基本医疗保险缴费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116938.47</w:t>
            </w:r>
          </w:p>
        </w:tc>
      </w:tr>
      <w:tr>
        <w:tblPrEx>
          <w:tblCellMar>
            <w:top w:w="0" w:type="dxa"/>
            <w:left w:w="108" w:type="dxa"/>
            <w:bottom w:w="0" w:type="dxa"/>
            <w:right w:w="108" w:type="dxa"/>
          </w:tblCellMar>
        </w:tblPrEx>
        <w:trPr>
          <w:trHeight w:val="339"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公务员医疗补助缴费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70971.76</w:t>
            </w:r>
          </w:p>
        </w:tc>
      </w:tr>
      <w:tr>
        <w:tblPrEx>
          <w:tblCellMar>
            <w:top w:w="0" w:type="dxa"/>
            <w:left w:w="108" w:type="dxa"/>
            <w:bottom w:w="0" w:type="dxa"/>
            <w:right w:w="108" w:type="dxa"/>
          </w:tblCellMar>
        </w:tblPrEx>
        <w:trPr>
          <w:trHeight w:val="365"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其他社会保障缴费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11468.01</w:t>
            </w:r>
          </w:p>
        </w:tc>
      </w:tr>
      <w:tr>
        <w:tblPrEx>
          <w:tblCellMar>
            <w:top w:w="0" w:type="dxa"/>
            <w:left w:w="108" w:type="dxa"/>
            <w:bottom w:w="0" w:type="dxa"/>
            <w:right w:w="108" w:type="dxa"/>
          </w:tblCellMar>
        </w:tblPrEx>
        <w:trPr>
          <w:trHeight w:val="325"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kern w:val="0"/>
                <w:sz w:val="20"/>
                <w:szCs w:val="20"/>
              </w:rPr>
            </w:pPr>
            <w:r>
              <w:rPr>
                <w:rFonts w:hint="eastAsia" w:ascii="新宋体" w:hAnsi="新宋体" w:eastAsia="新宋体" w:cs="新宋体"/>
                <w:color w:val="000000"/>
                <w:kern w:val="0"/>
                <w:sz w:val="20"/>
                <w:szCs w:val="20"/>
              </w:rPr>
              <w:t xml:space="preserve">  住房公积金</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287970</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商品和服务支出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新宋体" w:hAnsi="新宋体" w:eastAsia="新宋体" w:cs="新宋体"/>
                <w:b/>
                <w:bCs/>
                <w:color w:val="008000"/>
                <w:sz w:val="16"/>
                <w:szCs w:val="16"/>
              </w:rPr>
            </w:pPr>
            <w:r>
              <w:rPr>
                <w:rFonts w:hint="eastAsia" w:ascii="宋体" w:hAnsi="宋体" w:eastAsia="宋体" w:cs="宋体"/>
                <w:b/>
                <w:bCs/>
                <w:color w:val="000000"/>
                <w:kern w:val="0"/>
                <w:sz w:val="20"/>
                <w:szCs w:val="20"/>
                <w:lang w:val="en-US" w:eastAsia="zh-CN"/>
              </w:rPr>
              <w:t>327698.37</w:t>
            </w:r>
            <w:r>
              <w:rPr>
                <w:rFonts w:hint="eastAsia" w:ascii="新宋体" w:hAnsi="新宋体" w:eastAsia="新宋体" w:cs="新宋体"/>
                <w:b/>
                <w:bCs/>
                <w:color w:val="008000"/>
                <w:kern w:val="0"/>
                <w:sz w:val="16"/>
                <w:szCs w:val="16"/>
              </w:rPr>
              <w:t xml:space="preserve"> </w:t>
            </w:r>
          </w:p>
        </w:tc>
      </w:tr>
      <w:tr>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办公费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41988.63</w:t>
            </w:r>
          </w:p>
        </w:tc>
      </w:tr>
      <w:tr>
        <w:tblPrEx>
          <w:tblCellMar>
            <w:top w:w="0" w:type="dxa"/>
            <w:left w:w="108" w:type="dxa"/>
            <w:bottom w:w="0" w:type="dxa"/>
            <w:right w:w="108" w:type="dxa"/>
          </w:tblCellMar>
        </w:tblPrEx>
        <w:trPr>
          <w:trHeight w:val="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200" w:firstLineChars="100"/>
              <w:jc w:val="left"/>
              <w:textAlignment w:val="bottom"/>
              <w:rPr>
                <w:rFonts w:hint="eastAsia" w:ascii="新宋体" w:hAnsi="新宋体" w:eastAsia="新宋体" w:cs="新宋体"/>
                <w:color w:val="000000"/>
                <w:kern w:val="0"/>
                <w:sz w:val="20"/>
                <w:szCs w:val="20"/>
                <w:lang w:eastAsia="zh-CN"/>
              </w:rPr>
            </w:pPr>
            <w:r>
              <w:rPr>
                <w:rFonts w:hint="eastAsia" w:ascii="新宋体" w:hAnsi="新宋体" w:eastAsia="新宋体" w:cs="新宋体"/>
                <w:color w:val="000000"/>
                <w:kern w:val="0"/>
                <w:sz w:val="20"/>
                <w:szCs w:val="20"/>
                <w:lang w:eastAsia="zh-CN"/>
              </w:rPr>
              <w:t>水费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2248.7</w:t>
            </w:r>
          </w:p>
        </w:tc>
      </w:tr>
      <w:tr>
        <w:tblPrEx>
          <w:tblCellMar>
            <w:top w:w="0" w:type="dxa"/>
            <w:left w:w="108" w:type="dxa"/>
            <w:bottom w:w="0" w:type="dxa"/>
            <w:right w:w="108" w:type="dxa"/>
          </w:tblCellMar>
        </w:tblPrEx>
        <w:trPr>
          <w:trHeight w:val="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差旅费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19840</w:t>
            </w:r>
          </w:p>
        </w:tc>
      </w:tr>
      <w:tr>
        <w:tblPrEx>
          <w:tblCellMar>
            <w:top w:w="0" w:type="dxa"/>
            <w:left w:w="108" w:type="dxa"/>
            <w:bottom w:w="0" w:type="dxa"/>
            <w:right w:w="108"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维修（护）费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4105</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200" w:firstLineChars="100"/>
              <w:jc w:val="left"/>
              <w:textAlignment w:val="bottom"/>
              <w:rPr>
                <w:rFonts w:hint="eastAsia" w:ascii="新宋体" w:hAnsi="新宋体" w:eastAsia="新宋体" w:cs="新宋体"/>
                <w:color w:val="000000"/>
                <w:kern w:val="0"/>
                <w:sz w:val="20"/>
                <w:szCs w:val="20"/>
                <w:lang w:eastAsia="zh-CN"/>
              </w:rPr>
            </w:pPr>
            <w:r>
              <w:rPr>
                <w:rFonts w:hint="eastAsia" w:ascii="新宋体" w:hAnsi="新宋体" w:eastAsia="新宋体" w:cs="新宋体"/>
                <w:color w:val="000000"/>
                <w:kern w:val="0"/>
                <w:sz w:val="20"/>
                <w:szCs w:val="20"/>
                <w:lang w:eastAsia="zh-CN"/>
              </w:rPr>
              <w:t>委托业务费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1000</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工会经费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96491.52</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福利费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44790.3</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其他交通费用</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13428.32</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其他商品和服务支出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123645.9</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对个人和家庭的补助</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150149.1</w:t>
            </w:r>
            <w:r>
              <w:rPr>
                <w:rFonts w:hint="eastAsia" w:ascii="宋体" w:hAnsi="宋体" w:eastAsia="宋体" w:cs="宋体"/>
                <w:color w:val="000000"/>
                <w:kern w:val="0"/>
                <w:sz w:val="20"/>
                <w:szCs w:val="20"/>
              </w:rPr>
              <w:t xml:space="preserve"> </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  退休费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149189.1</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其他对个人和家庭的补助</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960</w:t>
            </w:r>
          </w:p>
        </w:tc>
      </w:tr>
      <w:tr>
        <w:tblPrEx>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rPr>
              <w:t>资本性支出</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3630</w:t>
            </w:r>
            <w:r>
              <w:rPr>
                <w:rFonts w:hint="eastAsia" w:ascii="宋体" w:hAnsi="宋体" w:eastAsia="宋体" w:cs="宋体"/>
                <w:b/>
                <w:bCs/>
                <w:color w:val="000000"/>
                <w:kern w:val="0"/>
                <w:sz w:val="20"/>
                <w:szCs w:val="20"/>
              </w:rPr>
              <w:t xml:space="preserve"> </w:t>
            </w:r>
          </w:p>
        </w:tc>
      </w:tr>
      <w:tr>
        <w:tblPrEx>
          <w:tblCellMar>
            <w:top w:w="0" w:type="dxa"/>
            <w:left w:w="108" w:type="dxa"/>
            <w:bottom w:w="0" w:type="dxa"/>
            <w:right w:w="108" w:type="dxa"/>
          </w:tblCellMar>
        </w:tblPrEx>
        <w:trPr>
          <w:trHeight w:val="402" w:hRule="atLeast"/>
          <w:jc w:val="center"/>
        </w:trPr>
        <w:tc>
          <w:tcPr>
            <w:tcW w:w="31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新宋体" w:hAnsi="新宋体" w:eastAsia="新宋体" w:cs="新宋体"/>
                <w:color w:val="000000"/>
                <w:sz w:val="20"/>
                <w:szCs w:val="20"/>
              </w:rPr>
            </w:pPr>
            <w:r>
              <w:rPr>
                <w:rFonts w:hint="eastAsia" w:ascii="新宋体" w:hAnsi="新宋体" w:eastAsia="新宋体" w:cs="新宋体"/>
                <w:color w:val="000000"/>
                <w:kern w:val="0"/>
                <w:sz w:val="20"/>
                <w:szCs w:val="20"/>
              </w:rPr>
              <w:t xml:space="preserve">办公设备购置 </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default" w:ascii="新宋体" w:hAnsi="新宋体" w:eastAsia="新宋体" w:cs="新宋体"/>
                <w:color w:val="008000"/>
                <w:sz w:val="16"/>
                <w:szCs w:val="16"/>
                <w:lang w:val="en-US" w:eastAsia="zh-CN"/>
              </w:rPr>
            </w:pPr>
            <w:r>
              <w:rPr>
                <w:rFonts w:hint="eastAsia" w:ascii="宋体" w:hAnsi="宋体" w:eastAsia="宋体" w:cs="宋体"/>
                <w:color w:val="000000"/>
                <w:kern w:val="0"/>
                <w:sz w:val="20"/>
                <w:szCs w:val="20"/>
                <w:lang w:val="en-US" w:eastAsia="zh-CN"/>
              </w:rPr>
              <w:t>3630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三、一般公共预算基本支出情况</w:t>
      </w:r>
    </w:p>
    <w:p>
      <w:pPr>
        <w:spacing w:line="560" w:lineRule="exact"/>
        <w:ind w:firstLine="640" w:firstLineChars="200"/>
        <w:rPr>
          <w:rFonts w:hint="default" w:ascii="楷体" w:hAnsi="楷体" w:eastAsia="仿宋" w:cs="楷体"/>
          <w:b/>
          <w:bCs/>
          <w:sz w:val="32"/>
          <w:szCs w:val="32"/>
          <w:lang w:val="en-US" w:eastAsia="zh-CN"/>
        </w:rPr>
      </w:pPr>
      <w:r>
        <w:rPr>
          <w:rFonts w:hint="eastAsia" w:ascii="仿宋" w:hAnsi="仿宋" w:eastAsia="仿宋" w:cs="仿宋"/>
          <w:color w:val="000000"/>
          <w:sz w:val="32"/>
          <w:szCs w:val="32"/>
        </w:rPr>
        <w:t>2022年一般公共预算基本支出</w:t>
      </w:r>
      <w:r>
        <w:rPr>
          <w:rFonts w:hint="eastAsia" w:ascii="仿宋" w:hAnsi="仿宋" w:eastAsia="仿宋" w:cs="仿宋"/>
          <w:color w:val="000000"/>
          <w:sz w:val="32"/>
          <w:szCs w:val="32"/>
          <w:lang w:val="en-US" w:eastAsia="zh-CN"/>
        </w:rPr>
        <w:t>640.19</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szCs w:val="32"/>
          <w:lang w:val="en-US" w:eastAsia="zh-CN"/>
        </w:rPr>
        <w:t>365.19万元为基本支出，275万元为项目支出。</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（一）基本支出情况</w:t>
      </w:r>
    </w:p>
    <w:p>
      <w:pPr>
        <w:spacing w:after="1" w:line="560" w:lineRule="exact"/>
        <w:ind w:firstLine="630"/>
        <w:rPr>
          <w:rFonts w:ascii="仿宋" w:hAnsi="仿宋" w:eastAsia="仿宋" w:cs="仿宋"/>
          <w:sz w:val="32"/>
          <w:szCs w:val="32"/>
        </w:rPr>
      </w:pPr>
      <w:r>
        <w:rPr>
          <w:rFonts w:hint="eastAsia" w:ascii="仿宋" w:hAnsi="仿宋" w:eastAsia="仿宋" w:cs="仿宋"/>
          <w:sz w:val="32"/>
          <w:szCs w:val="32"/>
        </w:rPr>
        <w:t>2022年基本支出</w:t>
      </w:r>
      <w:r>
        <w:rPr>
          <w:rFonts w:hint="eastAsia" w:ascii="仿宋" w:hAnsi="仿宋" w:eastAsia="仿宋" w:cs="仿宋"/>
          <w:color w:val="000000"/>
          <w:sz w:val="32"/>
          <w:szCs w:val="32"/>
          <w:lang w:val="en-US" w:eastAsia="zh-CN"/>
        </w:rPr>
        <w:t>365.19</w:t>
      </w:r>
      <w:r>
        <w:rPr>
          <w:rFonts w:hint="eastAsia" w:ascii="仿宋" w:hAnsi="仿宋" w:eastAsia="仿宋" w:cs="仿宋"/>
          <w:sz w:val="32"/>
          <w:szCs w:val="32"/>
        </w:rPr>
        <w:t>万元</w:t>
      </w:r>
      <w:r>
        <w:rPr>
          <w:rFonts w:hint="eastAsia" w:ascii="仿宋" w:hAnsi="仿宋" w:eastAsia="仿宋" w:cs="仿宋"/>
          <w:color w:val="000000"/>
          <w:sz w:val="32"/>
          <w:szCs w:val="32"/>
        </w:rPr>
        <w:t>，</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317.05</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86.82</w:t>
      </w:r>
      <w:r>
        <w:rPr>
          <w:rFonts w:hint="eastAsia" w:ascii="仿宋" w:hAnsi="仿宋" w:eastAsia="仿宋" w:cs="仿宋"/>
          <w:sz w:val="32"/>
          <w:szCs w:val="32"/>
        </w:rPr>
        <w:t>%；商品服务支出</w:t>
      </w:r>
      <w:r>
        <w:rPr>
          <w:rFonts w:hint="eastAsia" w:ascii="仿宋" w:hAnsi="仿宋" w:eastAsia="仿宋" w:cs="仿宋"/>
          <w:sz w:val="32"/>
          <w:szCs w:val="32"/>
          <w:lang w:val="en-US" w:eastAsia="zh-CN"/>
        </w:rPr>
        <w:t>32.77</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8.97</w:t>
      </w:r>
      <w:r>
        <w:rPr>
          <w:rFonts w:hint="eastAsia" w:ascii="仿宋" w:hAnsi="仿宋" w:eastAsia="仿宋" w:cs="仿宋"/>
          <w:sz w:val="32"/>
          <w:szCs w:val="32"/>
        </w:rPr>
        <w:t>%；对个人和家庭的补助</w:t>
      </w:r>
      <w:r>
        <w:rPr>
          <w:rFonts w:hint="eastAsia" w:ascii="仿宋" w:hAnsi="仿宋" w:eastAsia="仿宋" w:cs="仿宋"/>
          <w:sz w:val="32"/>
          <w:szCs w:val="32"/>
          <w:lang w:val="en-US" w:eastAsia="zh-CN"/>
        </w:rPr>
        <w:t>15.01</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4.11</w:t>
      </w:r>
      <w:r>
        <w:rPr>
          <w:rFonts w:hint="eastAsia" w:ascii="仿宋" w:hAnsi="仿宋" w:eastAsia="仿宋" w:cs="仿宋"/>
          <w:sz w:val="32"/>
          <w:szCs w:val="32"/>
        </w:rPr>
        <w:t>%；资本性支出</w:t>
      </w:r>
      <w:r>
        <w:rPr>
          <w:rFonts w:hint="eastAsia" w:ascii="仿宋" w:hAnsi="仿宋" w:eastAsia="仿宋" w:cs="仿宋"/>
          <w:sz w:val="32"/>
          <w:szCs w:val="32"/>
          <w:lang w:val="en-US" w:eastAsia="zh-CN"/>
        </w:rPr>
        <w:t>3630</w:t>
      </w:r>
      <w:r>
        <w:rPr>
          <w:rFonts w:hint="eastAsia" w:ascii="仿宋" w:hAnsi="仿宋" w:eastAsia="仿宋" w:cs="仿宋"/>
          <w:sz w:val="32"/>
          <w:szCs w:val="32"/>
        </w:rPr>
        <w:t>元，占总支出的0.</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（二）项目支出情况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2022年项目支出</w:t>
      </w:r>
      <w:r>
        <w:rPr>
          <w:rFonts w:hint="eastAsia" w:ascii="仿宋" w:hAnsi="仿宋" w:eastAsia="仿宋" w:cs="仿宋"/>
          <w:color w:val="000000"/>
          <w:sz w:val="32"/>
          <w:szCs w:val="32"/>
          <w:lang w:val="en-US" w:eastAsia="zh-CN"/>
        </w:rPr>
        <w:t>325.35</w:t>
      </w:r>
      <w:r>
        <w:rPr>
          <w:rFonts w:hint="eastAsia" w:ascii="仿宋" w:hAnsi="仿宋" w:eastAsia="仿宋" w:cs="仿宋"/>
          <w:sz w:val="32"/>
          <w:szCs w:val="32"/>
        </w:rPr>
        <w:t>万元，其中</w:t>
      </w:r>
      <w:r>
        <w:rPr>
          <w:rFonts w:hint="eastAsia" w:ascii="仿宋" w:hAnsi="仿宋" w:eastAsia="仿宋" w:cs="仿宋"/>
          <w:color w:val="000000"/>
          <w:sz w:val="32"/>
          <w:szCs w:val="32"/>
        </w:rPr>
        <w:t>一般公共预算资金：</w:t>
      </w:r>
      <w:r>
        <w:rPr>
          <w:rFonts w:hint="eastAsia" w:ascii="仿宋" w:hAnsi="仿宋" w:eastAsia="仿宋" w:cs="仿宋"/>
          <w:color w:val="000000"/>
          <w:sz w:val="32"/>
          <w:szCs w:val="32"/>
          <w:lang w:val="en-US" w:eastAsia="zh-CN"/>
        </w:rPr>
        <w:t>275</w:t>
      </w:r>
      <w:r>
        <w:rPr>
          <w:rFonts w:hint="eastAsia" w:ascii="仿宋" w:hAnsi="仿宋" w:eastAsia="仿宋" w:cs="仿宋"/>
          <w:color w:val="000000"/>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三、政府性基金预算支出情况</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2022年政府性基金财政拨款支出</w:t>
      </w:r>
      <w:r>
        <w:rPr>
          <w:rFonts w:hint="eastAsia" w:ascii="仿宋" w:hAnsi="仿宋" w:eastAsia="仿宋" w:cs="仿宋"/>
          <w:sz w:val="32"/>
          <w:szCs w:val="32"/>
          <w:lang w:val="en-US" w:eastAsia="zh-CN"/>
        </w:rPr>
        <w:t>50.35</w:t>
      </w:r>
      <w:r>
        <w:rPr>
          <w:rFonts w:hint="eastAsia" w:ascii="仿宋" w:hAnsi="仿宋" w:eastAsia="仿宋" w:cs="仿宋"/>
          <w:sz w:val="32"/>
          <w:szCs w:val="32"/>
        </w:rPr>
        <w:t>万元，全部为项目支出</w:t>
      </w:r>
      <w:r>
        <w:rPr>
          <w:rFonts w:hint="eastAsia" w:ascii="仿宋" w:hAnsi="仿宋" w:eastAsia="仿宋" w:cs="仿宋"/>
          <w:sz w:val="32"/>
          <w:szCs w:val="32"/>
          <w:lang w:eastAsia="zh-CN"/>
        </w:rPr>
        <w:t>。</w:t>
      </w:r>
    </w:p>
    <w:p>
      <w:pPr>
        <w:spacing w:line="560" w:lineRule="exact"/>
        <w:ind w:left="420" w:leftChars="200" w:firstLine="320" w:firstLineChars="100"/>
        <w:rPr>
          <w:rFonts w:ascii="黑体" w:hAnsi="黑体" w:eastAsia="黑体" w:cs="黑体"/>
          <w:sz w:val="32"/>
          <w:szCs w:val="32"/>
        </w:rPr>
      </w:pPr>
      <w:r>
        <w:rPr>
          <w:rFonts w:hint="eastAsia" w:ascii="黑体" w:hAnsi="黑体" w:eastAsia="黑体" w:cs="黑体"/>
          <w:sz w:val="32"/>
          <w:szCs w:val="32"/>
        </w:rPr>
        <w:t>四、国有资本经营预算支出情况</w:t>
      </w:r>
    </w:p>
    <w:p>
      <w:pPr>
        <w:spacing w:line="560" w:lineRule="exact"/>
        <w:ind w:firstLine="640" w:firstLineChars="200"/>
        <w:rPr>
          <w:rFonts w:ascii="方正仿宋简体" w:hAnsi="方正仿宋简体" w:eastAsia="方正仿宋简体" w:cs="方正仿宋简体"/>
          <w:sz w:val="32"/>
          <w:szCs w:val="32"/>
        </w:rPr>
      </w:pPr>
      <w:r>
        <w:rPr>
          <w:rFonts w:hint="eastAsia" w:ascii="仿宋" w:hAnsi="仿宋" w:eastAsia="仿宋" w:cs="仿宋"/>
          <w:sz w:val="32"/>
          <w:szCs w:val="32"/>
        </w:rPr>
        <w:t>我单位无国有资本经营预算支出。</w:t>
      </w:r>
    </w:p>
    <w:p>
      <w:pPr>
        <w:numPr>
          <w:ilvl w:val="0"/>
          <w:numId w:val="2"/>
        </w:numPr>
        <w:spacing w:line="560" w:lineRule="exact"/>
        <w:ind w:firstLine="640"/>
        <w:rPr>
          <w:rFonts w:ascii="黑体" w:hAnsi="黑体" w:eastAsia="黑体" w:cs="黑体"/>
          <w:sz w:val="32"/>
          <w:szCs w:val="32"/>
        </w:rPr>
      </w:pPr>
      <w:r>
        <w:rPr>
          <w:rFonts w:hint="eastAsia" w:ascii="黑体" w:hAnsi="黑体" w:eastAsia="黑体" w:cs="黑体"/>
          <w:sz w:val="32"/>
          <w:szCs w:val="32"/>
        </w:rPr>
        <w:t>社会保险基金预算支出情况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我单位无社会保险基金预算支出。</w:t>
      </w:r>
    </w:p>
    <w:p>
      <w:pPr>
        <w:numPr>
          <w:ilvl w:val="0"/>
          <w:numId w:val="2"/>
        </w:numPr>
        <w:spacing w:line="560" w:lineRule="exact"/>
        <w:ind w:firstLine="640"/>
        <w:rPr>
          <w:rFonts w:ascii="黑体" w:hAnsi="黑体" w:eastAsia="黑体" w:cs="黑体"/>
          <w:sz w:val="32"/>
          <w:szCs w:val="32"/>
        </w:rPr>
      </w:pPr>
      <w:r>
        <w:rPr>
          <w:rFonts w:hint="eastAsia" w:ascii="黑体" w:hAnsi="黑体" w:eastAsia="黑体" w:cs="黑体"/>
          <w:sz w:val="32"/>
          <w:szCs w:val="32"/>
        </w:rPr>
        <w:t>部门整体支出绩效情况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（一）预算执行方面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2022年年初预算</w:t>
      </w:r>
      <w:r>
        <w:rPr>
          <w:rFonts w:hint="eastAsia" w:ascii="仿宋" w:hAnsi="仿宋" w:eastAsia="仿宋" w:cs="仿宋"/>
          <w:sz w:val="32"/>
          <w:szCs w:val="32"/>
          <w:lang w:val="en-US" w:eastAsia="zh-CN"/>
        </w:rPr>
        <w:t>266.9</w:t>
      </w:r>
      <w:r>
        <w:rPr>
          <w:rFonts w:hint="eastAsia" w:ascii="仿宋" w:hAnsi="仿宋" w:eastAsia="仿宋" w:cs="仿宋"/>
          <w:sz w:val="32"/>
          <w:szCs w:val="32"/>
        </w:rPr>
        <w:t>万元，本年调整预算数</w:t>
      </w:r>
      <w:r>
        <w:rPr>
          <w:rFonts w:hint="eastAsia" w:ascii="仿宋" w:hAnsi="仿宋" w:eastAsia="仿宋" w:cs="仿宋"/>
          <w:sz w:val="32"/>
          <w:szCs w:val="32"/>
          <w:lang w:val="en-US" w:eastAsia="zh-CN"/>
        </w:rPr>
        <w:t>690.54</w:t>
      </w:r>
      <w:r>
        <w:rPr>
          <w:rFonts w:hint="eastAsia" w:ascii="仿宋" w:hAnsi="仿宋" w:eastAsia="仿宋" w:cs="仿宋"/>
          <w:sz w:val="32"/>
          <w:szCs w:val="32"/>
        </w:rPr>
        <w:t>万元，2022年实际完成预算</w:t>
      </w:r>
      <w:r>
        <w:rPr>
          <w:rFonts w:hint="eastAsia" w:ascii="仿宋" w:hAnsi="仿宋" w:eastAsia="仿宋" w:cs="仿宋"/>
          <w:sz w:val="32"/>
          <w:szCs w:val="32"/>
          <w:lang w:val="en-US" w:eastAsia="zh-CN"/>
        </w:rPr>
        <w:t>690.54</w:t>
      </w:r>
      <w:r>
        <w:rPr>
          <w:rFonts w:hint="eastAsia" w:ascii="仿宋" w:hAnsi="仿宋" w:eastAsia="仿宋" w:cs="仿宋"/>
          <w:sz w:val="32"/>
          <w:szCs w:val="32"/>
        </w:rPr>
        <w:t>万元，预算完成率100</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2022年“三公经费”预算批复数1万元，全年实际支出“三公经费”0万元，“三公经费”节约率高。</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（二）预算管理方面</w:t>
      </w:r>
    </w:p>
    <w:p>
      <w:pPr>
        <w:pStyle w:val="6"/>
        <w:widowControl/>
        <w:shd w:val="clear" w:color="auto" w:fill="FFFFFF"/>
        <w:spacing w:beforeAutospacing="0" w:afterAutospacing="0" w:line="560" w:lineRule="exact"/>
        <w:ind w:firstLine="640" w:firstLineChars="200"/>
        <w:jc w:val="both"/>
        <w:rPr>
          <w:rFonts w:ascii="Calibri" w:hAnsi="Calibri" w:cs="Calibri"/>
          <w:color w:val="333333"/>
        </w:rPr>
      </w:pPr>
      <w:r>
        <w:rPr>
          <w:rFonts w:hint="eastAsia" w:ascii="仿宋" w:hAnsi="仿宋" w:eastAsia="仿宋" w:cs="仿宋"/>
          <w:color w:val="000000"/>
          <w:sz w:val="32"/>
          <w:szCs w:val="32"/>
          <w:shd w:val="clear" w:color="auto" w:fill="FFFFFF"/>
        </w:rPr>
        <w:t>严格</w:t>
      </w:r>
      <w:r>
        <w:rPr>
          <w:rFonts w:ascii="仿宋" w:hAnsi="仿宋" w:eastAsia="仿宋" w:cs="仿宋"/>
          <w:color w:val="000000"/>
          <w:sz w:val="32"/>
          <w:szCs w:val="32"/>
          <w:shd w:val="clear" w:color="auto" w:fill="FFFFFF"/>
        </w:rPr>
        <w:t>执行</w:t>
      </w:r>
      <w:r>
        <w:rPr>
          <w:rFonts w:hint="eastAsia" w:ascii="仿宋" w:hAnsi="仿宋" w:eastAsia="仿宋" w:cs="仿宋"/>
          <w:color w:val="000000"/>
          <w:sz w:val="32"/>
          <w:szCs w:val="32"/>
          <w:shd w:val="clear" w:color="auto" w:fill="FFFFFF"/>
        </w:rPr>
        <w:t>财务管理制度</w:t>
      </w:r>
      <w:r>
        <w:rPr>
          <w:rFonts w:ascii="仿宋" w:hAnsi="仿宋" w:eastAsia="仿宋" w:cs="仿宋"/>
          <w:color w:val="000000"/>
          <w:sz w:val="32"/>
          <w:szCs w:val="32"/>
          <w:shd w:val="clear" w:color="auto" w:fill="FFFFFF"/>
        </w:rPr>
        <w:t>，规范财务审批程序，</w:t>
      </w:r>
      <w:r>
        <w:rPr>
          <w:rFonts w:hint="eastAsia" w:ascii="仿宋" w:hAnsi="仿宋" w:eastAsia="仿宋" w:cs="仿宋"/>
          <w:color w:val="000000"/>
          <w:sz w:val="32"/>
          <w:szCs w:val="32"/>
          <w:shd w:val="clear" w:color="auto" w:fill="FFFFFF"/>
        </w:rPr>
        <w:t>严格三公经费</w:t>
      </w:r>
      <w:r>
        <w:rPr>
          <w:rFonts w:ascii="仿宋" w:hAnsi="仿宋" w:eastAsia="仿宋" w:cs="仿宋"/>
          <w:color w:val="000000"/>
          <w:sz w:val="32"/>
          <w:szCs w:val="32"/>
          <w:shd w:val="clear" w:color="auto" w:fill="FFFFFF"/>
        </w:rPr>
        <w:t>支出标准、范围和程序的审核，所有开支实行“先申报、后开支”，严格控制经费支出，节约机关运行成本</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提高资金使用效益。</w:t>
      </w:r>
    </w:p>
    <w:p>
      <w:pPr>
        <w:spacing w:line="560" w:lineRule="exact"/>
        <w:ind w:firstLine="640" w:firstLineChars="200"/>
        <w:rPr>
          <w:rFonts w:ascii="Times New Roman" w:hAnsi="Times New Roman" w:eastAsia="宋体" w:cs="Times New Roman"/>
          <w:color w:val="000000"/>
          <w:sz w:val="32"/>
          <w:szCs w:val="32"/>
          <w:shd w:val="clear" w:color="auto" w:fill="FFFFFF"/>
        </w:rPr>
      </w:pPr>
      <w:r>
        <w:rPr>
          <w:rFonts w:hint="eastAsia" w:ascii="仿宋" w:hAnsi="仿宋" w:eastAsia="仿宋" w:cs="仿宋"/>
          <w:color w:val="000000"/>
          <w:sz w:val="32"/>
          <w:szCs w:val="32"/>
          <w:shd w:val="clear" w:color="auto" w:fill="FFFFFF"/>
        </w:rPr>
        <w:t>按要求</w:t>
      </w:r>
      <w:r>
        <w:rPr>
          <w:rFonts w:ascii="仿宋" w:hAnsi="仿宋" w:eastAsia="仿宋" w:cs="仿宋"/>
          <w:color w:val="000000"/>
          <w:sz w:val="32"/>
          <w:szCs w:val="32"/>
          <w:shd w:val="clear" w:color="auto" w:fill="FFFFFF"/>
        </w:rPr>
        <w:t>真实准确编制部门预算和决算</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按规定时限和规定内容公开部门预算、部门决算以及绩效自评报告。部门预决算信息透明度进一步提高。</w:t>
      </w:r>
      <w:r>
        <w:rPr>
          <w:rFonts w:ascii="Times New Roman" w:hAnsi="Times New Roman" w:eastAsia="宋体" w:cs="Times New Roman"/>
          <w:color w:val="000000"/>
          <w:sz w:val="32"/>
          <w:szCs w:val="32"/>
          <w:shd w:val="clear" w:color="auto" w:fill="FFFFFF"/>
        </w:rPr>
        <w:t> </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（三）资产管理方面</w:t>
      </w:r>
    </w:p>
    <w:p>
      <w:pPr>
        <w:pStyle w:val="6"/>
        <w:widowControl/>
        <w:shd w:val="clear" w:color="auto" w:fill="FFFFFF"/>
        <w:spacing w:beforeAutospacing="0" w:afterAutospacing="0" w:line="560" w:lineRule="exact"/>
        <w:ind w:firstLine="640" w:firstLineChars="200"/>
        <w:jc w:val="both"/>
        <w:rPr>
          <w:rFonts w:ascii="Calibri" w:hAnsi="Calibri" w:cs="Calibri"/>
          <w:color w:val="333333"/>
        </w:rPr>
      </w:pPr>
      <w:r>
        <w:rPr>
          <w:rFonts w:ascii="仿宋" w:hAnsi="仿宋" w:eastAsia="仿宋" w:cs="仿宋"/>
          <w:color w:val="000000"/>
          <w:sz w:val="32"/>
          <w:szCs w:val="32"/>
          <w:shd w:val="clear" w:color="auto" w:fill="FFFFFF"/>
        </w:rPr>
        <w:t>严格落实《益阳市财政固定资产管理办法》等有关资产管理</w:t>
      </w:r>
      <w:r>
        <w:rPr>
          <w:rFonts w:hint="eastAsia" w:ascii="仿宋" w:hAnsi="仿宋" w:eastAsia="仿宋" w:cs="仿宋"/>
          <w:color w:val="000000"/>
          <w:sz w:val="32"/>
          <w:szCs w:val="32"/>
          <w:shd w:val="clear" w:color="auto" w:fill="FFFFFF"/>
        </w:rPr>
        <w:t>的文件精神</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制定了资产管理制度。严格资产购置，</w:t>
      </w:r>
      <w:r>
        <w:rPr>
          <w:rFonts w:ascii="仿宋" w:hAnsi="仿宋" w:eastAsia="仿宋" w:cs="仿宋"/>
          <w:color w:val="000000"/>
          <w:sz w:val="32"/>
          <w:szCs w:val="32"/>
          <w:shd w:val="clear" w:color="auto" w:fill="FFFFFF"/>
        </w:rPr>
        <w:t>办公设备等资产购置严格实行事前审批，按照年初部门预算以及实际工作需要、资产购置标准进行统一配置。</w:t>
      </w:r>
    </w:p>
    <w:p>
      <w:pPr>
        <w:pStyle w:val="6"/>
        <w:widowControl/>
        <w:shd w:val="clear" w:color="auto" w:fill="FFFFFF"/>
        <w:spacing w:beforeAutospacing="0" w:afterAutospacing="0" w:line="560" w:lineRule="exact"/>
        <w:ind w:firstLine="640" w:firstLineChars="200"/>
        <w:jc w:val="both"/>
        <w:rPr>
          <w:rFonts w:ascii="Calibri" w:hAnsi="Calibri" w:cs="Calibri"/>
          <w:color w:val="333333"/>
        </w:rPr>
      </w:pPr>
      <w:r>
        <w:rPr>
          <w:rFonts w:hint="eastAsia" w:ascii="仿宋" w:hAnsi="仿宋" w:eastAsia="仿宋" w:cs="仿宋"/>
          <w:color w:val="000000"/>
          <w:sz w:val="32"/>
          <w:szCs w:val="32"/>
          <w:shd w:val="clear" w:color="auto" w:fill="FFFFFF"/>
        </w:rPr>
        <w:t>统一由办公室调配资产，提高固定资产利用率，尽量避免资产闲置浪费。资产及时入账销账，严格按照有关程序处置资产，确保资产保存完整、使用合规、账实相符。</w:t>
      </w:r>
    </w:p>
    <w:p>
      <w:pPr>
        <w:numPr>
          <w:ilvl w:val="0"/>
          <w:numId w:val="3"/>
        </w:num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职责履行和履职效益方面 </w:t>
      </w:r>
    </w:p>
    <w:p>
      <w:pPr>
        <w:keepNext w:val="0"/>
        <w:keepLines w:val="0"/>
        <w:pageBreakBefore w:val="0"/>
        <w:widowControl w:val="0"/>
        <w:kinsoku/>
        <w:wordWrap/>
        <w:overflowPunct/>
        <w:topLinePunct w:val="0"/>
        <w:autoSpaceDE/>
        <w:autoSpaceDN/>
        <w:bidi w:val="0"/>
        <w:adjustRightInd/>
        <w:snapToGrid/>
        <w:spacing w:line="700" w:lineRule="exact"/>
        <w:ind w:firstLine="420" w:firstLineChars="200"/>
        <w:textAlignment w:val="auto"/>
        <w:rPr>
          <w:rFonts w:hint="default" w:ascii="Times New Roman" w:hAnsi="Times New Roman" w:eastAsia="仿宋" w:cs="Times New Roman"/>
          <w:sz w:val="32"/>
          <w:szCs w:val="32"/>
          <w:lang w:val="en-US" w:eastAsia="zh-CN"/>
        </w:rPr>
      </w:pPr>
      <w:r>
        <w:rPr>
          <w:rFonts w:hint="eastAsia"/>
          <w:lang w:val="en-US" w:eastAsia="zh-CN"/>
        </w:rPr>
        <w:t xml:space="preserve">     </w:t>
      </w:r>
      <w:r>
        <w:rPr>
          <w:rFonts w:hint="eastAsia" w:ascii="Times New Roman" w:hAnsi="Times New Roman" w:eastAsia="仿宋" w:cs="Times New Roman"/>
          <w:sz w:val="32"/>
          <w:szCs w:val="32"/>
          <w:lang w:val="en-US" w:eastAsia="zh-CN"/>
        </w:rPr>
        <w:t>西流湾电排的工作特点是污水提升的中转站，主要承担康复路以西，迎宾路以北9.58平方千米内170多家政府部门企事业单位的排渍、污水提升任务，服务的对象是秀峰片区12万余人广大市民。为确保片区不发生内涝：一是值班人员实行24小时值班制度，密切关注气象预报情况，对降雨量及水位变化进行科学预判调度，合理调节机组</w:t>
      </w:r>
      <w:r>
        <w:rPr>
          <w:rFonts w:hint="default" w:ascii="Times New Roman" w:hAnsi="Times New Roman" w:eastAsia="仿宋" w:cs="Times New Roman"/>
          <w:sz w:val="32"/>
          <w:szCs w:val="32"/>
          <w:lang w:val="en-US" w:eastAsia="zh-CN"/>
        </w:rPr>
        <w:t>运</w:t>
      </w:r>
      <w:r>
        <w:rPr>
          <w:rFonts w:hint="eastAsia" w:ascii="Times New Roman" w:hAnsi="Times New Roman" w:eastAsia="仿宋" w:cs="Times New Roman"/>
          <w:sz w:val="32"/>
          <w:szCs w:val="32"/>
          <w:lang w:val="en-US" w:eastAsia="zh-CN"/>
        </w:rPr>
        <w:t>行台次降低水位。二是对职工进行业务技术培训，提高业务能力，特别对在一线工作的职工进行电气设备特种作业理论、实操培训，考试取证，进一步提升业务能力和实际操作水平，确保机组安全高效运行。在汛期来临之前积极开展备汛工作，切实贯彻“安全第一，预防为主，常备不懈，全力抢</w:t>
      </w:r>
      <w:r>
        <w:rPr>
          <w:rFonts w:hint="default" w:ascii="Times New Roman" w:hAnsi="Times New Roman" w:eastAsia="仿宋" w:cs="Times New Roman"/>
          <w:sz w:val="32"/>
          <w:szCs w:val="32"/>
          <w:lang w:val="en-US" w:eastAsia="zh-CN"/>
        </w:rPr>
        <w:t>排</w:t>
      </w:r>
      <w:r>
        <w:rPr>
          <w:rFonts w:hint="eastAsia" w:ascii="Times New Roman" w:hAnsi="Times New Roman" w:eastAsia="仿宋" w:cs="Times New Roman"/>
          <w:sz w:val="32"/>
          <w:szCs w:val="32"/>
          <w:lang w:val="en-US" w:eastAsia="zh-CN"/>
        </w:rPr>
        <w:t>”的防汛工作方针，对防汛工作早行动、早安排、早布置。3月底我站领导班子就防汛工作召开了动员大会，制定了2022年防汛排涝应急预案，根据市局要求，确定了领导带班，行政工作人员值班的防汛轮流值班，同时加强信息报送同市政、水文、气象等部门的联系，信息共享，协同作战，确保防汛信息上传下达，政令畅通。并提前组织相关人员做好日常电气设备及机组的维修维护工作，发现问题及时消除隐患，预防事故的发生。</w:t>
      </w:r>
      <w:r>
        <w:rPr>
          <w:rFonts w:hint="default" w:ascii="Times New Roman" w:hAnsi="Times New Roman" w:eastAsia="仿宋" w:cs="Times New Roman"/>
          <w:sz w:val="32"/>
          <w:szCs w:val="32"/>
          <w:lang w:val="en-US" w:eastAsia="zh-CN"/>
        </w:rPr>
        <w:t>全年</w:t>
      </w:r>
      <w:r>
        <w:rPr>
          <w:rFonts w:hint="eastAsia" w:ascii="Times New Roman" w:hAnsi="Times New Roman" w:eastAsia="仿宋" w:cs="Times New Roman"/>
          <w:sz w:val="32"/>
          <w:szCs w:val="32"/>
          <w:lang w:val="en-US" w:eastAsia="zh-CN"/>
        </w:rPr>
        <w:t>泵池垃圾和栏污栅处垃圾进行打捞清运共计约26吨，3台污水提升泵返厂进行了维修，对机组维修维护61台次，保证</w:t>
      </w:r>
      <w:r>
        <w:rPr>
          <w:rFonts w:hint="default" w:ascii="Times New Roman" w:hAnsi="Times New Roman" w:eastAsia="仿宋" w:cs="Times New Roman"/>
          <w:sz w:val="32"/>
          <w:szCs w:val="32"/>
          <w:lang w:val="en-US" w:eastAsia="zh-CN"/>
        </w:rPr>
        <w:t>污水提升开机运行约</w:t>
      </w:r>
      <w:r>
        <w:rPr>
          <w:rFonts w:hint="eastAsia" w:ascii="Times New Roman" w:hAnsi="Times New Roman" w:eastAsia="仿宋" w:cs="Times New Roman"/>
          <w:sz w:val="32"/>
          <w:szCs w:val="32"/>
          <w:lang w:val="en-US" w:eastAsia="zh-CN"/>
        </w:rPr>
        <w:t>14500</w:t>
      </w:r>
      <w:r>
        <w:rPr>
          <w:rFonts w:hint="default" w:ascii="Times New Roman" w:hAnsi="Times New Roman" w:eastAsia="仿宋" w:cs="Times New Roman"/>
          <w:sz w:val="32"/>
          <w:szCs w:val="32"/>
          <w:lang w:val="en-US" w:eastAsia="zh-CN"/>
        </w:rPr>
        <w:t>台时，累计污水提升超</w:t>
      </w:r>
      <w:r>
        <w:rPr>
          <w:rFonts w:hint="eastAsia" w:ascii="Times New Roman" w:hAnsi="Times New Roman" w:eastAsia="仿宋" w:cs="Times New Roman"/>
          <w:sz w:val="32"/>
          <w:szCs w:val="32"/>
          <w:lang w:val="en-US" w:eastAsia="zh-CN"/>
        </w:rPr>
        <w:t>2900</w:t>
      </w:r>
      <w:r>
        <w:rPr>
          <w:rFonts w:hint="default" w:ascii="Times New Roman" w:hAnsi="Times New Roman" w:eastAsia="仿宋" w:cs="Times New Roman"/>
          <w:sz w:val="32"/>
          <w:szCs w:val="32"/>
          <w:lang w:val="en-US" w:eastAsia="zh-CN"/>
        </w:rPr>
        <w:t>万立方</w:t>
      </w:r>
      <w:r>
        <w:rPr>
          <w:rFonts w:hint="eastAsia" w:ascii="Times New Roman" w:hAnsi="Times New Roman" w:eastAsia="仿宋" w:cs="Times New Roman"/>
          <w:sz w:val="32"/>
          <w:szCs w:val="32"/>
          <w:lang w:val="en-US" w:eastAsia="zh-CN"/>
        </w:rPr>
        <w:t>，确保了秀峰片区的度汛安全</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为牢固树立安全发展理念，进一步增强安全生产工作责任感和紧迫感，我站把安全生产工作纳入整体工作部署，年初我站制定了2022年安全生产工作计划，将全年安全生产做了整体规划，明确站长为第一责任人，对本单位的安全生产工作负总责，签订安全生产责任状，确保安全生产责任制落到实处，完善安全生产责任追究制度，使安全生产责任真正落实到每个干职工、特别是生产一线的安全生产人员，营造全员参与安全管理的氛围。</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今年以来我站按照《益阳市市城市管理和综合执法局2022年安全生产工作要点》《安全生产大检查工作实施方案》《安全生产大排查大整治活动方案》《消防安全和疫情防控工作专项督查实施方案》等文件要求，我站安全生产领导小组组织全站干职工学习、领悟安全生产文件精神，不折不扣地落实文件要求，进一步规范制度并针对文件要求开展了隐患排查整治及各项相关工作，</w:t>
      </w:r>
      <w:r>
        <w:rPr>
          <w:rFonts w:hint="default" w:ascii="Times New Roman" w:hAnsi="Times New Roman" w:eastAsia="仿宋" w:cs="Times New Roman"/>
          <w:sz w:val="32"/>
          <w:szCs w:val="32"/>
          <w:lang w:val="en-US" w:eastAsia="zh-CN"/>
        </w:rPr>
        <w:t>根据备汛</w:t>
      </w:r>
      <w:r>
        <w:rPr>
          <w:rFonts w:hint="eastAsia" w:ascii="Times New Roman" w:hAnsi="Times New Roman" w:eastAsia="仿宋" w:cs="Times New Roman"/>
          <w:sz w:val="32"/>
          <w:szCs w:val="32"/>
          <w:lang w:val="en-US" w:eastAsia="zh-CN"/>
        </w:rPr>
        <w:t>计划提前对5台排渍机组、配套的高压柜、变压器、微机保护装置等设施做检修工作。及时发现问题，消除隐患，预防事故发生。对排查发现的线路老化、控制配件进行了更换维护，保证机组状态良好运行。组织全站干职工认真学习习近平总书记关于安全发展重要论述、《安全生产法》及本站的各项《安全操作规章制度》，并加强业务知识培训，加大安全生产宣传力度及完善安全警示牌以及标语。今年来我站安全生产领导小组组织了大小安全生产检查22次，共发现及整改安全隐患15处，未发生一起安全事故。</w:t>
      </w:r>
    </w:p>
    <w:p>
      <w:pPr>
        <w:pStyle w:val="2"/>
        <w:rPr>
          <w:rFonts w:hint="eastAsia"/>
          <w:lang w:val="en-US" w:eastAsia="zh-CN"/>
        </w:rPr>
      </w:pPr>
    </w:p>
    <w:p>
      <w:pPr>
        <w:pStyle w:val="5"/>
        <w:numPr>
          <w:numId w:val="0"/>
        </w:numPr>
        <w:rPr>
          <w:rFonts w:hint="default" w:eastAsiaTheme="minorEastAsia"/>
          <w:lang w:val="en-US" w:eastAsia="zh-CN"/>
        </w:rPr>
      </w:pPr>
    </w:p>
    <w:p>
      <w:pPr>
        <w:pStyle w:val="9"/>
        <w:spacing w:line="560" w:lineRule="exact"/>
        <w:ind w:firstLine="640" w:firstLineChars="200"/>
        <w:rPr>
          <w:rFonts w:ascii="仿宋" w:hAnsi="仿宋" w:eastAsia="仿宋" w:cs="仿宋"/>
          <w:sz w:val="32"/>
          <w:szCs w:val="32"/>
        </w:rPr>
      </w:pPr>
    </w:p>
    <w:p>
      <w:pPr>
        <w:widowControl/>
        <w:shd w:val="clear" w:color="auto" w:fill="FFFFFF"/>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七、存在的问题及原因分析</w:t>
      </w:r>
    </w:p>
    <w:p>
      <w:pPr>
        <w:spacing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sz w:val="32"/>
          <w:szCs w:val="32"/>
        </w:rPr>
        <w:t>预算绩效管理工作有待加强。一是绩效目标设立指向不够明确、内容不够完整，指标选用重点不够突出，不够细化、量化，定性指标使用较多，定量指标较少；二是对预算绩效管理认识有待加强，人员职责不明确，专业水平有待进一步提高。</w:t>
      </w:r>
    </w:p>
    <w:p>
      <w:pPr>
        <w:widowControl/>
        <w:shd w:val="clear" w:color="auto" w:fill="FFFFFF"/>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八、下一步的改进措施</w:t>
      </w:r>
    </w:p>
    <w:p>
      <w:pPr>
        <w:pStyle w:val="6"/>
        <w:widowControl/>
        <w:shd w:val="clear" w:color="auto" w:fill="FFFFFF"/>
        <w:spacing w:beforeAutospacing="0" w:afterAutospacing="0" w:line="560" w:lineRule="exact"/>
        <w:ind w:firstLine="640" w:firstLineChars="200"/>
        <w:rPr>
          <w:rFonts w:ascii="仿宋" w:hAnsi="仿宋" w:eastAsia="仿宋" w:cs="仿宋"/>
          <w:kern w:val="2"/>
          <w:sz w:val="32"/>
          <w:szCs w:val="32"/>
        </w:rPr>
      </w:pPr>
      <w:r>
        <w:rPr>
          <w:rFonts w:hint="eastAsia" w:ascii="楷体" w:hAnsi="楷体" w:eastAsia="楷体" w:cs="楷体"/>
          <w:sz w:val="32"/>
          <w:szCs w:val="32"/>
        </w:rPr>
        <w:t>（一）加强绩效目标管理，</w:t>
      </w:r>
      <w:r>
        <w:rPr>
          <w:rFonts w:hint="eastAsia" w:ascii="楷体" w:hAnsi="楷体" w:eastAsia="楷体" w:cs="楷体"/>
          <w:kern w:val="2"/>
          <w:sz w:val="32"/>
          <w:szCs w:val="32"/>
        </w:rPr>
        <w:t>提高对绩效评价工作的重视</w:t>
      </w:r>
      <w:r>
        <w:rPr>
          <w:rFonts w:hint="eastAsia" w:ascii="楷体" w:hAnsi="楷体" w:eastAsia="楷体" w:cs="楷体"/>
          <w:sz w:val="32"/>
          <w:szCs w:val="32"/>
        </w:rPr>
        <w:t>。</w:t>
      </w:r>
      <w:r>
        <w:rPr>
          <w:rFonts w:hint="eastAsia" w:ascii="仿宋" w:hAnsi="仿宋" w:eastAsia="仿宋" w:cs="仿宋"/>
          <w:sz w:val="32"/>
          <w:szCs w:val="32"/>
        </w:rPr>
        <w:t>应根据部门职责职能合理设置绩效目标，目标</w:t>
      </w:r>
      <w:r>
        <w:rPr>
          <w:rFonts w:hint="eastAsia" w:ascii="仿宋" w:hAnsi="仿宋" w:eastAsia="仿宋" w:cs="仿宋"/>
          <w:kern w:val="2"/>
          <w:sz w:val="32"/>
          <w:szCs w:val="32"/>
        </w:rPr>
        <w:t>应明确、具体，与部门长期规划目标、年度工作目标相一致；尽量细化、量化，多设置易于操作的定量指标，减少设置定性指标；相关项目职责部门联动；加强预算绩效管理工作的培训，提高绩效管理水平。</w:t>
      </w:r>
    </w:p>
    <w:p>
      <w:pPr>
        <w:pStyle w:val="6"/>
        <w:widowControl/>
        <w:shd w:val="clear" w:color="auto" w:fill="FFFFFF"/>
        <w:spacing w:beforeAutospacing="0" w:afterAutospacing="0" w:line="560" w:lineRule="exact"/>
        <w:ind w:firstLine="640" w:firstLineChars="200"/>
        <w:rPr>
          <w:rFonts w:ascii="仿宋" w:hAnsi="仿宋" w:eastAsia="仿宋" w:cs="仿宋"/>
          <w:sz w:val="32"/>
          <w:szCs w:val="32"/>
        </w:rPr>
      </w:pPr>
      <w:r>
        <w:rPr>
          <w:rFonts w:hint="eastAsia" w:ascii="楷体" w:hAnsi="楷体" w:eastAsia="楷体" w:cs="楷体"/>
          <w:sz w:val="32"/>
          <w:szCs w:val="32"/>
        </w:rPr>
        <w:t>（二）加强财务力量。</w:t>
      </w:r>
      <w:r>
        <w:rPr>
          <w:rFonts w:hint="eastAsia" w:ascii="仿宋" w:hAnsi="仿宋" w:eastAsia="仿宋" w:cs="仿宋"/>
          <w:sz w:val="32"/>
          <w:szCs w:val="32"/>
        </w:rPr>
        <w:t>加强对财务人员培养。鼓励财务人员参加各种专业培训，报考会计专业职称，熟练掌握财政政策和会计法规，不断提高其专业水平，严格财务核算，规范财务管理。</w:t>
      </w:r>
    </w:p>
    <w:p>
      <w:pPr>
        <w:widowControl/>
        <w:numPr>
          <w:ilvl w:val="0"/>
          <w:numId w:val="4"/>
        </w:numPr>
        <w:shd w:val="clear" w:color="auto" w:fill="FFFFFF"/>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部门整体支出绩效自评结果拟应用和公开情况</w:t>
      </w:r>
    </w:p>
    <w:p>
      <w:pPr>
        <w:widowControl/>
        <w:shd w:val="clear" w:color="auto" w:fill="FFFFFF"/>
        <w:spacing w:line="56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本单位部门整体支出绩效自评结果将在在线门户网上公开。</w:t>
      </w:r>
    </w:p>
    <w:p>
      <w:pPr>
        <w:widowControl/>
        <w:shd w:val="clear" w:color="auto" w:fill="FFFFFF"/>
        <w:spacing w:line="56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附件: 1.2022年度部门整体支出绩效评价基础数据表</w:t>
      </w:r>
    </w:p>
    <w:p>
      <w:pPr>
        <w:widowControl/>
        <w:shd w:val="clear" w:color="auto" w:fill="FFFFFF"/>
        <w:spacing w:line="560" w:lineRule="exact"/>
        <w:ind w:firstLine="1600" w:firstLineChars="5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2.2022年度部门整体支出绩效自评表</w:t>
      </w:r>
    </w:p>
    <w:p>
      <w:pPr>
        <w:widowControl/>
        <w:shd w:val="clear" w:color="auto" w:fill="FFFFFF"/>
        <w:spacing w:line="560" w:lineRule="exact"/>
        <w:ind w:left="740"/>
        <w:jc w:val="left"/>
        <w:rPr>
          <w:rFonts w:ascii="仿宋" w:hAnsi="仿宋" w:eastAsia="仿宋" w:cs="仿宋"/>
          <w:color w:val="000000"/>
          <w:sz w:val="32"/>
          <w:szCs w:val="32"/>
          <w:shd w:val="clear" w:color="auto" w:fill="FFFFFF"/>
        </w:rPr>
      </w:pPr>
    </w:p>
    <w:p>
      <w:pPr>
        <w:widowControl/>
        <w:shd w:val="clear" w:color="auto" w:fill="FFFFFF"/>
        <w:spacing w:line="560" w:lineRule="exact"/>
        <w:jc w:val="right"/>
        <w:rPr>
          <w:rFonts w:ascii="仿宋" w:hAnsi="仿宋" w:eastAsia="仿宋" w:cs="仿宋"/>
          <w:color w:val="000000"/>
          <w:sz w:val="32"/>
          <w:szCs w:val="32"/>
          <w:shd w:val="clear" w:color="auto" w:fill="FFFFFF"/>
        </w:rPr>
      </w:pPr>
    </w:p>
    <w:p>
      <w:pPr>
        <w:widowControl/>
        <w:shd w:val="clear" w:color="auto" w:fill="FFFFFF"/>
        <w:spacing w:line="560" w:lineRule="exact"/>
        <w:jc w:val="right"/>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益阳市</w:t>
      </w:r>
      <w:r>
        <w:rPr>
          <w:rFonts w:hint="eastAsia" w:ascii="仿宋" w:hAnsi="仿宋" w:eastAsia="仿宋" w:cs="仿宋"/>
          <w:color w:val="000000"/>
          <w:sz w:val="32"/>
          <w:szCs w:val="32"/>
          <w:shd w:val="clear" w:color="auto" w:fill="FFFFFF"/>
          <w:lang w:eastAsia="zh-CN"/>
        </w:rPr>
        <w:t>西流湾电排管理站</w:t>
      </w:r>
    </w:p>
    <w:p>
      <w:pPr>
        <w:widowControl/>
        <w:shd w:val="clear" w:color="auto" w:fill="FFFFFF"/>
        <w:spacing w:line="560" w:lineRule="exact"/>
        <w:jc w:val="center"/>
        <w:rPr>
          <w:rFonts w:ascii="方正仿宋简体" w:hAnsi="方正仿宋简体" w:eastAsia="方正仿宋简体" w:cs="方正仿宋简体"/>
          <w:sz w:val="32"/>
          <w:szCs w:val="32"/>
        </w:rPr>
      </w:pPr>
      <w:r>
        <w:rPr>
          <w:rFonts w:hint="eastAsia" w:ascii="仿宋" w:hAnsi="仿宋" w:eastAsia="仿宋" w:cs="仿宋"/>
          <w:color w:val="000000"/>
          <w:sz w:val="32"/>
          <w:szCs w:val="32"/>
          <w:shd w:val="clear" w:color="auto" w:fill="FFFFFF"/>
        </w:rPr>
        <w:t xml:space="preserve">                                 2023年3月1</w:t>
      </w:r>
      <w:r>
        <w:rPr>
          <w:rFonts w:hint="eastAsia" w:ascii="仿宋" w:hAnsi="仿宋" w:eastAsia="仿宋" w:cs="仿宋"/>
          <w:color w:val="000000"/>
          <w:sz w:val="32"/>
          <w:szCs w:val="32"/>
          <w:shd w:val="clear" w:color="auto" w:fill="FFFFFF"/>
          <w:lang w:val="en-US" w:eastAsia="zh-CN"/>
        </w:rPr>
        <w:t>7</w:t>
      </w:r>
      <w:bookmarkStart w:id="0" w:name="_GoBack"/>
      <w:bookmarkEnd w:id="0"/>
      <w:r>
        <w:rPr>
          <w:rFonts w:hint="eastAsia" w:ascii="仿宋" w:hAnsi="仿宋" w:eastAsia="仿宋" w:cs="仿宋"/>
          <w:color w:val="000000"/>
          <w:sz w:val="32"/>
          <w:szCs w:val="32"/>
          <w:shd w:val="clear" w:color="auto" w:fill="FFFFFF"/>
        </w:rPr>
        <w:t>日</w:t>
      </w:r>
      <w:r>
        <w:rPr>
          <w:rFonts w:hint="eastAsia" w:ascii="方正仿宋简体" w:hAnsi="方正仿宋简体" w:eastAsia="方正仿宋简体" w:cs="方正仿宋简体"/>
          <w:sz w:val="32"/>
          <w:szCs w:val="32"/>
        </w:rPr>
        <w:t xml:space="preserve">    </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7BC1A"/>
    <w:multiLevelType w:val="singleLevel"/>
    <w:tmpl w:val="8227BC1A"/>
    <w:lvl w:ilvl="0" w:tentative="0">
      <w:start w:val="9"/>
      <w:numFmt w:val="chineseCounting"/>
      <w:suff w:val="nothing"/>
      <w:lvlText w:val="%1、"/>
      <w:lvlJc w:val="left"/>
      <w:rPr>
        <w:rFonts w:hint="eastAsia"/>
      </w:rPr>
    </w:lvl>
  </w:abstractNum>
  <w:abstractNum w:abstractNumId="1">
    <w:nsid w:val="57524756"/>
    <w:multiLevelType w:val="singleLevel"/>
    <w:tmpl w:val="57524756"/>
    <w:lvl w:ilvl="0" w:tentative="0">
      <w:start w:val="4"/>
      <w:numFmt w:val="chineseCounting"/>
      <w:suff w:val="nothing"/>
      <w:lvlText w:val="（%1）"/>
      <w:lvlJc w:val="left"/>
      <w:rPr>
        <w:rFonts w:hint="eastAsia"/>
      </w:rPr>
    </w:lvl>
  </w:abstractNum>
  <w:abstractNum w:abstractNumId="2">
    <w:nsid w:val="6D932CC3"/>
    <w:multiLevelType w:val="singleLevel"/>
    <w:tmpl w:val="6D932CC3"/>
    <w:lvl w:ilvl="0" w:tentative="0">
      <w:start w:val="5"/>
      <w:numFmt w:val="chineseCounting"/>
      <w:suff w:val="nothing"/>
      <w:lvlText w:val="%1、"/>
      <w:lvlJc w:val="left"/>
      <w:pPr>
        <w:ind w:left="-10"/>
      </w:pPr>
      <w:rPr>
        <w:rFonts w:hint="eastAsia"/>
      </w:rPr>
    </w:lvl>
  </w:abstractNum>
  <w:abstractNum w:abstractNumId="3">
    <w:nsid w:val="6F66DD55"/>
    <w:multiLevelType w:val="singleLevel"/>
    <w:tmpl w:val="6F66DD55"/>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RkY2YzOGVjZTcwYTVkMGU5MDFlMjQ1NWVhZTY5ODUifQ=="/>
  </w:docVars>
  <w:rsids>
    <w:rsidRoot w:val="001B025D"/>
    <w:rsid w:val="001946DC"/>
    <w:rsid w:val="001B025D"/>
    <w:rsid w:val="006F3F1C"/>
    <w:rsid w:val="006F6B5B"/>
    <w:rsid w:val="03A91C4E"/>
    <w:rsid w:val="03C548C9"/>
    <w:rsid w:val="046441B2"/>
    <w:rsid w:val="079B131C"/>
    <w:rsid w:val="0AF71D1F"/>
    <w:rsid w:val="0C454F38"/>
    <w:rsid w:val="0DEE4C33"/>
    <w:rsid w:val="11841621"/>
    <w:rsid w:val="11E0190B"/>
    <w:rsid w:val="124826EE"/>
    <w:rsid w:val="12E55CB0"/>
    <w:rsid w:val="13073556"/>
    <w:rsid w:val="1823296F"/>
    <w:rsid w:val="18A31CB4"/>
    <w:rsid w:val="18E71EAE"/>
    <w:rsid w:val="1A68422A"/>
    <w:rsid w:val="1ADC29C2"/>
    <w:rsid w:val="1CA10025"/>
    <w:rsid w:val="1EB677C6"/>
    <w:rsid w:val="21D37880"/>
    <w:rsid w:val="24A80C6A"/>
    <w:rsid w:val="2637539F"/>
    <w:rsid w:val="26A67FFC"/>
    <w:rsid w:val="27083E64"/>
    <w:rsid w:val="27933FCE"/>
    <w:rsid w:val="27F417F3"/>
    <w:rsid w:val="28F931A5"/>
    <w:rsid w:val="293350A4"/>
    <w:rsid w:val="2D4E5DBB"/>
    <w:rsid w:val="2D717867"/>
    <w:rsid w:val="2E335A26"/>
    <w:rsid w:val="2E4016E6"/>
    <w:rsid w:val="2E6F192C"/>
    <w:rsid w:val="31D067FB"/>
    <w:rsid w:val="32656B12"/>
    <w:rsid w:val="35292D5D"/>
    <w:rsid w:val="39645B13"/>
    <w:rsid w:val="3BB20EFB"/>
    <w:rsid w:val="3DD57980"/>
    <w:rsid w:val="3E1E60C4"/>
    <w:rsid w:val="3E1F1BAE"/>
    <w:rsid w:val="3E7C07B7"/>
    <w:rsid w:val="3EEB6EB0"/>
    <w:rsid w:val="45285397"/>
    <w:rsid w:val="47D82119"/>
    <w:rsid w:val="48CD4351"/>
    <w:rsid w:val="4AA64A44"/>
    <w:rsid w:val="51A52CE0"/>
    <w:rsid w:val="52BD4CA8"/>
    <w:rsid w:val="530C53D8"/>
    <w:rsid w:val="53BB67EB"/>
    <w:rsid w:val="554404B8"/>
    <w:rsid w:val="570A0F13"/>
    <w:rsid w:val="571C57F3"/>
    <w:rsid w:val="5A285AF1"/>
    <w:rsid w:val="5AD94B36"/>
    <w:rsid w:val="5ADB1ECF"/>
    <w:rsid w:val="5B234AE8"/>
    <w:rsid w:val="5D995DEF"/>
    <w:rsid w:val="5E5B4785"/>
    <w:rsid w:val="6242031E"/>
    <w:rsid w:val="64267270"/>
    <w:rsid w:val="65111E86"/>
    <w:rsid w:val="655E5172"/>
    <w:rsid w:val="6A347B66"/>
    <w:rsid w:val="6A460720"/>
    <w:rsid w:val="6A7D2B05"/>
    <w:rsid w:val="6B366890"/>
    <w:rsid w:val="6B9068DC"/>
    <w:rsid w:val="6C462EF0"/>
    <w:rsid w:val="6C4865BE"/>
    <w:rsid w:val="6C816027"/>
    <w:rsid w:val="6D835047"/>
    <w:rsid w:val="702B50A8"/>
    <w:rsid w:val="707700B0"/>
    <w:rsid w:val="71623BF6"/>
    <w:rsid w:val="72021D5D"/>
    <w:rsid w:val="78C73B5B"/>
    <w:rsid w:val="79446280"/>
    <w:rsid w:val="7A9F4B1C"/>
    <w:rsid w:val="7CB47B26"/>
    <w:rsid w:val="7D2E553C"/>
    <w:rsid w:val="7FDE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rPr>
      <w:rFonts w:ascii="Calibri" w:hAnsi="Calibri" w:cs="宋体"/>
      <w:szCs w:val="22"/>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正文1"/>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2987</Words>
  <Characters>3457</Characters>
  <Lines>6</Lines>
  <Paragraphs>7</Paragraphs>
  <TotalTime>0</TotalTime>
  <ScaleCrop>false</ScaleCrop>
  <LinksUpToDate>false</LinksUpToDate>
  <CharactersWithSpaces>3548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2021-03-22T03:46:00Z</dcterms:created>
  <dc:creator>Administrator</dc:creator>
  <cp:lastModifiedBy>传</cp:lastModifiedBy>
  <cp:lastPrinted>2021-04-15T07:42:00Z</cp:lastPrinted>
  <dcterms:modified xsi:type="dcterms:W3CDTF">2023-03-17T04:03:56Z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0F38F9F9C2F049E98E1AE14465149A90</vt:lpwstr>
  </property>
  <property fmtid="{D5CDD505-2E9C-101B-9397-08002B2CF9AE}" pid="4" name="commondata">
    <vt:lpwstr>eyJoZGlkIjoiNjU2NDcyYjhkMjAwMzI5NzAzMWM4ZmQwMzkwY2Y1NTgifQ==</vt:lpwstr>
  </property>
</Properties>
</file>