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center"/>
        <w:rPr>
          <w:rFonts w:hint="eastAsia" w:ascii="仿宋" w:hAnsi="仿宋" w:eastAsia="仿宋" w:cs="宋体"/>
          <w:b/>
          <w:bCs/>
          <w:kern w:val="0"/>
          <w:sz w:val="36"/>
          <w:szCs w:val="36"/>
        </w:rPr>
      </w:pPr>
      <w:r>
        <w:rPr>
          <w:rFonts w:hint="eastAsia" w:ascii="仿宋" w:hAnsi="仿宋" w:eastAsia="仿宋" w:cs="宋体"/>
          <w:b/>
          <w:bCs/>
          <w:kern w:val="0"/>
          <w:sz w:val="36"/>
          <w:szCs w:val="36"/>
        </w:rPr>
        <w:t>益阳市公安局交警支队</w:t>
      </w:r>
    </w:p>
    <w:p>
      <w:pPr>
        <w:jc w:val="center"/>
        <w:rPr>
          <w:rFonts w:hint="eastAsia" w:ascii="仿宋" w:hAnsi="仿宋" w:eastAsia="仿宋" w:cs="宋体"/>
          <w:b/>
          <w:bCs/>
          <w:kern w:val="0"/>
          <w:sz w:val="36"/>
          <w:szCs w:val="36"/>
        </w:rPr>
      </w:pPr>
      <w:r>
        <w:rPr>
          <w:rFonts w:hint="eastAsia" w:ascii="仿宋" w:hAnsi="仿宋" w:eastAsia="仿宋" w:cs="宋体"/>
          <w:b/>
          <w:bCs/>
          <w:kern w:val="0"/>
          <w:sz w:val="36"/>
          <w:szCs w:val="36"/>
        </w:rPr>
        <w:t>202</w:t>
      </w:r>
      <w:r>
        <w:rPr>
          <w:rFonts w:hint="eastAsia" w:ascii="仿宋" w:hAnsi="仿宋" w:eastAsia="仿宋" w:cs="宋体"/>
          <w:b/>
          <w:bCs/>
          <w:kern w:val="0"/>
          <w:sz w:val="36"/>
          <w:szCs w:val="36"/>
          <w:lang w:val="en-US" w:eastAsia="zh-CN"/>
        </w:rPr>
        <w:t>1</w:t>
      </w:r>
      <w:r>
        <w:rPr>
          <w:rFonts w:hint="eastAsia" w:ascii="仿宋" w:hAnsi="仿宋" w:eastAsia="仿宋" w:cs="宋体"/>
          <w:b/>
          <w:bCs/>
          <w:kern w:val="0"/>
          <w:sz w:val="36"/>
          <w:szCs w:val="36"/>
        </w:rPr>
        <w:t>年部门整体支出</w:t>
      </w:r>
    </w:p>
    <w:p>
      <w:pPr>
        <w:jc w:val="center"/>
        <w:rPr>
          <w:rFonts w:hint="eastAsia" w:ascii="仿宋" w:hAnsi="仿宋" w:eastAsia="仿宋" w:cs="宋体"/>
          <w:b/>
          <w:bCs/>
          <w:kern w:val="0"/>
          <w:sz w:val="36"/>
          <w:szCs w:val="36"/>
        </w:rPr>
      </w:pPr>
      <w:r>
        <w:rPr>
          <w:rFonts w:hint="eastAsia" w:ascii="仿宋" w:hAnsi="仿宋" w:eastAsia="仿宋" w:cs="宋体"/>
          <w:b/>
          <w:bCs/>
          <w:kern w:val="0"/>
          <w:sz w:val="36"/>
          <w:szCs w:val="36"/>
        </w:rPr>
        <w:t>绩效自评报告</w:t>
      </w:r>
    </w:p>
    <w:p>
      <w:pPr>
        <w:keepNext w:val="0"/>
        <w:keepLines w:val="0"/>
        <w:pageBreakBefore w:val="0"/>
        <w:widowControl w:val="0"/>
        <w:kinsoku/>
        <w:wordWrap/>
        <w:overflowPunct/>
        <w:topLinePunct w:val="0"/>
        <w:autoSpaceDE/>
        <w:autoSpaceDN/>
        <w:bidi w:val="0"/>
        <w:adjustRightInd/>
        <w:snapToGrid/>
        <w:spacing w:before="157" w:beforeLines="50" w:line="520" w:lineRule="exact"/>
        <w:ind w:firstLine="560" w:firstLineChars="200"/>
        <w:jc w:val="left"/>
        <w:textAlignment w:val="auto"/>
        <w:rPr>
          <w:rFonts w:ascii="仿宋" w:hAnsi="仿宋" w:eastAsia="仿宋" w:cs="宋体"/>
          <w:sz w:val="28"/>
          <w:szCs w:val="28"/>
        </w:rPr>
      </w:pPr>
      <w:r>
        <w:rPr>
          <w:rFonts w:hint="eastAsia" w:ascii="仿宋" w:hAnsi="仿宋" w:eastAsia="仿宋" w:cs="宋体"/>
          <w:sz w:val="28"/>
          <w:szCs w:val="28"/>
        </w:rPr>
        <w:t>为进一步规范财政资金管理</w:t>
      </w:r>
      <w:bookmarkStart w:id="0" w:name="_GoBack"/>
      <w:bookmarkEnd w:id="0"/>
      <w:r>
        <w:rPr>
          <w:rFonts w:hint="eastAsia" w:ascii="仿宋" w:hAnsi="仿宋" w:eastAsia="仿宋" w:cs="宋体"/>
          <w:sz w:val="28"/>
          <w:szCs w:val="28"/>
        </w:rPr>
        <w:t>，强化部门支出责任，提高财政资金使用效益，根据财政部《财政支出绩效评价管理暂行办法》(财预〔2011〕185号)、《中共湖南省委办公厅、湖南省人民政府办公厅关于全面实施预算绩效管理的实施意见》湘办发〔2019〕10号) 以及《益阳市财政局关于开展202</w:t>
      </w:r>
      <w:r>
        <w:rPr>
          <w:rFonts w:hint="eastAsia" w:ascii="仿宋" w:hAnsi="仿宋" w:eastAsia="仿宋" w:cs="宋体"/>
          <w:sz w:val="28"/>
          <w:szCs w:val="28"/>
          <w:lang w:val="en-US" w:eastAsia="zh-CN"/>
        </w:rPr>
        <w:t>1</w:t>
      </w:r>
      <w:r>
        <w:rPr>
          <w:rFonts w:hint="eastAsia" w:ascii="仿宋" w:hAnsi="仿宋" w:eastAsia="仿宋" w:cs="宋体"/>
          <w:sz w:val="28"/>
          <w:szCs w:val="28"/>
        </w:rPr>
        <w:t>年度部门绩效自评工作的通知》文件的规定和要求，益阳市公安局交警支队成立了部门整体支出绩效自评工作领导小组，于202</w:t>
      </w:r>
      <w:r>
        <w:rPr>
          <w:rFonts w:hint="eastAsia" w:ascii="仿宋" w:hAnsi="仿宋" w:eastAsia="仿宋" w:cs="宋体"/>
          <w:sz w:val="28"/>
          <w:szCs w:val="28"/>
          <w:lang w:val="en-US" w:eastAsia="zh-CN"/>
        </w:rPr>
        <w:t>2</w:t>
      </w:r>
      <w:r>
        <w:rPr>
          <w:rFonts w:hint="eastAsia" w:ascii="仿宋" w:hAnsi="仿宋" w:eastAsia="仿宋" w:cs="宋体"/>
          <w:sz w:val="28"/>
          <w:szCs w:val="28"/>
        </w:rPr>
        <w:t>年4月1日至4月</w:t>
      </w:r>
      <w:r>
        <w:rPr>
          <w:rFonts w:hint="eastAsia" w:ascii="仿宋" w:hAnsi="仿宋" w:eastAsia="仿宋" w:cs="宋体"/>
          <w:sz w:val="28"/>
          <w:szCs w:val="28"/>
          <w:lang w:val="en-US" w:eastAsia="zh-CN"/>
        </w:rPr>
        <w:t>20</w:t>
      </w:r>
      <w:r>
        <w:rPr>
          <w:rFonts w:hint="eastAsia" w:ascii="仿宋" w:hAnsi="仿宋" w:eastAsia="仿宋" w:cs="宋体"/>
          <w:sz w:val="28"/>
          <w:szCs w:val="28"/>
        </w:rPr>
        <w:t>日对交警支队202</w:t>
      </w:r>
      <w:r>
        <w:rPr>
          <w:rFonts w:hint="eastAsia" w:ascii="仿宋" w:hAnsi="仿宋" w:eastAsia="仿宋" w:cs="宋体"/>
          <w:sz w:val="28"/>
          <w:szCs w:val="28"/>
          <w:lang w:val="en-US" w:eastAsia="zh-CN"/>
        </w:rPr>
        <w:t>1</w:t>
      </w:r>
      <w:r>
        <w:rPr>
          <w:rFonts w:hint="eastAsia" w:ascii="仿宋" w:hAnsi="仿宋" w:eastAsia="仿宋" w:cs="宋体"/>
          <w:sz w:val="28"/>
          <w:szCs w:val="28"/>
        </w:rPr>
        <w:t>年度部门整体预算绩效进行了自评工作。评价领导小组按照绩效评价体系的要求,通过现场查勘、调查问卷及资料收集，信息反馈等评价程序，再采取定量、定性分析方法和比较法，对益阳市公安局交警支队202</w:t>
      </w:r>
      <w:r>
        <w:rPr>
          <w:rFonts w:hint="eastAsia" w:ascii="仿宋" w:hAnsi="仿宋" w:eastAsia="仿宋" w:cs="宋体"/>
          <w:sz w:val="28"/>
          <w:szCs w:val="28"/>
          <w:lang w:val="en-US" w:eastAsia="zh-CN"/>
        </w:rPr>
        <w:t>1</w:t>
      </w:r>
      <w:r>
        <w:rPr>
          <w:rFonts w:hint="eastAsia" w:ascii="仿宋" w:hAnsi="仿宋" w:eastAsia="仿宋" w:cs="宋体"/>
          <w:sz w:val="28"/>
          <w:szCs w:val="28"/>
        </w:rPr>
        <w:t>年部门整体支出绩效自评综合得分</w:t>
      </w:r>
      <w:r>
        <w:rPr>
          <w:rFonts w:hint="eastAsia" w:ascii="仿宋" w:hAnsi="仿宋" w:eastAsia="仿宋" w:cs="宋体"/>
          <w:sz w:val="28"/>
          <w:szCs w:val="28"/>
          <w:highlight w:val="none"/>
          <w:lang w:val="en-US" w:eastAsia="zh-CN"/>
        </w:rPr>
        <w:t>98</w:t>
      </w:r>
      <w:r>
        <w:rPr>
          <w:rFonts w:hint="eastAsia" w:ascii="仿宋" w:hAnsi="仿宋" w:eastAsia="仿宋" w:cs="宋体"/>
          <w:sz w:val="28"/>
          <w:szCs w:val="28"/>
        </w:rPr>
        <w:t>分，现将绩效评价情况报告如下：</w:t>
      </w:r>
    </w:p>
    <w:p>
      <w:pPr>
        <w:autoSpaceDE w:val="0"/>
        <w:autoSpaceDN w:val="0"/>
        <w:spacing w:line="520" w:lineRule="exact"/>
        <w:ind w:firstLine="562" w:firstLineChars="200"/>
        <w:rPr>
          <w:rFonts w:ascii="仿宋" w:hAnsi="仿宋" w:eastAsia="仿宋" w:cs="宋体"/>
          <w:b/>
          <w:bCs/>
          <w:sz w:val="28"/>
          <w:szCs w:val="28"/>
        </w:rPr>
      </w:pPr>
      <w:r>
        <w:rPr>
          <w:rFonts w:hint="eastAsia" w:ascii="仿宋" w:hAnsi="仿宋" w:eastAsia="仿宋" w:cs="宋体"/>
          <w:b/>
          <w:bCs/>
          <w:sz w:val="28"/>
          <w:szCs w:val="28"/>
          <w:lang w:val="en-US" w:eastAsia="zh-CN"/>
        </w:rPr>
        <w:t>一、</w:t>
      </w:r>
      <w:r>
        <w:rPr>
          <w:rFonts w:hint="eastAsia" w:ascii="仿宋" w:hAnsi="仿宋" w:eastAsia="仿宋" w:cs="宋体"/>
          <w:b/>
          <w:bCs/>
          <w:sz w:val="28"/>
          <w:szCs w:val="28"/>
        </w:rPr>
        <w:t>基本情况</w:t>
      </w:r>
    </w:p>
    <w:p>
      <w:pPr>
        <w:spacing w:line="520" w:lineRule="exact"/>
        <w:ind w:firstLine="560" w:firstLineChars="200"/>
        <w:jc w:val="left"/>
        <w:rPr>
          <w:rFonts w:ascii="仿宋" w:hAnsi="仿宋" w:eastAsia="仿宋" w:cs="宋体"/>
          <w:sz w:val="28"/>
          <w:szCs w:val="28"/>
        </w:rPr>
      </w:pPr>
      <w:r>
        <w:rPr>
          <w:rFonts w:hint="eastAsia" w:ascii="仿宋" w:hAnsi="仿宋" w:eastAsia="仿宋" w:cs="宋体"/>
          <w:sz w:val="28"/>
          <w:szCs w:val="28"/>
        </w:rPr>
        <w:t>（一）部门整体概况。</w:t>
      </w:r>
    </w:p>
    <w:p>
      <w:pPr>
        <w:spacing w:line="520" w:lineRule="exact"/>
        <w:ind w:firstLine="482" w:firstLineChars="200"/>
        <w:jc w:val="left"/>
        <w:rPr>
          <w:rFonts w:hint="eastAsia" w:ascii="仿宋" w:hAnsi="仿宋" w:eastAsia="仿宋" w:cs="宋体"/>
          <w:sz w:val="28"/>
          <w:szCs w:val="28"/>
        </w:rPr>
      </w:pPr>
      <w:r>
        <w:rPr>
          <w:rFonts w:ascii="仿宋" w:hAnsi="仿宋" w:eastAsia="仿宋" w:cs="宋体"/>
          <w:b/>
          <w:color w:val="000000"/>
          <w:sz w:val="24"/>
          <w:szCs w:val="24"/>
        </w:rPr>
        <w:t>1</w:t>
      </w:r>
      <w:r>
        <w:rPr>
          <w:rFonts w:hint="eastAsia" w:ascii="仿宋" w:hAnsi="仿宋" w:eastAsia="仿宋" w:cs="宋体"/>
          <w:b/>
          <w:color w:val="000000"/>
          <w:sz w:val="24"/>
          <w:szCs w:val="24"/>
        </w:rPr>
        <w:t>、组织机构设置及人员情况</w:t>
      </w:r>
      <w:r>
        <w:rPr>
          <w:rFonts w:hint="eastAsia" w:ascii="仿宋" w:hAnsi="仿宋" w:eastAsia="仿宋" w:cs="宋体"/>
          <w:color w:val="000000"/>
          <w:sz w:val="24"/>
          <w:szCs w:val="24"/>
        </w:rPr>
        <w:t>：</w:t>
      </w:r>
      <w:r>
        <w:rPr>
          <w:rFonts w:hint="eastAsia" w:ascii="仿宋" w:hAnsi="仿宋" w:eastAsia="仿宋" w:cs="宋体"/>
          <w:sz w:val="28"/>
          <w:szCs w:val="28"/>
        </w:rPr>
        <w:t>益阳市公安局交警支队是根据中共益阳市委益阳市人民政府《关于印发&lt;益阳人民政府机构改革方案的实施意见&gt;的通知》（益发[2010]4号）设立的，全称益阳市公安局交通警察支队（以下简称市公安交警支队），加挂“益阳市公安局公路巡逻民警支队”牌子，为副处级机构。市公安局交警支队是市公安局主管全市道路交通安全、交通秩序、机动车辆、驾驶人以及公路巡逻的职能部门。内设机构有办公室、政工科、行政财务装备科、交通秩序管理科、交通事故预防与处理科、法制科、宣传教育科、交通管理指挥中心、行政审批改革科、驾驶员考务管理科、道路交通安全设施管理科共11个；直属机构有：驾驶人管理所、车辆管理所、机动车检测管理站、直属一大队（加挂益阳市公安局交通警察支队高新大队）、直属二大队（加挂益阳市公安局交通警察支队资阳大队）、直属三大队（加挂益阳市公安局交通警察支队赫山大队）、直属四大队（加挂公路巡逻民警支队特警大队牌子）、直属五大队（加挂科技应用大队牌子）共8个。</w:t>
      </w:r>
    </w:p>
    <w:p>
      <w:pPr>
        <w:spacing w:line="520" w:lineRule="exact"/>
        <w:ind w:firstLine="560" w:firstLineChars="200"/>
        <w:jc w:val="left"/>
        <w:rPr>
          <w:rFonts w:ascii="仿宋" w:hAnsi="仿宋" w:eastAsia="仿宋" w:cs="宋体"/>
          <w:sz w:val="28"/>
          <w:szCs w:val="28"/>
        </w:rPr>
      </w:pPr>
      <w:r>
        <w:rPr>
          <w:rFonts w:hint="eastAsia" w:ascii="仿宋" w:hAnsi="仿宋" w:eastAsia="仿宋" w:cs="宋体"/>
          <w:sz w:val="28"/>
          <w:szCs w:val="28"/>
        </w:rPr>
        <w:t>交警支队</w:t>
      </w:r>
      <w:r>
        <w:rPr>
          <w:rFonts w:hint="eastAsia" w:ascii="仿宋" w:hAnsi="仿宋" w:eastAsia="仿宋" w:cs="宋体"/>
          <w:sz w:val="28"/>
          <w:szCs w:val="28"/>
          <w:lang w:eastAsia="zh-CN"/>
        </w:rPr>
        <w:t>机关编制</w:t>
      </w:r>
      <w:r>
        <w:rPr>
          <w:rFonts w:hint="eastAsia" w:ascii="仿宋" w:hAnsi="仿宋" w:eastAsia="仿宋" w:cs="宋体"/>
          <w:sz w:val="28"/>
          <w:szCs w:val="28"/>
          <w:lang w:val="en-US" w:eastAsia="zh-CN"/>
        </w:rPr>
        <w:t>337人，实有人数969人，其中在职在编293人，离退休116人，协辅警560人。</w:t>
      </w:r>
    </w:p>
    <w:p>
      <w:pPr>
        <w:spacing w:line="520" w:lineRule="exact"/>
        <w:ind w:firstLine="482" w:firstLineChars="200"/>
        <w:jc w:val="left"/>
        <w:rPr>
          <w:rFonts w:ascii="仿宋" w:hAnsi="仿宋" w:eastAsia="仿宋" w:cs="宋体"/>
          <w:b/>
          <w:color w:val="000000"/>
          <w:sz w:val="24"/>
          <w:szCs w:val="24"/>
        </w:rPr>
      </w:pPr>
      <w:r>
        <w:rPr>
          <w:rFonts w:ascii="仿宋" w:hAnsi="仿宋" w:eastAsia="仿宋" w:cs="宋体"/>
          <w:b/>
          <w:color w:val="000000"/>
          <w:sz w:val="24"/>
          <w:szCs w:val="24"/>
        </w:rPr>
        <w:t>2</w:t>
      </w:r>
      <w:r>
        <w:rPr>
          <w:rFonts w:hint="eastAsia" w:ascii="仿宋" w:hAnsi="仿宋" w:eastAsia="仿宋" w:cs="宋体"/>
          <w:b/>
          <w:color w:val="000000"/>
          <w:sz w:val="24"/>
          <w:szCs w:val="24"/>
        </w:rPr>
        <w:t>、主要工作职能：</w:t>
      </w:r>
    </w:p>
    <w:p>
      <w:pPr>
        <w:autoSpaceDE w:val="0"/>
        <w:autoSpaceDN w:val="0"/>
        <w:spacing w:line="520" w:lineRule="exact"/>
        <w:ind w:firstLine="560" w:firstLineChars="200"/>
        <w:rPr>
          <w:rFonts w:ascii="仿宋" w:hAnsi="仿宋" w:eastAsia="仿宋"/>
          <w:sz w:val="28"/>
          <w:szCs w:val="28"/>
        </w:rPr>
      </w:pPr>
      <w:r>
        <w:rPr>
          <w:rFonts w:hint="eastAsia"/>
          <w:sz w:val="28"/>
          <w:szCs w:val="28"/>
        </w:rPr>
        <w:t>（</w:t>
      </w:r>
      <w:r>
        <w:rPr>
          <w:rFonts w:hint="eastAsia" w:ascii="仿宋" w:hAnsi="仿宋" w:eastAsia="仿宋"/>
          <w:sz w:val="28"/>
          <w:szCs w:val="28"/>
        </w:rPr>
        <w:t>1）贯彻执行国家有关的道路交通安全、交通秩序的法律、法规和政策，研究拟订全市道路交通管理对策和发展规划。</w:t>
      </w:r>
    </w:p>
    <w:p>
      <w:pPr>
        <w:autoSpaceDE w:val="0"/>
        <w:autoSpaceDN w:val="0"/>
        <w:spacing w:line="520" w:lineRule="exact"/>
        <w:ind w:firstLine="560" w:firstLineChars="200"/>
        <w:rPr>
          <w:rFonts w:ascii="仿宋" w:hAnsi="仿宋" w:eastAsia="仿宋"/>
          <w:sz w:val="28"/>
          <w:szCs w:val="28"/>
        </w:rPr>
      </w:pPr>
      <w:r>
        <w:rPr>
          <w:rFonts w:hint="eastAsia" w:ascii="仿宋" w:hAnsi="仿宋" w:eastAsia="仿宋"/>
          <w:sz w:val="28"/>
          <w:szCs w:val="28"/>
        </w:rPr>
        <w:t>（2）组织指导全市公安交警维护道路交通秩序，参与研究城市建设、道路交通和安全设施的规划，参与道路交通安全设施的监督和管理。</w:t>
      </w:r>
    </w:p>
    <w:p>
      <w:pPr>
        <w:autoSpaceDE w:val="0"/>
        <w:autoSpaceDN w:val="0"/>
        <w:spacing w:line="520" w:lineRule="exact"/>
        <w:ind w:firstLine="560" w:firstLineChars="200"/>
        <w:rPr>
          <w:rFonts w:ascii="仿宋" w:hAnsi="仿宋" w:eastAsia="仿宋"/>
          <w:sz w:val="28"/>
          <w:szCs w:val="28"/>
        </w:rPr>
      </w:pPr>
      <w:r>
        <w:rPr>
          <w:rFonts w:hint="eastAsia" w:ascii="仿宋" w:hAnsi="仿宋" w:eastAsia="仿宋"/>
          <w:sz w:val="28"/>
          <w:szCs w:val="28"/>
        </w:rPr>
        <w:t>（3）参与全市道路检查站（卡）的审核、申报和有关管理工作；参与对设计交通安全、交通秩序的停车场（库）、营运车辆停靠点的规划建设和挖掘、占用道路的审批以及负责城市出租车、公交车的低速汽车的交通管理工程；负责道路危险化学品运输审批。</w:t>
      </w:r>
    </w:p>
    <w:p>
      <w:pPr>
        <w:autoSpaceDE w:val="0"/>
        <w:autoSpaceDN w:val="0"/>
        <w:spacing w:line="520" w:lineRule="exact"/>
        <w:ind w:firstLine="560" w:firstLineChars="200"/>
        <w:rPr>
          <w:rFonts w:ascii="仿宋" w:hAnsi="仿宋" w:eastAsia="仿宋"/>
          <w:sz w:val="28"/>
          <w:szCs w:val="28"/>
        </w:rPr>
      </w:pPr>
      <w:r>
        <w:rPr>
          <w:rFonts w:hint="eastAsia" w:ascii="仿宋" w:hAnsi="仿宋" w:eastAsia="仿宋"/>
          <w:sz w:val="28"/>
          <w:szCs w:val="28"/>
        </w:rPr>
        <w:t>（4）指导全市道路交通事故的预防和处理；参与特大交通事故处理；指导全市基层交通安全组织的建设和管理，开展全民交通安全宣传教育；负责道路交通管理行政处罚、复议和应诉工作。</w:t>
      </w:r>
    </w:p>
    <w:p>
      <w:pPr>
        <w:autoSpaceDE w:val="0"/>
        <w:autoSpaceDN w:val="0"/>
        <w:spacing w:line="520" w:lineRule="exact"/>
        <w:ind w:firstLine="560" w:firstLineChars="200"/>
        <w:rPr>
          <w:rFonts w:ascii="仿宋" w:hAnsi="仿宋" w:eastAsia="仿宋"/>
          <w:sz w:val="28"/>
          <w:szCs w:val="28"/>
        </w:rPr>
      </w:pPr>
      <w:r>
        <w:rPr>
          <w:rFonts w:hint="eastAsia" w:ascii="仿宋" w:hAnsi="仿宋" w:eastAsia="仿宋"/>
          <w:sz w:val="28"/>
          <w:szCs w:val="28"/>
        </w:rPr>
        <w:t>（5）组织、参与和协调重大交通警（保）卫工作，组织指导实施全市公路巡逻综合执法，协同其他警种维护道路治安秩序和打击车匪路霸。</w:t>
      </w:r>
    </w:p>
    <w:p>
      <w:pPr>
        <w:autoSpaceDE w:val="0"/>
        <w:autoSpaceDN w:val="0"/>
        <w:spacing w:line="520" w:lineRule="exact"/>
        <w:ind w:firstLine="560" w:firstLineChars="200"/>
        <w:rPr>
          <w:rFonts w:ascii="仿宋" w:hAnsi="仿宋" w:eastAsia="仿宋"/>
          <w:sz w:val="28"/>
          <w:szCs w:val="28"/>
        </w:rPr>
      </w:pPr>
      <w:r>
        <w:rPr>
          <w:rFonts w:hint="eastAsia" w:ascii="仿宋" w:hAnsi="仿宋" w:eastAsia="仿宋"/>
          <w:sz w:val="28"/>
          <w:szCs w:val="28"/>
        </w:rPr>
        <w:t>（6）负责全市机动车辆、非机动车辆的管理和牌证核发；协助全市机动车安全性能检测线的审批、管理和标定；对机动车生产改（组）装修理厂家实施安全技术监督；负责对各类机动车专机过户和特种车辆警灯警报器使用证登记的审批；对全市机动车辆旧车交易市场、报废车回收机构和机动车业务代办机构实施检查监督。</w:t>
      </w:r>
    </w:p>
    <w:p>
      <w:pPr>
        <w:autoSpaceDE w:val="0"/>
        <w:autoSpaceDN w:val="0"/>
        <w:spacing w:line="520" w:lineRule="exact"/>
        <w:ind w:firstLine="560" w:firstLineChars="200"/>
        <w:rPr>
          <w:rFonts w:ascii="仿宋" w:hAnsi="仿宋" w:eastAsia="仿宋"/>
          <w:sz w:val="28"/>
          <w:szCs w:val="28"/>
        </w:rPr>
      </w:pPr>
      <w:r>
        <w:rPr>
          <w:rFonts w:hint="eastAsia" w:ascii="仿宋" w:hAnsi="仿宋" w:eastAsia="仿宋"/>
          <w:sz w:val="28"/>
          <w:szCs w:val="28"/>
        </w:rPr>
        <w:t>（7）负责全市机动车辆驾驶人的管理；协助省交警总队做好机动车驾驶人考验员、教练员、机动车检验员的培训、考试、审批、发证工作。</w:t>
      </w:r>
    </w:p>
    <w:p>
      <w:pPr>
        <w:autoSpaceDE w:val="0"/>
        <w:autoSpaceDN w:val="0"/>
        <w:spacing w:line="520" w:lineRule="exact"/>
        <w:ind w:firstLine="560" w:firstLineChars="200"/>
        <w:rPr>
          <w:rFonts w:ascii="仿宋" w:hAnsi="仿宋" w:eastAsia="仿宋"/>
          <w:sz w:val="28"/>
          <w:szCs w:val="28"/>
        </w:rPr>
      </w:pPr>
      <w:r>
        <w:rPr>
          <w:rFonts w:hint="eastAsia" w:ascii="仿宋" w:hAnsi="仿宋" w:eastAsia="仿宋"/>
          <w:sz w:val="28"/>
          <w:szCs w:val="28"/>
        </w:rPr>
        <w:t>（8）组织指导全市公安交警队伍的纪律作风建设、宣传教育、思想政治工作和业务培训；指导、检查和监督公安交通管理部门的执法活动，监督和协助查处违法违纪案件，协助有关部门做好全市公安交警机构编制和领导班子的配备管理工作。</w:t>
      </w:r>
    </w:p>
    <w:p>
      <w:pPr>
        <w:autoSpaceDE w:val="0"/>
        <w:autoSpaceDN w:val="0"/>
        <w:spacing w:line="520" w:lineRule="exact"/>
        <w:ind w:firstLine="560" w:firstLineChars="200"/>
        <w:rPr>
          <w:rFonts w:ascii="仿宋" w:hAnsi="仿宋" w:eastAsia="仿宋"/>
          <w:sz w:val="28"/>
          <w:szCs w:val="28"/>
        </w:rPr>
      </w:pPr>
      <w:r>
        <w:rPr>
          <w:rFonts w:hint="eastAsia" w:ascii="仿宋" w:hAnsi="仿宋" w:eastAsia="仿宋"/>
          <w:sz w:val="28"/>
          <w:szCs w:val="28"/>
        </w:rPr>
        <w:t>（9）指导全市交警系统的财务、装备管理；编制经费预决算方案；负责内部的财务审计监督工作；指导全市交警系统固定资产的购置、调配和管理。</w:t>
      </w:r>
    </w:p>
    <w:p>
      <w:pPr>
        <w:autoSpaceDE w:val="0"/>
        <w:autoSpaceDN w:val="0"/>
        <w:spacing w:line="520" w:lineRule="exact"/>
        <w:ind w:firstLine="560" w:firstLineChars="200"/>
        <w:rPr>
          <w:rFonts w:ascii="仿宋" w:hAnsi="仿宋" w:eastAsia="仿宋"/>
          <w:sz w:val="28"/>
          <w:szCs w:val="28"/>
        </w:rPr>
      </w:pPr>
      <w:r>
        <w:rPr>
          <w:rFonts w:hint="eastAsia" w:ascii="仿宋" w:hAnsi="仿宋" w:eastAsia="仿宋"/>
          <w:sz w:val="28"/>
          <w:szCs w:val="28"/>
        </w:rPr>
        <w:t>（10）负责全市公安交通管理部门的科学技术的研究、规划和组织推广、运用，以及通信、计算机应用的规划指导。</w:t>
      </w:r>
    </w:p>
    <w:p>
      <w:pPr>
        <w:autoSpaceDE w:val="0"/>
        <w:autoSpaceDN w:val="0"/>
        <w:spacing w:line="520" w:lineRule="exact"/>
        <w:ind w:firstLine="560" w:firstLineChars="200"/>
        <w:rPr>
          <w:rFonts w:ascii="仿宋" w:hAnsi="仿宋" w:eastAsia="仿宋"/>
          <w:sz w:val="28"/>
          <w:szCs w:val="28"/>
        </w:rPr>
      </w:pPr>
      <w:r>
        <w:rPr>
          <w:rFonts w:hint="eastAsia" w:ascii="仿宋" w:hAnsi="仿宋" w:eastAsia="仿宋"/>
          <w:sz w:val="28"/>
          <w:szCs w:val="28"/>
        </w:rPr>
        <w:t>（11）负责道路交通施救工作。</w:t>
      </w:r>
    </w:p>
    <w:p>
      <w:pPr>
        <w:autoSpaceDE w:val="0"/>
        <w:autoSpaceDN w:val="0"/>
        <w:spacing w:line="520" w:lineRule="exact"/>
        <w:ind w:firstLine="560" w:firstLineChars="200"/>
        <w:rPr>
          <w:rFonts w:hint="eastAsia" w:ascii="仿宋" w:hAnsi="仿宋" w:eastAsia="仿宋"/>
          <w:sz w:val="28"/>
          <w:szCs w:val="28"/>
        </w:rPr>
      </w:pPr>
      <w:r>
        <w:rPr>
          <w:rFonts w:hint="eastAsia" w:ascii="仿宋" w:hAnsi="仿宋" w:eastAsia="仿宋"/>
          <w:sz w:val="28"/>
          <w:szCs w:val="28"/>
        </w:rPr>
        <w:t>（12）承办市委、市政府和上级公安部门交办的其他工作。</w:t>
      </w:r>
    </w:p>
    <w:p>
      <w:pPr>
        <w:autoSpaceDE w:val="0"/>
        <w:autoSpaceDN w:val="0"/>
        <w:spacing w:line="520" w:lineRule="exact"/>
        <w:ind w:firstLine="560" w:firstLineChars="200"/>
        <w:rPr>
          <w:rFonts w:hint="eastAsia" w:ascii="仿宋" w:hAnsi="仿宋" w:eastAsia="仿宋"/>
          <w:sz w:val="28"/>
          <w:szCs w:val="28"/>
        </w:rPr>
      </w:pPr>
    </w:p>
    <w:p>
      <w:pPr>
        <w:autoSpaceDE w:val="0"/>
        <w:autoSpaceDN w:val="0"/>
        <w:spacing w:line="520" w:lineRule="exact"/>
        <w:ind w:firstLine="560" w:firstLineChars="200"/>
        <w:rPr>
          <w:rFonts w:hint="eastAsia" w:ascii="仿宋" w:hAnsi="仿宋" w:eastAsia="仿宋"/>
          <w:sz w:val="28"/>
          <w:szCs w:val="28"/>
        </w:rPr>
      </w:pPr>
    </w:p>
    <w:p>
      <w:pPr>
        <w:spacing w:line="520" w:lineRule="exact"/>
        <w:ind w:firstLine="482" w:firstLineChars="200"/>
        <w:jc w:val="left"/>
        <w:rPr>
          <w:rFonts w:hint="eastAsia" w:ascii="仿宋" w:hAnsi="仿宋" w:eastAsia="仿宋" w:cs="宋体"/>
          <w:b/>
          <w:color w:val="000000"/>
          <w:sz w:val="24"/>
          <w:szCs w:val="24"/>
          <w:lang w:eastAsia="zh-CN"/>
        </w:rPr>
      </w:pPr>
      <w:r>
        <w:rPr>
          <w:rFonts w:ascii="仿宋" w:hAnsi="仿宋" w:eastAsia="仿宋" w:cs="宋体"/>
          <w:b/>
          <w:color w:val="000000"/>
          <w:sz w:val="24"/>
          <w:szCs w:val="24"/>
        </w:rPr>
        <w:t>3</w:t>
      </w:r>
      <w:r>
        <w:rPr>
          <w:rFonts w:hint="eastAsia" w:ascii="仿宋" w:hAnsi="仿宋" w:eastAsia="仿宋" w:cs="宋体"/>
          <w:b/>
          <w:color w:val="000000"/>
          <w:sz w:val="24"/>
          <w:szCs w:val="24"/>
        </w:rPr>
        <w:t>、202</w:t>
      </w:r>
      <w:r>
        <w:rPr>
          <w:rFonts w:hint="eastAsia" w:ascii="仿宋" w:hAnsi="仿宋" w:eastAsia="仿宋" w:cs="宋体"/>
          <w:b/>
          <w:color w:val="000000"/>
          <w:sz w:val="24"/>
          <w:szCs w:val="24"/>
          <w:lang w:val="en-US" w:eastAsia="zh-CN"/>
        </w:rPr>
        <w:t>1</w:t>
      </w:r>
      <w:r>
        <w:rPr>
          <w:rFonts w:hint="eastAsia" w:ascii="仿宋" w:hAnsi="仿宋" w:eastAsia="仿宋" w:cs="宋体"/>
          <w:b/>
          <w:color w:val="000000"/>
          <w:sz w:val="24"/>
          <w:szCs w:val="24"/>
        </w:rPr>
        <w:t>年</w:t>
      </w:r>
      <w:r>
        <w:rPr>
          <w:rFonts w:hint="eastAsia" w:ascii="仿宋" w:hAnsi="仿宋" w:eastAsia="仿宋" w:cs="宋体"/>
          <w:b/>
          <w:color w:val="000000"/>
          <w:sz w:val="24"/>
          <w:szCs w:val="24"/>
          <w:lang w:eastAsia="zh-CN"/>
        </w:rPr>
        <w:t>整体支出预算绩效目标</w:t>
      </w:r>
    </w:p>
    <w:p>
      <w:pPr>
        <w:keepNext w:val="0"/>
        <w:keepLines w:val="0"/>
        <w:pageBreakBefore w:val="0"/>
        <w:widowControl w:val="0"/>
        <w:numPr>
          <w:ilvl w:val="0"/>
          <w:numId w:val="0"/>
        </w:numPr>
        <w:tabs>
          <w:tab w:val="left" w:pos="284"/>
        </w:tabs>
        <w:kinsoku/>
        <w:wordWrap/>
        <w:overflowPunct/>
        <w:topLinePunct w:val="0"/>
        <w:bidi w:val="0"/>
        <w:adjustRightInd/>
        <w:snapToGrid/>
        <w:spacing w:line="520" w:lineRule="exact"/>
        <w:ind w:right="-483" w:rightChars="-230" w:firstLine="280" w:firstLineChars="1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推进基础信息化建设</w:t>
      </w:r>
    </w:p>
    <w:p>
      <w:pPr>
        <w:keepNext w:val="0"/>
        <w:keepLines w:val="0"/>
        <w:pageBreakBefore w:val="0"/>
        <w:widowControl w:val="0"/>
        <w:numPr>
          <w:ilvl w:val="0"/>
          <w:numId w:val="0"/>
        </w:numPr>
        <w:tabs>
          <w:tab w:val="left" w:pos="284"/>
        </w:tabs>
        <w:kinsoku/>
        <w:wordWrap/>
        <w:overflowPunct/>
        <w:topLinePunct w:val="0"/>
        <w:bidi w:val="0"/>
        <w:adjustRightInd/>
        <w:snapToGrid/>
        <w:spacing w:line="520" w:lineRule="exact"/>
        <w:ind w:right="-483" w:rightChars="-23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1、开展互联网综合服务平台建设。</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2、开展违法监管系统建设。</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3、建设交通违法自助网上处理服务平台,微信、支付宝、银行卡收费平台。</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4、确保信息系统安全。</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5、开展“文明交通行动计划</w:t>
      </w:r>
      <w:r>
        <w:rPr>
          <w:rFonts w:ascii="仿宋" w:hAnsi="仿宋" w:eastAsia="仿宋" w:cs="仿宋"/>
          <w:sz w:val="28"/>
          <w:szCs w:val="28"/>
        </w:rPr>
        <w:t>”</w:t>
      </w:r>
      <w:r>
        <w:rPr>
          <w:rFonts w:hint="eastAsia" w:ascii="仿宋" w:hAnsi="仿宋" w:eastAsia="仿宋" w:cs="仿宋"/>
          <w:sz w:val="28"/>
          <w:szCs w:val="28"/>
        </w:rPr>
        <w:t>工作。</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开展新闻宣传阵地建设。不定期在中央主要新闻媒体（人民日报、中央电视台、中央人民广播电台、法制日报、新华社通稿或内参）发表正面宣传报道；省市联动，加强湖南交警“三微”、QQ群、《车路人》杂志等自制媒体宣传阵地建设。</w:t>
      </w:r>
    </w:p>
    <w:p>
      <w:pPr>
        <w:keepNext w:val="0"/>
        <w:keepLines w:val="0"/>
        <w:pageBreakBefore w:val="0"/>
        <w:widowControl w:val="0"/>
        <w:kinsoku/>
        <w:wordWrap/>
        <w:overflowPunct/>
        <w:topLinePunct w:val="0"/>
        <w:autoSpaceDE w:val="0"/>
        <w:autoSpaceDN w:val="0"/>
        <w:bidi w:val="0"/>
        <w:adjustRightInd/>
        <w:snapToGrid/>
        <w:spacing w:line="52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7、开发道路交通事故一路通系统，成立快处快赔中心。</w:t>
      </w:r>
    </w:p>
    <w:p>
      <w:pPr>
        <w:keepNext w:val="0"/>
        <w:keepLines w:val="0"/>
        <w:pageBreakBefore w:val="0"/>
        <w:widowControl w:val="0"/>
        <w:numPr>
          <w:ilvl w:val="0"/>
          <w:numId w:val="0"/>
        </w:numPr>
        <w:tabs>
          <w:tab w:val="left" w:pos="284"/>
        </w:tabs>
        <w:kinsoku/>
        <w:wordWrap/>
        <w:overflowPunct/>
        <w:topLinePunct w:val="0"/>
        <w:bidi w:val="0"/>
        <w:adjustRightInd/>
        <w:snapToGrid/>
        <w:spacing w:line="520" w:lineRule="exact"/>
        <w:ind w:right="-483" w:rightChars="-230"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（2）推进县域警务实战化建设</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560" w:firstLineChars="200"/>
        <w:textAlignment w:val="auto"/>
        <w:rPr>
          <w:rFonts w:ascii="仿宋" w:hAnsi="仿宋" w:eastAsia="仿宋" w:cs="仿宋"/>
          <w:sz w:val="28"/>
          <w:szCs w:val="28"/>
        </w:rPr>
      </w:pPr>
      <w:r>
        <w:rPr>
          <w:rFonts w:hint="eastAsia" w:ascii="仿宋" w:hAnsi="仿宋" w:eastAsia="仿宋" w:cs="仿宋"/>
          <w:sz w:val="28"/>
          <w:szCs w:val="28"/>
        </w:rPr>
        <w:t>1、推进交通安全执法服务站建设。</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2、推进以卡口建设为主要内容的缉查布控系统建设与应用。</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3、推进交通执法取证系统建设与应用。</w:t>
      </w:r>
    </w:p>
    <w:p>
      <w:pPr>
        <w:keepNext w:val="0"/>
        <w:keepLines w:val="0"/>
        <w:pageBreakBefore w:val="0"/>
        <w:widowControl w:val="0"/>
        <w:numPr>
          <w:ilvl w:val="0"/>
          <w:numId w:val="0"/>
        </w:numPr>
        <w:tabs>
          <w:tab w:val="left" w:pos="284"/>
        </w:tabs>
        <w:kinsoku/>
        <w:wordWrap/>
        <w:overflowPunct/>
        <w:topLinePunct w:val="0"/>
        <w:bidi w:val="0"/>
        <w:adjustRightInd/>
        <w:snapToGrid/>
        <w:spacing w:line="520" w:lineRule="exact"/>
        <w:ind w:right="-483" w:rightChars="-230" w:firstLine="280" w:firstLineChars="1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4、</w:t>
      </w:r>
      <w:r>
        <w:rPr>
          <w:rFonts w:hint="eastAsia" w:ascii="仿宋" w:hAnsi="仿宋" w:eastAsia="仿宋" w:cs="仿宋"/>
          <w:sz w:val="28"/>
          <w:szCs w:val="28"/>
        </w:rPr>
        <w:t>推进公路视频监控系统建设与应用。</w:t>
      </w:r>
    </w:p>
    <w:p>
      <w:pPr>
        <w:keepNext w:val="0"/>
        <w:keepLines w:val="0"/>
        <w:pageBreakBefore w:val="0"/>
        <w:widowControl w:val="0"/>
        <w:numPr>
          <w:ilvl w:val="0"/>
          <w:numId w:val="0"/>
        </w:numPr>
        <w:tabs>
          <w:tab w:val="left" w:pos="284"/>
        </w:tabs>
        <w:kinsoku/>
        <w:wordWrap/>
        <w:overflowPunct/>
        <w:topLinePunct w:val="0"/>
        <w:bidi w:val="0"/>
        <w:adjustRightInd/>
        <w:snapToGrid/>
        <w:spacing w:line="520" w:lineRule="exact"/>
        <w:ind w:right="-483" w:rightChars="-23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5、推进交通指挥扁平化、信息化建设。</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6、建立重点车辆管控平台,淘汰黄标车，七种重点车辆免计分违章清零。</w:t>
      </w:r>
    </w:p>
    <w:p>
      <w:pPr>
        <w:keepNext w:val="0"/>
        <w:keepLines w:val="0"/>
        <w:pageBreakBefore w:val="0"/>
        <w:widowControl w:val="0"/>
        <w:kinsoku/>
        <w:wordWrap/>
        <w:overflowPunct/>
        <w:topLinePunct w:val="0"/>
        <w:autoSpaceDE w:val="0"/>
        <w:autoSpaceDN w:val="0"/>
        <w:bidi w:val="0"/>
        <w:adjustRightInd/>
        <w:snapToGrid/>
        <w:spacing w:line="52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7、大力推动农村派出所管理道路交通安全机制建设。</w:t>
      </w:r>
    </w:p>
    <w:p>
      <w:pPr>
        <w:keepNext w:val="0"/>
        <w:keepLines w:val="0"/>
        <w:pageBreakBefore w:val="0"/>
        <w:widowControl w:val="0"/>
        <w:numPr>
          <w:ilvl w:val="0"/>
          <w:numId w:val="0"/>
        </w:numPr>
        <w:tabs>
          <w:tab w:val="left" w:pos="284"/>
        </w:tabs>
        <w:kinsoku/>
        <w:wordWrap/>
        <w:overflowPunct/>
        <w:topLinePunct w:val="0"/>
        <w:bidi w:val="0"/>
        <w:adjustRightInd/>
        <w:snapToGrid/>
        <w:spacing w:line="520" w:lineRule="exact"/>
        <w:ind w:right="-483" w:rightChars="-230"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（3）推进执法规范化建设</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1、开展执法问题专项整治及执法质量巡查。</w:t>
      </w:r>
    </w:p>
    <w:p>
      <w:pPr>
        <w:keepNext w:val="0"/>
        <w:keepLines w:val="0"/>
        <w:pageBreakBefore w:val="0"/>
        <w:widowControl w:val="0"/>
        <w:numPr>
          <w:ilvl w:val="0"/>
          <w:numId w:val="0"/>
        </w:numPr>
        <w:tabs>
          <w:tab w:val="left" w:pos="284"/>
        </w:tabs>
        <w:kinsoku/>
        <w:wordWrap/>
        <w:overflowPunct/>
        <w:topLinePunct w:val="0"/>
        <w:bidi w:val="0"/>
        <w:adjustRightInd/>
        <w:snapToGrid/>
        <w:spacing w:line="520" w:lineRule="exact"/>
        <w:ind w:right="-483" w:rightChars="-23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开展中级执法资格考试结果运用。</w:t>
      </w:r>
    </w:p>
    <w:p>
      <w:pPr>
        <w:keepNext w:val="0"/>
        <w:keepLines w:val="0"/>
        <w:pageBreakBefore w:val="0"/>
        <w:widowControl w:val="0"/>
        <w:numPr>
          <w:ilvl w:val="0"/>
          <w:numId w:val="0"/>
        </w:numPr>
        <w:tabs>
          <w:tab w:val="left" w:pos="284"/>
        </w:tabs>
        <w:kinsoku/>
        <w:wordWrap/>
        <w:overflowPunct/>
        <w:topLinePunct w:val="0"/>
        <w:bidi w:val="0"/>
        <w:adjustRightInd/>
        <w:snapToGrid/>
        <w:spacing w:line="520" w:lineRule="exact"/>
        <w:ind w:right="-483" w:rightChars="-23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3、全面实行讯问犯罪嫌疑人录音录像、推广执法记录仪。</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4、加强涉案财物规范管理及信息公开、行政处罚决定书公开工作。</w:t>
      </w:r>
    </w:p>
    <w:p>
      <w:pPr>
        <w:keepNext w:val="0"/>
        <w:keepLines w:val="0"/>
        <w:pageBreakBefore w:val="0"/>
        <w:widowControl w:val="0"/>
        <w:numPr>
          <w:ilvl w:val="0"/>
          <w:numId w:val="0"/>
        </w:numPr>
        <w:tabs>
          <w:tab w:val="left" w:pos="284"/>
        </w:tabs>
        <w:kinsoku/>
        <w:wordWrap/>
        <w:overflowPunct/>
        <w:topLinePunct w:val="0"/>
        <w:bidi w:val="0"/>
        <w:adjustRightInd/>
        <w:snapToGrid/>
        <w:spacing w:line="520" w:lineRule="exact"/>
        <w:ind w:right="-483" w:rightChars="-230"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（4）推进队伍正规化建设：</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1、开展教育训练实战专题比武、业务技能比武。</w:t>
      </w:r>
    </w:p>
    <w:p>
      <w:pPr>
        <w:keepNext w:val="0"/>
        <w:keepLines w:val="0"/>
        <w:pageBreakBefore w:val="0"/>
        <w:widowControl w:val="0"/>
        <w:numPr>
          <w:ilvl w:val="0"/>
          <w:numId w:val="0"/>
        </w:numPr>
        <w:tabs>
          <w:tab w:val="left" w:pos="284"/>
        </w:tabs>
        <w:kinsoku/>
        <w:wordWrap/>
        <w:overflowPunct/>
        <w:topLinePunct w:val="0"/>
        <w:bidi w:val="0"/>
        <w:adjustRightInd/>
        <w:snapToGrid/>
        <w:spacing w:line="520" w:lineRule="exact"/>
        <w:ind w:right="-483" w:rightChars="-23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2、</w:t>
      </w:r>
      <w:r>
        <w:rPr>
          <w:rFonts w:hint="eastAsia" w:ascii="仿宋" w:hAnsi="仿宋" w:eastAsia="仿宋" w:cs="仿宋"/>
          <w:sz w:val="28"/>
          <w:szCs w:val="28"/>
        </w:rPr>
        <w:t>推进市级交警网校平台建设与运用。</w:t>
      </w:r>
    </w:p>
    <w:p>
      <w:pPr>
        <w:keepNext w:val="0"/>
        <w:keepLines w:val="0"/>
        <w:pageBreakBefore w:val="0"/>
        <w:widowControl w:val="0"/>
        <w:numPr>
          <w:ilvl w:val="0"/>
          <w:numId w:val="0"/>
        </w:numPr>
        <w:tabs>
          <w:tab w:val="left" w:pos="284"/>
        </w:tabs>
        <w:kinsoku/>
        <w:wordWrap/>
        <w:overflowPunct/>
        <w:topLinePunct w:val="0"/>
        <w:bidi w:val="0"/>
        <w:adjustRightInd/>
        <w:snapToGrid/>
        <w:spacing w:line="520" w:lineRule="exact"/>
        <w:ind w:right="-483" w:rightChars="-23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3、加强政治建警，创新队伍建设与管理，创建各种优秀团队，树立一批先进典型</w:t>
      </w:r>
      <w:r>
        <w:rPr>
          <w:rFonts w:hint="eastAsia" w:ascii="仿宋" w:hAnsi="仿宋" w:eastAsia="仿宋" w:cs="仿宋"/>
          <w:sz w:val="28"/>
          <w:szCs w:val="28"/>
          <w:lang w:eastAsia="zh-CN"/>
        </w:rPr>
        <w:t>。</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4、加强会计人员配备及培训工作,完善财务管理制度，健全内部控制制度。</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5、落实吃皇粮政策。</w:t>
      </w:r>
    </w:p>
    <w:p>
      <w:pPr>
        <w:keepNext w:val="0"/>
        <w:keepLines w:val="0"/>
        <w:pageBreakBefore w:val="0"/>
        <w:widowControl w:val="0"/>
        <w:numPr>
          <w:ilvl w:val="0"/>
          <w:numId w:val="0"/>
        </w:numPr>
        <w:tabs>
          <w:tab w:val="left" w:pos="284"/>
        </w:tabs>
        <w:kinsoku/>
        <w:wordWrap/>
        <w:overflowPunct/>
        <w:topLinePunct w:val="0"/>
        <w:bidi w:val="0"/>
        <w:adjustRightInd/>
        <w:snapToGrid/>
        <w:spacing w:line="520" w:lineRule="exact"/>
        <w:ind w:right="-483" w:rightChars="-230"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（5）严格控制各项支出比例及进度。</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部门重点支出占部门整体支出的比例</w:t>
      </w:r>
      <w:r>
        <w:rPr>
          <w:rFonts w:hint="eastAsia" w:ascii="仿宋" w:hAnsi="仿宋" w:eastAsia="仿宋" w:cs="仿宋"/>
          <w:sz w:val="28"/>
          <w:szCs w:val="28"/>
          <w:lang w:eastAsia="zh-CN"/>
        </w:rPr>
        <w:t>控制在</w:t>
      </w:r>
      <w:r>
        <w:rPr>
          <w:rFonts w:hint="eastAsia" w:ascii="仿宋" w:hAnsi="仿宋" w:eastAsia="仿宋" w:cs="仿宋"/>
          <w:sz w:val="28"/>
          <w:szCs w:val="28"/>
        </w:rPr>
        <w:t>69%</w:t>
      </w:r>
      <w:r>
        <w:rPr>
          <w:rFonts w:hint="eastAsia" w:ascii="仿宋" w:hAnsi="仿宋" w:eastAsia="仿宋" w:cs="仿宋"/>
          <w:sz w:val="28"/>
          <w:szCs w:val="28"/>
          <w:lang w:eastAsia="zh-CN"/>
        </w:rPr>
        <w:t>左右</w:t>
      </w:r>
      <w:r>
        <w:rPr>
          <w:rFonts w:hint="eastAsia" w:ascii="仿宋" w:hAnsi="仿宋" w:eastAsia="仿宋" w:cs="仿宋"/>
          <w:sz w:val="28"/>
          <w:szCs w:val="28"/>
        </w:rPr>
        <w:t>;</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三公经费增减率</w:t>
      </w:r>
      <w:r>
        <w:rPr>
          <w:rFonts w:hint="eastAsia" w:ascii="仿宋" w:hAnsi="仿宋" w:eastAsia="仿宋" w:cs="仿宋"/>
          <w:sz w:val="28"/>
          <w:szCs w:val="28"/>
          <w:lang w:eastAsia="zh-CN"/>
        </w:rPr>
        <w:t>控制在</w:t>
      </w:r>
      <w:r>
        <w:rPr>
          <w:rFonts w:hint="eastAsia" w:ascii="仿宋" w:hAnsi="仿宋" w:eastAsia="仿宋" w:cs="仿宋"/>
          <w:sz w:val="28"/>
          <w:szCs w:val="28"/>
        </w:rPr>
        <w:t>-20%以上;</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部门整体支出支付进度:基本支出按月付款，项目支出10月底完成80%;</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部门预决算和三公经费预决算定期外网公开,透明度100%;</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政府采购执行率：100</w:t>
      </w:r>
      <w:r>
        <w:rPr>
          <w:rFonts w:hint="eastAsia" w:ascii="仿宋" w:hAnsi="仿宋" w:eastAsia="仿宋" w:cs="仿宋"/>
          <w:sz w:val="28"/>
          <w:szCs w:val="28"/>
          <w:lang w:val="en-US" w:eastAsia="zh-CN"/>
        </w:rPr>
        <w:t>%</w:t>
      </w:r>
      <w:r>
        <w:rPr>
          <w:rFonts w:hint="eastAsia" w:ascii="仿宋" w:hAnsi="仿宋" w:eastAsia="仿宋" w:cs="仿宋"/>
          <w:sz w:val="28"/>
          <w:szCs w:val="28"/>
        </w:rPr>
        <w:t>;</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重点工作办结率：100%;</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交通事故结案率:90%;</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8、</w:t>
      </w:r>
      <w:r>
        <w:rPr>
          <w:rFonts w:hint="eastAsia" w:ascii="仿宋" w:hAnsi="仿宋" w:eastAsia="仿宋" w:cs="仿宋"/>
          <w:sz w:val="28"/>
          <w:szCs w:val="28"/>
        </w:rPr>
        <w:t>车驾管业务窗口“一站式”服务，群众满意度100%;</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560" w:firstLineChars="200"/>
        <w:textAlignment w:val="auto"/>
        <w:rPr>
          <w:rFonts w:hint="eastAsia"/>
          <w:sz w:val="28"/>
          <w:szCs w:val="28"/>
        </w:rPr>
      </w:pPr>
      <w:r>
        <w:rPr>
          <w:rFonts w:hint="eastAsia" w:ascii="仿宋" w:hAnsi="仿宋" w:eastAsia="仿宋" w:cs="仿宋"/>
          <w:sz w:val="28"/>
          <w:szCs w:val="28"/>
          <w:lang w:val="en-US" w:eastAsia="zh-CN"/>
        </w:rPr>
        <w:t>9、</w:t>
      </w:r>
      <w:r>
        <w:rPr>
          <w:rFonts w:hint="eastAsia" w:ascii="仿宋" w:hAnsi="仿宋" w:eastAsia="仿宋" w:cs="仿宋"/>
          <w:sz w:val="28"/>
          <w:szCs w:val="28"/>
        </w:rPr>
        <w:t>成本节约率20%。</w:t>
      </w:r>
    </w:p>
    <w:p>
      <w:pPr>
        <w:autoSpaceDE w:val="0"/>
        <w:autoSpaceDN w:val="0"/>
        <w:spacing w:line="520" w:lineRule="exact"/>
        <w:rPr>
          <w:rFonts w:ascii="仿宋" w:hAnsi="仿宋" w:eastAsia="仿宋" w:cs="宋体"/>
          <w:b/>
          <w:bCs/>
          <w:sz w:val="32"/>
          <w:szCs w:val="32"/>
        </w:rPr>
      </w:pPr>
      <w:r>
        <w:rPr>
          <w:rFonts w:hint="eastAsia" w:ascii="仿宋" w:hAnsi="仿宋" w:eastAsia="仿宋" w:cs="宋体"/>
          <w:b/>
          <w:bCs/>
          <w:sz w:val="32"/>
          <w:szCs w:val="32"/>
          <w:lang w:eastAsia="zh-CN"/>
        </w:rPr>
        <w:t>二</w:t>
      </w:r>
      <w:r>
        <w:rPr>
          <w:rFonts w:hint="eastAsia" w:ascii="仿宋" w:hAnsi="仿宋" w:eastAsia="仿宋" w:cs="宋体"/>
          <w:b/>
          <w:bCs/>
          <w:sz w:val="28"/>
          <w:szCs w:val="28"/>
        </w:rPr>
        <w:t>、部门决算情况</w:t>
      </w:r>
      <w:r>
        <w:rPr>
          <w:rFonts w:hint="eastAsia" w:ascii="仿宋" w:hAnsi="仿宋" w:eastAsia="仿宋" w:cs="宋体"/>
          <w:b/>
          <w:bCs/>
          <w:sz w:val="32"/>
          <w:szCs w:val="32"/>
        </w:rPr>
        <w:t>。</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580" w:lineRule="atLeast"/>
        <w:ind w:left="0" w:right="0" w:firstLine="840" w:firstLineChars="300"/>
        <w:jc w:val="both"/>
        <w:rPr>
          <w:rFonts w:hint="eastAsia" w:ascii="仿宋" w:hAnsi="仿宋" w:eastAsia="仿宋" w:cs="仿宋"/>
          <w:b w:val="0"/>
          <w:bCs w:val="0"/>
          <w:i w:val="0"/>
          <w:iCs w:val="0"/>
          <w:caps w:val="0"/>
          <w:color w:val="000000"/>
          <w:spacing w:val="0"/>
          <w:sz w:val="28"/>
          <w:szCs w:val="28"/>
          <w:shd w:val="clear" w:fill="FFFFFF"/>
          <w:lang w:val="en-US" w:eastAsia="zh-CN"/>
        </w:rPr>
      </w:pPr>
      <w:r>
        <w:rPr>
          <w:rFonts w:hint="eastAsia" w:ascii="仿宋" w:hAnsi="仿宋" w:eastAsia="仿宋" w:cs="仿宋"/>
          <w:b w:val="0"/>
          <w:bCs w:val="0"/>
          <w:i w:val="0"/>
          <w:iCs w:val="0"/>
          <w:caps w:val="0"/>
          <w:color w:val="000000"/>
          <w:spacing w:val="0"/>
          <w:sz w:val="28"/>
          <w:szCs w:val="28"/>
          <w:shd w:val="clear" w:fill="FFFFFF"/>
          <w:lang w:val="en-US" w:eastAsia="zh-CN"/>
        </w:rPr>
        <w:t>2021年部门整体决算总收入13074.22万元，其中一般公共预算财政拨款收入13042.94万元，其他收入13万元，本年收入合计13055.94万元，年初结转和结余18.28万元，总计13074.22万元。</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580" w:lineRule="atLeast"/>
        <w:ind w:left="0" w:right="0" w:firstLine="840" w:firstLineChars="300"/>
        <w:jc w:val="both"/>
        <w:rPr>
          <w:rFonts w:hint="default" w:ascii="仿宋" w:hAnsi="仿宋" w:eastAsia="仿宋" w:cs="仿宋"/>
          <w:b w:val="0"/>
          <w:bCs w:val="0"/>
          <w:i w:val="0"/>
          <w:iCs w:val="0"/>
          <w:caps w:val="0"/>
          <w:color w:val="000000"/>
          <w:spacing w:val="0"/>
          <w:sz w:val="28"/>
          <w:szCs w:val="28"/>
          <w:shd w:val="clear" w:fill="FFFFFF"/>
          <w:lang w:val="en-US" w:eastAsia="zh-CN"/>
        </w:rPr>
      </w:pPr>
      <w:r>
        <w:rPr>
          <w:rFonts w:hint="eastAsia" w:ascii="仿宋" w:hAnsi="仿宋" w:eastAsia="仿宋" w:cs="仿宋"/>
          <w:b w:val="0"/>
          <w:bCs w:val="0"/>
          <w:i w:val="0"/>
          <w:iCs w:val="0"/>
          <w:caps w:val="0"/>
          <w:color w:val="000000"/>
          <w:spacing w:val="0"/>
          <w:sz w:val="28"/>
          <w:szCs w:val="28"/>
          <w:shd w:val="clear" w:fill="FFFFFF"/>
          <w:lang w:val="en-US" w:eastAsia="zh-CN"/>
        </w:rPr>
        <w:t>2021年部门整体决算总支出13074.22万元，其中基本支出13032.73万元，占部门总支出的99.68%；项目支出41.49万元，占部门总支出的0.32%。具体情况如下：</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2"/>
        <w:jc w:val="both"/>
        <w:rPr>
          <w:rFonts w:hint="eastAsia" w:ascii="仿宋" w:hAnsi="仿宋" w:eastAsia="仿宋" w:cs="仿宋"/>
          <w:b/>
          <w:bCs/>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fill="FFFFFF"/>
        </w:rPr>
        <w:t>（一）基本支出情况</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30" w:lineRule="atLeast"/>
        <w:ind w:left="0" w:right="0" w:firstLine="960"/>
        <w:jc w:val="left"/>
        <w:rPr>
          <w:rFonts w:hint="eastAsia" w:ascii="仿宋" w:hAnsi="仿宋" w:eastAsia="仿宋" w:cs="仿宋"/>
          <w:i w:val="0"/>
          <w:iCs w:val="0"/>
          <w:caps w:val="0"/>
          <w:color w:val="000000"/>
          <w:spacing w:val="0"/>
          <w:sz w:val="28"/>
          <w:szCs w:val="28"/>
          <w:shd w:val="clear" w:fill="FFFFFF"/>
          <w:lang w:val="en-US" w:eastAsia="zh-CN"/>
        </w:rPr>
      </w:pPr>
      <w:r>
        <w:rPr>
          <w:rFonts w:hint="eastAsia" w:ascii="仿宋" w:hAnsi="仿宋" w:eastAsia="仿宋" w:cs="仿宋"/>
          <w:i w:val="0"/>
          <w:iCs w:val="0"/>
          <w:caps w:val="0"/>
          <w:color w:val="000000"/>
          <w:spacing w:val="0"/>
          <w:sz w:val="28"/>
          <w:szCs w:val="28"/>
          <w:shd w:val="clear" w:fill="FFFFFF"/>
        </w:rPr>
        <w:t>20</w:t>
      </w:r>
      <w:r>
        <w:rPr>
          <w:rFonts w:hint="eastAsia" w:ascii="仿宋" w:hAnsi="仿宋" w:eastAsia="仿宋" w:cs="仿宋"/>
          <w:i w:val="0"/>
          <w:iCs w:val="0"/>
          <w:caps w:val="0"/>
          <w:color w:val="000000"/>
          <w:spacing w:val="0"/>
          <w:sz w:val="28"/>
          <w:szCs w:val="28"/>
          <w:shd w:val="clear" w:fill="FFFFFF"/>
          <w:lang w:val="en-US" w:eastAsia="zh-CN"/>
        </w:rPr>
        <w:t>21</w:t>
      </w:r>
      <w:r>
        <w:rPr>
          <w:rFonts w:hint="eastAsia" w:ascii="仿宋" w:hAnsi="仿宋" w:eastAsia="仿宋" w:cs="仿宋"/>
          <w:i w:val="0"/>
          <w:iCs w:val="0"/>
          <w:caps w:val="0"/>
          <w:color w:val="000000"/>
          <w:spacing w:val="0"/>
          <w:sz w:val="28"/>
          <w:szCs w:val="28"/>
          <w:shd w:val="clear" w:fill="FFFFFF"/>
        </w:rPr>
        <w:t>年度一般公共预算财政拨款基本支出</w:t>
      </w:r>
      <w:r>
        <w:rPr>
          <w:rFonts w:hint="eastAsia" w:ascii="仿宋" w:hAnsi="仿宋" w:eastAsia="仿宋" w:cs="仿宋"/>
          <w:i w:val="0"/>
          <w:iCs w:val="0"/>
          <w:caps w:val="0"/>
          <w:color w:val="000000"/>
          <w:spacing w:val="0"/>
          <w:sz w:val="28"/>
          <w:szCs w:val="28"/>
          <w:shd w:val="clear" w:fill="FFFFFF"/>
          <w:lang w:val="en-US" w:eastAsia="zh-CN"/>
        </w:rPr>
        <w:t>13032.73</w:t>
      </w:r>
      <w:r>
        <w:rPr>
          <w:rFonts w:hint="eastAsia" w:ascii="仿宋" w:hAnsi="仿宋" w:eastAsia="仿宋" w:cs="仿宋"/>
          <w:i w:val="0"/>
          <w:iCs w:val="0"/>
          <w:caps w:val="0"/>
          <w:color w:val="000000"/>
          <w:spacing w:val="0"/>
          <w:sz w:val="28"/>
          <w:szCs w:val="28"/>
          <w:shd w:val="clear" w:fill="FFFFFF"/>
        </w:rPr>
        <w:t>万元，其中：人员经费</w:t>
      </w:r>
      <w:r>
        <w:rPr>
          <w:rFonts w:hint="eastAsia" w:ascii="仿宋" w:hAnsi="仿宋" w:eastAsia="仿宋" w:cs="仿宋"/>
          <w:i w:val="0"/>
          <w:iCs w:val="0"/>
          <w:caps w:val="0"/>
          <w:color w:val="000000"/>
          <w:spacing w:val="0"/>
          <w:sz w:val="28"/>
          <w:szCs w:val="28"/>
          <w:shd w:val="clear" w:fill="FFFFFF"/>
          <w:lang w:val="en-US" w:eastAsia="zh-CN"/>
        </w:rPr>
        <w:t>8376.86</w:t>
      </w:r>
      <w:r>
        <w:rPr>
          <w:rFonts w:hint="eastAsia" w:ascii="仿宋" w:hAnsi="仿宋" w:eastAsia="仿宋" w:cs="仿宋"/>
          <w:i w:val="0"/>
          <w:iCs w:val="0"/>
          <w:caps w:val="0"/>
          <w:color w:val="000000"/>
          <w:spacing w:val="0"/>
          <w:sz w:val="28"/>
          <w:szCs w:val="28"/>
          <w:shd w:val="clear" w:fill="FFFFFF"/>
        </w:rPr>
        <w:t>万元，占基本支出的</w:t>
      </w:r>
      <w:r>
        <w:rPr>
          <w:rFonts w:hint="eastAsia" w:ascii="仿宋" w:hAnsi="仿宋" w:eastAsia="仿宋" w:cs="仿宋"/>
          <w:i w:val="0"/>
          <w:iCs w:val="0"/>
          <w:caps w:val="0"/>
          <w:color w:val="000000"/>
          <w:spacing w:val="0"/>
          <w:sz w:val="28"/>
          <w:szCs w:val="28"/>
          <w:shd w:val="clear" w:fill="FFFFFF"/>
          <w:lang w:val="en-US" w:eastAsia="zh-CN"/>
        </w:rPr>
        <w:t>64.28</w:t>
      </w:r>
      <w:r>
        <w:rPr>
          <w:rFonts w:hint="eastAsia" w:ascii="仿宋" w:hAnsi="仿宋" w:eastAsia="仿宋" w:cs="仿宋"/>
          <w:i w:val="0"/>
          <w:iCs w:val="0"/>
          <w:caps w:val="0"/>
          <w:color w:val="000000"/>
          <w:spacing w:val="0"/>
          <w:sz w:val="28"/>
          <w:szCs w:val="28"/>
          <w:shd w:val="clear" w:fill="FFFFFF"/>
        </w:rPr>
        <w:t>%</w:t>
      </w:r>
      <w:r>
        <w:rPr>
          <w:rFonts w:hint="eastAsia" w:ascii="仿宋" w:hAnsi="仿宋" w:eastAsia="仿宋" w:cs="仿宋"/>
          <w:i w:val="0"/>
          <w:iCs w:val="0"/>
          <w:caps w:val="0"/>
          <w:color w:val="000000"/>
          <w:spacing w:val="0"/>
          <w:sz w:val="28"/>
          <w:szCs w:val="28"/>
          <w:shd w:val="clear" w:fill="FFFFFF"/>
          <w:lang w:eastAsia="zh-CN"/>
        </w:rPr>
        <w:t>。公用经费</w:t>
      </w:r>
      <w:r>
        <w:rPr>
          <w:rFonts w:hint="eastAsia" w:ascii="仿宋" w:hAnsi="仿宋" w:eastAsia="仿宋" w:cs="仿宋"/>
          <w:i w:val="0"/>
          <w:iCs w:val="0"/>
          <w:caps w:val="0"/>
          <w:color w:val="000000"/>
          <w:spacing w:val="0"/>
          <w:sz w:val="28"/>
          <w:szCs w:val="28"/>
          <w:shd w:val="clear" w:fill="FFFFFF"/>
          <w:lang w:val="en-US" w:eastAsia="zh-CN"/>
        </w:rPr>
        <w:t>4655.87万元，占基本支出的35.72%。</w:t>
      </w:r>
    </w:p>
    <w:p>
      <w:pPr>
        <w:pStyle w:val="8"/>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30" w:lineRule="atLeast"/>
        <w:ind w:left="0" w:right="0" w:firstLine="960"/>
        <w:jc w:val="left"/>
        <w:rPr>
          <w:rFonts w:hint="eastAsia" w:ascii="仿宋" w:hAnsi="仿宋" w:eastAsia="仿宋" w:cs="仿宋"/>
          <w:i w:val="0"/>
          <w:iCs w:val="0"/>
          <w:caps w:val="0"/>
          <w:color w:val="000000"/>
          <w:spacing w:val="0"/>
          <w:sz w:val="28"/>
          <w:szCs w:val="28"/>
          <w:shd w:val="clear" w:fill="FFFFFF"/>
          <w:lang w:val="en-US" w:eastAsia="zh-CN"/>
        </w:rPr>
      </w:pPr>
      <w:r>
        <w:rPr>
          <w:rFonts w:hint="eastAsia" w:ascii="仿宋" w:hAnsi="仿宋" w:eastAsia="仿宋" w:cs="仿宋"/>
          <w:i w:val="0"/>
          <w:iCs w:val="0"/>
          <w:caps w:val="0"/>
          <w:color w:val="000000"/>
          <w:spacing w:val="0"/>
          <w:sz w:val="28"/>
          <w:szCs w:val="28"/>
          <w:shd w:val="clear" w:fill="FFFFFF"/>
          <w:lang w:val="en-US" w:eastAsia="zh-CN"/>
        </w:rPr>
        <w:t>人员经费具体支出情况：</w:t>
      </w:r>
      <w:r>
        <w:rPr>
          <w:rFonts w:hint="eastAsia" w:ascii="仿宋" w:hAnsi="仿宋" w:eastAsia="仿宋" w:cs="仿宋"/>
          <w:i w:val="0"/>
          <w:iCs w:val="0"/>
          <w:caps w:val="0"/>
          <w:color w:val="000000"/>
          <w:spacing w:val="0"/>
          <w:sz w:val="28"/>
          <w:szCs w:val="28"/>
          <w:shd w:val="clear" w:fill="FFFFFF"/>
        </w:rPr>
        <w:t>基本工资</w:t>
      </w:r>
      <w:r>
        <w:rPr>
          <w:rFonts w:hint="eastAsia" w:ascii="仿宋" w:hAnsi="仿宋" w:eastAsia="仿宋" w:cs="仿宋"/>
          <w:i w:val="0"/>
          <w:iCs w:val="0"/>
          <w:caps w:val="0"/>
          <w:color w:val="000000"/>
          <w:spacing w:val="0"/>
          <w:sz w:val="28"/>
          <w:szCs w:val="28"/>
          <w:shd w:val="clear" w:fill="FFFFFF"/>
          <w:lang w:val="en-US" w:eastAsia="zh-CN"/>
        </w:rPr>
        <w:t>1380.11万元，占人员经费支出的16.48%；</w:t>
      </w:r>
      <w:r>
        <w:rPr>
          <w:rFonts w:hint="eastAsia" w:ascii="仿宋" w:hAnsi="仿宋" w:eastAsia="仿宋" w:cs="仿宋"/>
          <w:i w:val="0"/>
          <w:iCs w:val="0"/>
          <w:caps w:val="0"/>
          <w:color w:val="000000"/>
          <w:spacing w:val="0"/>
          <w:sz w:val="28"/>
          <w:szCs w:val="28"/>
          <w:shd w:val="clear" w:fill="FFFFFF"/>
        </w:rPr>
        <w:t>津贴补贴</w:t>
      </w:r>
      <w:r>
        <w:rPr>
          <w:rFonts w:hint="eastAsia" w:ascii="仿宋" w:hAnsi="仿宋" w:eastAsia="仿宋" w:cs="仿宋"/>
          <w:i w:val="0"/>
          <w:iCs w:val="0"/>
          <w:caps w:val="0"/>
          <w:color w:val="000000"/>
          <w:spacing w:val="0"/>
          <w:sz w:val="28"/>
          <w:szCs w:val="28"/>
          <w:shd w:val="clear" w:fill="FFFFFF"/>
          <w:lang w:val="en-US" w:eastAsia="zh-CN"/>
        </w:rPr>
        <w:t>1853.97万元，占人员经费支出的22.13%；</w:t>
      </w:r>
      <w:r>
        <w:rPr>
          <w:rFonts w:hint="eastAsia" w:ascii="仿宋" w:hAnsi="仿宋" w:eastAsia="仿宋" w:cs="仿宋"/>
          <w:i w:val="0"/>
          <w:iCs w:val="0"/>
          <w:caps w:val="0"/>
          <w:color w:val="000000"/>
          <w:spacing w:val="0"/>
          <w:sz w:val="28"/>
          <w:szCs w:val="28"/>
          <w:shd w:val="clear" w:fill="FFFFFF"/>
        </w:rPr>
        <w:t>奖金</w:t>
      </w:r>
      <w:r>
        <w:rPr>
          <w:rFonts w:hint="eastAsia" w:ascii="仿宋" w:hAnsi="仿宋" w:eastAsia="仿宋" w:cs="仿宋"/>
          <w:i w:val="0"/>
          <w:iCs w:val="0"/>
          <w:caps w:val="0"/>
          <w:color w:val="000000"/>
          <w:spacing w:val="0"/>
          <w:sz w:val="28"/>
          <w:szCs w:val="28"/>
          <w:shd w:val="clear" w:fill="FFFFFF"/>
          <w:lang w:val="en-US" w:eastAsia="zh-CN"/>
        </w:rPr>
        <w:t>882.83万元，占人员经费支出的10.54%；机关事业单位基本养老缴费417.66万元，占人员经费支出的4.99%；职业年金缴费74.93万元，占人员经费支出的0.89%；职工基本医疗保险缴费408.68万元，占人员经费支出的4.88%；公务员医疗补助缴费129.81万元，占人员经费支出的1.55%；其他社会保障缴费8.17万元，占人员经费支出的0.1%；住房公积金缴费604.27万元，占人员经费支出的7.21%；对个人和家庭的补助462.58万元，占人员经费支出的5.52%；其他工资福利支出2153.85万元，占人员经费支出的25.71%。</w:t>
      </w:r>
    </w:p>
    <w:p>
      <w:pPr>
        <w:pStyle w:val="8"/>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30" w:lineRule="atLeast"/>
        <w:ind w:left="0" w:right="0" w:firstLine="960"/>
        <w:jc w:val="left"/>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公用经费</w:t>
      </w:r>
      <w:r>
        <w:rPr>
          <w:rFonts w:hint="eastAsia" w:ascii="仿宋" w:hAnsi="仿宋" w:eastAsia="仿宋" w:cs="仿宋"/>
          <w:i w:val="0"/>
          <w:iCs w:val="0"/>
          <w:caps w:val="0"/>
          <w:color w:val="000000"/>
          <w:spacing w:val="0"/>
          <w:sz w:val="28"/>
          <w:szCs w:val="28"/>
          <w:shd w:val="clear" w:fill="FFFFFF"/>
          <w:lang w:eastAsia="zh-CN"/>
        </w:rPr>
        <w:t>支出情况：</w:t>
      </w:r>
      <w:r>
        <w:rPr>
          <w:rFonts w:hint="default" w:ascii="Calibri" w:hAnsi="Calibri" w:eastAsia="仿宋" w:cs="Calibri"/>
          <w:i w:val="0"/>
          <w:iCs w:val="0"/>
          <w:caps w:val="0"/>
          <w:color w:val="000000"/>
          <w:spacing w:val="0"/>
          <w:sz w:val="24"/>
          <w:szCs w:val="24"/>
          <w:shd w:val="clear" w:fill="FFFFFF"/>
          <w:lang w:eastAsia="zh-CN"/>
        </w:rPr>
        <w:t>①</w:t>
      </w:r>
      <w:r>
        <w:rPr>
          <w:rFonts w:hint="eastAsia" w:ascii="仿宋" w:hAnsi="仿宋" w:eastAsia="仿宋" w:cs="仿宋"/>
          <w:i w:val="0"/>
          <w:iCs w:val="0"/>
          <w:caps w:val="0"/>
          <w:color w:val="000000"/>
          <w:spacing w:val="0"/>
          <w:sz w:val="28"/>
          <w:szCs w:val="28"/>
          <w:shd w:val="clear" w:fill="FFFFFF"/>
          <w:lang w:eastAsia="zh-CN"/>
        </w:rPr>
        <w:t>商品和服务支出</w:t>
      </w:r>
      <w:r>
        <w:rPr>
          <w:rFonts w:hint="eastAsia" w:ascii="仿宋" w:hAnsi="仿宋" w:eastAsia="仿宋" w:cs="仿宋"/>
          <w:i w:val="0"/>
          <w:iCs w:val="0"/>
          <w:caps w:val="0"/>
          <w:color w:val="000000"/>
          <w:spacing w:val="0"/>
          <w:sz w:val="28"/>
          <w:szCs w:val="28"/>
          <w:shd w:val="clear" w:fill="FFFFFF"/>
          <w:lang w:val="en-US" w:eastAsia="zh-CN"/>
        </w:rPr>
        <w:t>4083.96万元，占公用经费的87.72%。</w:t>
      </w:r>
      <w:r>
        <w:rPr>
          <w:rFonts w:hint="eastAsia" w:ascii="仿宋" w:hAnsi="仿宋" w:eastAsia="仿宋" w:cs="仿宋"/>
          <w:i w:val="0"/>
          <w:iCs w:val="0"/>
          <w:caps w:val="0"/>
          <w:color w:val="000000"/>
          <w:spacing w:val="0"/>
          <w:sz w:val="28"/>
          <w:szCs w:val="28"/>
          <w:shd w:val="clear" w:fill="FFFFFF"/>
          <w:lang w:eastAsia="zh-CN"/>
        </w:rPr>
        <w:t>其中</w:t>
      </w:r>
      <w:r>
        <w:rPr>
          <w:rFonts w:hint="eastAsia" w:ascii="仿宋" w:hAnsi="仿宋" w:eastAsia="仿宋" w:cs="仿宋"/>
          <w:i w:val="0"/>
          <w:iCs w:val="0"/>
          <w:caps w:val="0"/>
          <w:color w:val="000000"/>
          <w:spacing w:val="0"/>
          <w:sz w:val="28"/>
          <w:szCs w:val="28"/>
          <w:shd w:val="clear" w:fill="FFFFFF"/>
        </w:rPr>
        <w:t>办公费</w:t>
      </w:r>
      <w:r>
        <w:rPr>
          <w:rFonts w:hint="eastAsia" w:ascii="仿宋" w:hAnsi="仿宋" w:eastAsia="仿宋" w:cs="仿宋"/>
          <w:i w:val="0"/>
          <w:iCs w:val="0"/>
          <w:caps w:val="0"/>
          <w:color w:val="000000"/>
          <w:spacing w:val="0"/>
          <w:sz w:val="28"/>
          <w:szCs w:val="28"/>
          <w:shd w:val="clear" w:fill="FFFFFF"/>
          <w:lang w:val="en-US" w:eastAsia="zh-CN"/>
        </w:rPr>
        <w:t>119.71万元，占公用经费支出的2.57%</w:t>
      </w:r>
      <w:r>
        <w:rPr>
          <w:rFonts w:hint="eastAsia" w:ascii="仿宋" w:hAnsi="仿宋" w:eastAsia="仿宋" w:cs="仿宋"/>
          <w:i w:val="0"/>
          <w:iCs w:val="0"/>
          <w:caps w:val="0"/>
          <w:color w:val="000000"/>
          <w:spacing w:val="0"/>
          <w:sz w:val="28"/>
          <w:szCs w:val="28"/>
          <w:shd w:val="clear" w:fill="FFFFFF"/>
          <w:lang w:eastAsia="zh-CN"/>
        </w:rPr>
        <w:t>；</w:t>
      </w:r>
      <w:r>
        <w:rPr>
          <w:rFonts w:hint="eastAsia" w:ascii="仿宋" w:hAnsi="仿宋" w:eastAsia="仿宋" w:cs="仿宋"/>
          <w:i w:val="0"/>
          <w:iCs w:val="0"/>
          <w:caps w:val="0"/>
          <w:color w:val="000000"/>
          <w:spacing w:val="0"/>
          <w:sz w:val="28"/>
          <w:szCs w:val="28"/>
          <w:shd w:val="clear" w:fill="FFFFFF"/>
        </w:rPr>
        <w:t>印刷费</w:t>
      </w:r>
      <w:r>
        <w:rPr>
          <w:rFonts w:hint="eastAsia" w:ascii="仿宋" w:hAnsi="仿宋" w:eastAsia="仿宋" w:cs="仿宋"/>
          <w:i w:val="0"/>
          <w:iCs w:val="0"/>
          <w:caps w:val="0"/>
          <w:color w:val="000000"/>
          <w:spacing w:val="0"/>
          <w:sz w:val="28"/>
          <w:szCs w:val="28"/>
          <w:shd w:val="clear" w:fill="FFFFFF"/>
          <w:lang w:val="en-US" w:eastAsia="zh-CN"/>
        </w:rPr>
        <w:t>27.44万元，占公用经费支出的0.59%；</w:t>
      </w:r>
      <w:r>
        <w:rPr>
          <w:rFonts w:hint="eastAsia" w:ascii="仿宋" w:hAnsi="仿宋" w:eastAsia="仿宋" w:cs="仿宋"/>
          <w:i w:val="0"/>
          <w:iCs w:val="0"/>
          <w:caps w:val="0"/>
          <w:color w:val="000000"/>
          <w:spacing w:val="0"/>
          <w:sz w:val="28"/>
          <w:szCs w:val="28"/>
          <w:shd w:val="clear" w:fill="FFFFFF"/>
        </w:rPr>
        <w:t>咨询费</w:t>
      </w:r>
      <w:r>
        <w:rPr>
          <w:rFonts w:hint="eastAsia" w:ascii="仿宋" w:hAnsi="仿宋" w:eastAsia="仿宋" w:cs="仿宋"/>
          <w:i w:val="0"/>
          <w:iCs w:val="0"/>
          <w:caps w:val="0"/>
          <w:color w:val="000000"/>
          <w:spacing w:val="0"/>
          <w:sz w:val="28"/>
          <w:szCs w:val="28"/>
          <w:shd w:val="clear" w:fill="FFFFFF"/>
          <w:lang w:val="en-US" w:eastAsia="zh-CN"/>
        </w:rPr>
        <w:t>91.85万元，占公用经费支出的1.97%；</w:t>
      </w:r>
      <w:r>
        <w:rPr>
          <w:rFonts w:hint="eastAsia" w:ascii="仿宋" w:hAnsi="仿宋" w:eastAsia="仿宋" w:cs="仿宋"/>
          <w:i w:val="0"/>
          <w:iCs w:val="0"/>
          <w:caps w:val="0"/>
          <w:color w:val="000000"/>
          <w:spacing w:val="0"/>
          <w:sz w:val="28"/>
          <w:szCs w:val="28"/>
          <w:shd w:val="clear" w:fill="FFFFFF"/>
        </w:rPr>
        <w:t>水费</w:t>
      </w:r>
      <w:r>
        <w:rPr>
          <w:rFonts w:hint="eastAsia" w:ascii="仿宋" w:hAnsi="仿宋" w:eastAsia="仿宋" w:cs="仿宋"/>
          <w:i w:val="0"/>
          <w:iCs w:val="0"/>
          <w:caps w:val="0"/>
          <w:color w:val="000000"/>
          <w:spacing w:val="0"/>
          <w:sz w:val="28"/>
          <w:szCs w:val="28"/>
          <w:shd w:val="clear" w:fill="FFFFFF"/>
          <w:lang w:val="en-US" w:eastAsia="zh-CN"/>
        </w:rPr>
        <w:t>17.24万元，占公用经费支出的0.37%；</w:t>
      </w:r>
      <w:r>
        <w:rPr>
          <w:rFonts w:hint="eastAsia" w:ascii="仿宋" w:hAnsi="仿宋" w:eastAsia="仿宋" w:cs="仿宋"/>
          <w:i w:val="0"/>
          <w:iCs w:val="0"/>
          <w:caps w:val="0"/>
          <w:color w:val="000000"/>
          <w:spacing w:val="0"/>
          <w:sz w:val="28"/>
          <w:szCs w:val="28"/>
          <w:shd w:val="clear" w:fill="FFFFFF"/>
        </w:rPr>
        <w:t>电费</w:t>
      </w:r>
      <w:r>
        <w:rPr>
          <w:rFonts w:hint="eastAsia" w:ascii="仿宋" w:hAnsi="仿宋" w:eastAsia="仿宋" w:cs="仿宋"/>
          <w:i w:val="0"/>
          <w:iCs w:val="0"/>
          <w:caps w:val="0"/>
          <w:color w:val="000000"/>
          <w:spacing w:val="0"/>
          <w:sz w:val="28"/>
          <w:szCs w:val="28"/>
          <w:shd w:val="clear" w:fill="FFFFFF"/>
          <w:lang w:val="en-US" w:eastAsia="zh-CN"/>
        </w:rPr>
        <w:t>119.56万元，占公用经费支出的2.57%；</w:t>
      </w:r>
      <w:r>
        <w:rPr>
          <w:rFonts w:hint="eastAsia" w:ascii="仿宋" w:hAnsi="仿宋" w:eastAsia="仿宋" w:cs="仿宋"/>
          <w:i w:val="0"/>
          <w:iCs w:val="0"/>
          <w:caps w:val="0"/>
          <w:color w:val="000000"/>
          <w:spacing w:val="0"/>
          <w:sz w:val="28"/>
          <w:szCs w:val="28"/>
          <w:shd w:val="clear" w:fill="FFFFFF"/>
        </w:rPr>
        <w:t>邮电费</w:t>
      </w:r>
      <w:r>
        <w:rPr>
          <w:rFonts w:hint="eastAsia" w:ascii="仿宋" w:hAnsi="仿宋" w:eastAsia="仿宋" w:cs="仿宋"/>
          <w:i w:val="0"/>
          <w:iCs w:val="0"/>
          <w:caps w:val="0"/>
          <w:color w:val="000000"/>
          <w:spacing w:val="0"/>
          <w:sz w:val="28"/>
          <w:szCs w:val="28"/>
          <w:shd w:val="clear" w:fill="FFFFFF"/>
          <w:lang w:val="en-US" w:eastAsia="zh-CN"/>
        </w:rPr>
        <w:t>66.76万元，占公用经费支出的1.43%；</w:t>
      </w:r>
      <w:r>
        <w:rPr>
          <w:rFonts w:hint="eastAsia" w:ascii="仿宋" w:hAnsi="仿宋" w:eastAsia="仿宋" w:cs="仿宋"/>
          <w:i w:val="0"/>
          <w:iCs w:val="0"/>
          <w:caps w:val="0"/>
          <w:color w:val="000000"/>
          <w:spacing w:val="0"/>
          <w:sz w:val="28"/>
          <w:szCs w:val="28"/>
          <w:shd w:val="clear" w:fill="FFFFFF"/>
        </w:rPr>
        <w:t>物业管理费</w:t>
      </w:r>
      <w:r>
        <w:rPr>
          <w:rFonts w:hint="eastAsia" w:ascii="仿宋" w:hAnsi="仿宋" w:eastAsia="仿宋" w:cs="仿宋"/>
          <w:i w:val="0"/>
          <w:iCs w:val="0"/>
          <w:caps w:val="0"/>
          <w:color w:val="000000"/>
          <w:spacing w:val="0"/>
          <w:sz w:val="28"/>
          <w:szCs w:val="28"/>
          <w:shd w:val="clear" w:fill="FFFFFF"/>
          <w:lang w:val="en-US" w:eastAsia="zh-CN"/>
        </w:rPr>
        <w:t>209.12万元，占公用经费支出的4.49%</w:t>
      </w:r>
      <w:r>
        <w:rPr>
          <w:rFonts w:hint="eastAsia" w:ascii="仿宋" w:hAnsi="仿宋" w:eastAsia="仿宋" w:cs="仿宋"/>
          <w:i w:val="0"/>
          <w:iCs w:val="0"/>
          <w:caps w:val="0"/>
          <w:color w:val="000000"/>
          <w:spacing w:val="0"/>
          <w:sz w:val="28"/>
          <w:szCs w:val="28"/>
          <w:shd w:val="clear" w:fill="FFFFFF"/>
          <w:lang w:eastAsia="zh-CN"/>
        </w:rPr>
        <w:t>；</w:t>
      </w:r>
      <w:r>
        <w:rPr>
          <w:rFonts w:hint="eastAsia" w:ascii="仿宋" w:hAnsi="仿宋" w:eastAsia="仿宋" w:cs="仿宋"/>
          <w:i w:val="0"/>
          <w:iCs w:val="0"/>
          <w:caps w:val="0"/>
          <w:color w:val="000000"/>
          <w:spacing w:val="0"/>
          <w:sz w:val="28"/>
          <w:szCs w:val="28"/>
          <w:shd w:val="clear" w:fill="FFFFFF"/>
        </w:rPr>
        <w:t>差旅费</w:t>
      </w:r>
      <w:r>
        <w:rPr>
          <w:rFonts w:hint="eastAsia" w:ascii="仿宋" w:hAnsi="仿宋" w:eastAsia="仿宋" w:cs="仿宋"/>
          <w:i w:val="0"/>
          <w:iCs w:val="0"/>
          <w:caps w:val="0"/>
          <w:color w:val="000000"/>
          <w:spacing w:val="0"/>
          <w:sz w:val="28"/>
          <w:szCs w:val="28"/>
          <w:shd w:val="clear" w:fill="FFFFFF"/>
          <w:lang w:val="en-US" w:eastAsia="zh-CN"/>
        </w:rPr>
        <w:t>25.77万元，占公用经费支出的0.55%</w:t>
      </w:r>
      <w:r>
        <w:rPr>
          <w:rFonts w:hint="eastAsia" w:ascii="仿宋" w:hAnsi="仿宋" w:eastAsia="仿宋" w:cs="仿宋"/>
          <w:i w:val="0"/>
          <w:iCs w:val="0"/>
          <w:caps w:val="0"/>
          <w:color w:val="000000"/>
          <w:spacing w:val="0"/>
          <w:sz w:val="28"/>
          <w:szCs w:val="28"/>
          <w:shd w:val="clear" w:fill="FFFFFF"/>
          <w:lang w:eastAsia="zh-CN"/>
        </w:rPr>
        <w:t>；</w:t>
      </w:r>
      <w:r>
        <w:rPr>
          <w:rFonts w:hint="eastAsia" w:ascii="仿宋" w:hAnsi="仿宋" w:eastAsia="仿宋" w:cs="仿宋"/>
          <w:i w:val="0"/>
          <w:iCs w:val="0"/>
          <w:caps w:val="0"/>
          <w:color w:val="000000"/>
          <w:spacing w:val="0"/>
          <w:sz w:val="28"/>
          <w:szCs w:val="28"/>
          <w:shd w:val="clear" w:fill="FFFFFF"/>
        </w:rPr>
        <w:t>维修（护）费</w:t>
      </w:r>
      <w:r>
        <w:rPr>
          <w:rFonts w:hint="eastAsia" w:ascii="仿宋" w:hAnsi="仿宋" w:eastAsia="仿宋" w:cs="仿宋"/>
          <w:i w:val="0"/>
          <w:iCs w:val="0"/>
          <w:caps w:val="0"/>
          <w:color w:val="000000"/>
          <w:spacing w:val="0"/>
          <w:sz w:val="28"/>
          <w:szCs w:val="28"/>
          <w:shd w:val="clear" w:fill="FFFFFF"/>
          <w:lang w:val="en-US" w:eastAsia="zh-CN"/>
        </w:rPr>
        <w:t>224.84万元，占公用经费支出的4.83%</w:t>
      </w:r>
      <w:r>
        <w:rPr>
          <w:rFonts w:hint="eastAsia" w:ascii="仿宋" w:hAnsi="仿宋" w:eastAsia="仿宋" w:cs="仿宋"/>
          <w:i w:val="0"/>
          <w:iCs w:val="0"/>
          <w:caps w:val="0"/>
          <w:color w:val="000000"/>
          <w:spacing w:val="0"/>
          <w:sz w:val="28"/>
          <w:szCs w:val="28"/>
          <w:shd w:val="clear" w:fill="FFFFFF"/>
          <w:lang w:eastAsia="zh-CN"/>
        </w:rPr>
        <w:t>；</w:t>
      </w:r>
      <w:r>
        <w:rPr>
          <w:rFonts w:hint="eastAsia" w:ascii="仿宋" w:hAnsi="仿宋" w:eastAsia="仿宋" w:cs="仿宋"/>
          <w:i w:val="0"/>
          <w:iCs w:val="0"/>
          <w:caps w:val="0"/>
          <w:color w:val="000000"/>
          <w:spacing w:val="0"/>
          <w:sz w:val="28"/>
          <w:szCs w:val="28"/>
          <w:shd w:val="clear" w:fill="FFFFFF"/>
        </w:rPr>
        <w:t>租赁费</w:t>
      </w:r>
      <w:r>
        <w:rPr>
          <w:rFonts w:hint="eastAsia" w:ascii="仿宋" w:hAnsi="仿宋" w:eastAsia="仿宋" w:cs="仿宋"/>
          <w:i w:val="0"/>
          <w:iCs w:val="0"/>
          <w:caps w:val="0"/>
          <w:color w:val="000000"/>
          <w:spacing w:val="0"/>
          <w:sz w:val="28"/>
          <w:szCs w:val="28"/>
          <w:shd w:val="clear" w:fill="FFFFFF"/>
          <w:lang w:val="en-US" w:eastAsia="zh-CN"/>
        </w:rPr>
        <w:t>452.22万元，占公用经费支出的9.71%</w:t>
      </w:r>
      <w:r>
        <w:rPr>
          <w:rFonts w:hint="eastAsia" w:ascii="仿宋" w:hAnsi="仿宋" w:eastAsia="仿宋" w:cs="仿宋"/>
          <w:i w:val="0"/>
          <w:iCs w:val="0"/>
          <w:caps w:val="0"/>
          <w:color w:val="000000"/>
          <w:spacing w:val="0"/>
          <w:sz w:val="28"/>
          <w:szCs w:val="28"/>
          <w:shd w:val="clear" w:fill="FFFFFF"/>
          <w:lang w:eastAsia="zh-CN"/>
        </w:rPr>
        <w:t>；</w:t>
      </w:r>
      <w:r>
        <w:rPr>
          <w:rFonts w:hint="eastAsia" w:ascii="仿宋" w:hAnsi="仿宋" w:eastAsia="仿宋" w:cs="仿宋"/>
          <w:i w:val="0"/>
          <w:iCs w:val="0"/>
          <w:caps w:val="0"/>
          <w:color w:val="000000"/>
          <w:spacing w:val="0"/>
          <w:sz w:val="28"/>
          <w:szCs w:val="28"/>
          <w:shd w:val="clear" w:fill="FFFFFF"/>
        </w:rPr>
        <w:t>会议费</w:t>
      </w:r>
      <w:r>
        <w:rPr>
          <w:rFonts w:hint="eastAsia" w:ascii="仿宋" w:hAnsi="仿宋" w:eastAsia="仿宋" w:cs="仿宋"/>
          <w:i w:val="0"/>
          <w:iCs w:val="0"/>
          <w:caps w:val="0"/>
          <w:color w:val="000000"/>
          <w:spacing w:val="0"/>
          <w:sz w:val="28"/>
          <w:szCs w:val="28"/>
          <w:shd w:val="clear" w:fill="FFFFFF"/>
          <w:lang w:val="en-US" w:eastAsia="zh-CN"/>
        </w:rPr>
        <w:t>4.02万元，占公用经费支出的0.09%</w:t>
      </w:r>
      <w:r>
        <w:rPr>
          <w:rFonts w:hint="eastAsia" w:ascii="仿宋" w:hAnsi="仿宋" w:eastAsia="仿宋" w:cs="仿宋"/>
          <w:i w:val="0"/>
          <w:iCs w:val="0"/>
          <w:caps w:val="0"/>
          <w:color w:val="000000"/>
          <w:spacing w:val="0"/>
          <w:sz w:val="28"/>
          <w:szCs w:val="28"/>
          <w:shd w:val="clear" w:fill="FFFFFF"/>
          <w:lang w:eastAsia="zh-CN"/>
        </w:rPr>
        <w:t>；</w:t>
      </w:r>
      <w:r>
        <w:rPr>
          <w:rFonts w:hint="eastAsia" w:ascii="仿宋" w:hAnsi="仿宋" w:eastAsia="仿宋" w:cs="仿宋"/>
          <w:i w:val="0"/>
          <w:iCs w:val="0"/>
          <w:caps w:val="0"/>
          <w:color w:val="000000"/>
          <w:spacing w:val="0"/>
          <w:sz w:val="28"/>
          <w:szCs w:val="28"/>
          <w:shd w:val="clear" w:fill="FFFFFF"/>
        </w:rPr>
        <w:t>公务接待费</w:t>
      </w:r>
      <w:r>
        <w:rPr>
          <w:rFonts w:hint="eastAsia" w:ascii="仿宋" w:hAnsi="仿宋" w:eastAsia="仿宋" w:cs="仿宋"/>
          <w:i w:val="0"/>
          <w:iCs w:val="0"/>
          <w:caps w:val="0"/>
          <w:color w:val="000000"/>
          <w:spacing w:val="0"/>
          <w:sz w:val="28"/>
          <w:szCs w:val="28"/>
          <w:shd w:val="clear" w:fill="FFFFFF"/>
          <w:lang w:val="en-US" w:eastAsia="zh-CN"/>
        </w:rPr>
        <w:t>1.33万元，占公用经费支出的0.03%</w:t>
      </w:r>
      <w:r>
        <w:rPr>
          <w:rFonts w:hint="eastAsia" w:ascii="仿宋" w:hAnsi="仿宋" w:eastAsia="仿宋" w:cs="仿宋"/>
          <w:i w:val="0"/>
          <w:iCs w:val="0"/>
          <w:caps w:val="0"/>
          <w:color w:val="000000"/>
          <w:spacing w:val="0"/>
          <w:sz w:val="28"/>
          <w:szCs w:val="28"/>
          <w:shd w:val="clear" w:fill="FFFFFF"/>
          <w:lang w:eastAsia="zh-CN"/>
        </w:rPr>
        <w:t>；被装购置费</w:t>
      </w:r>
      <w:r>
        <w:rPr>
          <w:rFonts w:hint="eastAsia" w:ascii="仿宋" w:hAnsi="仿宋" w:eastAsia="仿宋" w:cs="仿宋"/>
          <w:i w:val="0"/>
          <w:iCs w:val="0"/>
          <w:caps w:val="0"/>
          <w:color w:val="000000"/>
          <w:spacing w:val="0"/>
          <w:sz w:val="28"/>
          <w:szCs w:val="28"/>
          <w:shd w:val="clear" w:fill="FFFFFF"/>
          <w:lang w:val="en-US" w:eastAsia="zh-CN"/>
        </w:rPr>
        <w:t>55.03万元，占公用经费支出的1.18%</w:t>
      </w:r>
      <w:r>
        <w:rPr>
          <w:rFonts w:hint="eastAsia" w:ascii="仿宋" w:hAnsi="仿宋" w:eastAsia="仿宋" w:cs="仿宋"/>
          <w:i w:val="0"/>
          <w:iCs w:val="0"/>
          <w:caps w:val="0"/>
          <w:color w:val="000000"/>
          <w:spacing w:val="0"/>
          <w:sz w:val="28"/>
          <w:szCs w:val="28"/>
          <w:shd w:val="clear" w:fill="FFFFFF"/>
          <w:lang w:eastAsia="zh-CN"/>
        </w:rPr>
        <w:t>；</w:t>
      </w:r>
      <w:r>
        <w:rPr>
          <w:rFonts w:hint="eastAsia" w:ascii="仿宋" w:hAnsi="仿宋" w:eastAsia="仿宋" w:cs="仿宋"/>
          <w:i w:val="0"/>
          <w:iCs w:val="0"/>
          <w:caps w:val="0"/>
          <w:color w:val="000000"/>
          <w:spacing w:val="0"/>
          <w:sz w:val="28"/>
          <w:szCs w:val="28"/>
          <w:shd w:val="clear" w:fill="FFFFFF"/>
        </w:rPr>
        <w:t>劳务费</w:t>
      </w:r>
      <w:r>
        <w:rPr>
          <w:rFonts w:hint="eastAsia" w:ascii="仿宋" w:hAnsi="仿宋" w:eastAsia="仿宋" w:cs="仿宋"/>
          <w:i w:val="0"/>
          <w:iCs w:val="0"/>
          <w:caps w:val="0"/>
          <w:color w:val="000000"/>
          <w:spacing w:val="0"/>
          <w:sz w:val="28"/>
          <w:szCs w:val="28"/>
          <w:shd w:val="clear" w:fill="FFFFFF"/>
          <w:lang w:val="en-US" w:eastAsia="zh-CN"/>
        </w:rPr>
        <w:t>141.42万元，占公用经费支出的3.04%</w:t>
      </w:r>
      <w:r>
        <w:rPr>
          <w:rFonts w:hint="eastAsia" w:ascii="仿宋" w:hAnsi="仿宋" w:eastAsia="仿宋" w:cs="仿宋"/>
          <w:i w:val="0"/>
          <w:iCs w:val="0"/>
          <w:caps w:val="0"/>
          <w:color w:val="000000"/>
          <w:spacing w:val="0"/>
          <w:sz w:val="28"/>
          <w:szCs w:val="28"/>
          <w:shd w:val="clear" w:fill="FFFFFF"/>
          <w:lang w:eastAsia="zh-CN"/>
        </w:rPr>
        <w:t>；</w:t>
      </w:r>
      <w:r>
        <w:rPr>
          <w:rFonts w:hint="eastAsia" w:ascii="仿宋" w:hAnsi="仿宋" w:eastAsia="仿宋" w:cs="仿宋"/>
          <w:i w:val="0"/>
          <w:iCs w:val="0"/>
          <w:caps w:val="0"/>
          <w:color w:val="000000"/>
          <w:spacing w:val="0"/>
          <w:sz w:val="28"/>
          <w:szCs w:val="28"/>
          <w:shd w:val="clear" w:fill="FFFFFF"/>
        </w:rPr>
        <w:t>工会经费</w:t>
      </w:r>
      <w:r>
        <w:rPr>
          <w:rFonts w:hint="eastAsia" w:ascii="仿宋" w:hAnsi="仿宋" w:eastAsia="仿宋" w:cs="仿宋"/>
          <w:i w:val="0"/>
          <w:iCs w:val="0"/>
          <w:caps w:val="0"/>
          <w:color w:val="000000"/>
          <w:spacing w:val="0"/>
          <w:sz w:val="28"/>
          <w:szCs w:val="28"/>
          <w:shd w:val="clear" w:fill="FFFFFF"/>
          <w:lang w:val="en-US" w:eastAsia="zh-CN"/>
        </w:rPr>
        <w:t>237.25万元，占公用经费支出的5.10%</w:t>
      </w:r>
      <w:r>
        <w:rPr>
          <w:rFonts w:hint="eastAsia" w:ascii="仿宋" w:hAnsi="仿宋" w:eastAsia="仿宋" w:cs="仿宋"/>
          <w:i w:val="0"/>
          <w:iCs w:val="0"/>
          <w:caps w:val="0"/>
          <w:color w:val="000000"/>
          <w:spacing w:val="0"/>
          <w:sz w:val="28"/>
          <w:szCs w:val="28"/>
          <w:shd w:val="clear" w:fill="FFFFFF"/>
          <w:lang w:eastAsia="zh-CN"/>
        </w:rPr>
        <w:t>；</w:t>
      </w:r>
      <w:r>
        <w:rPr>
          <w:rFonts w:hint="eastAsia" w:ascii="仿宋" w:hAnsi="仿宋" w:eastAsia="仿宋" w:cs="仿宋"/>
          <w:i w:val="0"/>
          <w:iCs w:val="0"/>
          <w:caps w:val="0"/>
          <w:color w:val="000000"/>
          <w:spacing w:val="0"/>
          <w:sz w:val="28"/>
          <w:szCs w:val="28"/>
          <w:shd w:val="clear" w:fill="FFFFFF"/>
        </w:rPr>
        <w:t>福利费</w:t>
      </w:r>
      <w:r>
        <w:rPr>
          <w:rFonts w:hint="eastAsia" w:ascii="仿宋" w:hAnsi="仿宋" w:eastAsia="仿宋" w:cs="仿宋"/>
          <w:i w:val="0"/>
          <w:iCs w:val="0"/>
          <w:caps w:val="0"/>
          <w:color w:val="000000"/>
          <w:spacing w:val="0"/>
          <w:sz w:val="28"/>
          <w:szCs w:val="28"/>
          <w:shd w:val="clear" w:fill="FFFFFF"/>
          <w:lang w:val="en-US" w:eastAsia="zh-CN"/>
        </w:rPr>
        <w:t>107.58万元，占公用经费支出的2.31%</w:t>
      </w:r>
      <w:r>
        <w:rPr>
          <w:rFonts w:hint="eastAsia" w:ascii="仿宋" w:hAnsi="仿宋" w:eastAsia="仿宋" w:cs="仿宋"/>
          <w:i w:val="0"/>
          <w:iCs w:val="0"/>
          <w:caps w:val="0"/>
          <w:color w:val="000000"/>
          <w:spacing w:val="0"/>
          <w:sz w:val="28"/>
          <w:szCs w:val="28"/>
          <w:shd w:val="clear" w:fill="FFFFFF"/>
          <w:lang w:eastAsia="zh-CN"/>
        </w:rPr>
        <w:t>；</w:t>
      </w:r>
      <w:r>
        <w:rPr>
          <w:rFonts w:hint="eastAsia" w:ascii="仿宋" w:hAnsi="仿宋" w:eastAsia="仿宋" w:cs="仿宋"/>
          <w:i w:val="0"/>
          <w:iCs w:val="0"/>
          <w:caps w:val="0"/>
          <w:color w:val="000000"/>
          <w:spacing w:val="0"/>
          <w:sz w:val="28"/>
          <w:szCs w:val="28"/>
          <w:shd w:val="clear" w:fill="FFFFFF"/>
        </w:rPr>
        <w:t>公务用车运行维护费</w:t>
      </w:r>
      <w:r>
        <w:rPr>
          <w:rFonts w:hint="eastAsia" w:ascii="仿宋" w:hAnsi="仿宋" w:eastAsia="仿宋" w:cs="仿宋"/>
          <w:i w:val="0"/>
          <w:iCs w:val="0"/>
          <w:caps w:val="0"/>
          <w:color w:val="000000"/>
          <w:spacing w:val="0"/>
          <w:sz w:val="28"/>
          <w:szCs w:val="28"/>
          <w:shd w:val="clear" w:fill="FFFFFF"/>
          <w:lang w:val="en-US" w:eastAsia="zh-CN"/>
        </w:rPr>
        <w:t>124.56万元，占公用经费支出的2.68%</w:t>
      </w:r>
      <w:r>
        <w:rPr>
          <w:rFonts w:hint="eastAsia" w:ascii="仿宋" w:hAnsi="仿宋" w:eastAsia="仿宋" w:cs="仿宋"/>
          <w:i w:val="0"/>
          <w:iCs w:val="0"/>
          <w:caps w:val="0"/>
          <w:color w:val="000000"/>
          <w:spacing w:val="0"/>
          <w:sz w:val="28"/>
          <w:szCs w:val="28"/>
          <w:shd w:val="clear" w:fill="FFFFFF"/>
          <w:lang w:eastAsia="zh-CN"/>
        </w:rPr>
        <w:t>；</w:t>
      </w:r>
      <w:r>
        <w:rPr>
          <w:rFonts w:hint="eastAsia" w:ascii="仿宋" w:hAnsi="仿宋" w:eastAsia="仿宋" w:cs="仿宋"/>
          <w:i w:val="0"/>
          <w:iCs w:val="0"/>
          <w:caps w:val="0"/>
          <w:color w:val="000000"/>
          <w:spacing w:val="0"/>
          <w:sz w:val="28"/>
          <w:szCs w:val="28"/>
          <w:shd w:val="clear" w:fill="FFFFFF"/>
        </w:rPr>
        <w:t>其他交通费用</w:t>
      </w:r>
      <w:r>
        <w:rPr>
          <w:rFonts w:hint="eastAsia" w:ascii="仿宋" w:hAnsi="仿宋" w:eastAsia="仿宋" w:cs="仿宋"/>
          <w:i w:val="0"/>
          <w:iCs w:val="0"/>
          <w:caps w:val="0"/>
          <w:color w:val="000000"/>
          <w:spacing w:val="0"/>
          <w:sz w:val="28"/>
          <w:szCs w:val="28"/>
          <w:shd w:val="clear" w:fill="FFFFFF"/>
          <w:lang w:val="en-US" w:eastAsia="zh-CN"/>
        </w:rPr>
        <w:t>1.8万元，占公用经费支出的0.04%</w:t>
      </w:r>
      <w:r>
        <w:rPr>
          <w:rFonts w:hint="eastAsia" w:ascii="仿宋" w:hAnsi="仿宋" w:eastAsia="仿宋" w:cs="仿宋"/>
          <w:i w:val="0"/>
          <w:iCs w:val="0"/>
          <w:caps w:val="0"/>
          <w:color w:val="000000"/>
          <w:spacing w:val="0"/>
          <w:sz w:val="28"/>
          <w:szCs w:val="28"/>
          <w:shd w:val="clear" w:fill="FFFFFF"/>
          <w:lang w:eastAsia="zh-CN"/>
        </w:rPr>
        <w:t>；</w:t>
      </w:r>
      <w:r>
        <w:rPr>
          <w:rFonts w:hint="eastAsia" w:ascii="仿宋" w:hAnsi="仿宋" w:eastAsia="仿宋" w:cs="仿宋"/>
          <w:i w:val="0"/>
          <w:iCs w:val="0"/>
          <w:caps w:val="0"/>
          <w:color w:val="000000"/>
          <w:spacing w:val="0"/>
          <w:sz w:val="28"/>
          <w:szCs w:val="28"/>
          <w:shd w:val="clear" w:fill="FFFFFF"/>
        </w:rPr>
        <w:t>其他商品和服务支出</w:t>
      </w:r>
      <w:r>
        <w:rPr>
          <w:rFonts w:hint="eastAsia" w:ascii="仿宋" w:hAnsi="仿宋" w:eastAsia="仿宋" w:cs="仿宋"/>
          <w:i w:val="0"/>
          <w:iCs w:val="0"/>
          <w:caps w:val="0"/>
          <w:color w:val="000000"/>
          <w:spacing w:val="0"/>
          <w:sz w:val="28"/>
          <w:szCs w:val="28"/>
          <w:shd w:val="clear" w:fill="FFFFFF"/>
          <w:lang w:val="en-US" w:eastAsia="zh-CN"/>
        </w:rPr>
        <w:t>2056.44万元，占公用经费支出的44.17%</w:t>
      </w:r>
      <w:r>
        <w:rPr>
          <w:rFonts w:hint="eastAsia" w:ascii="仿宋" w:hAnsi="仿宋" w:eastAsia="仿宋" w:cs="仿宋"/>
          <w:i w:val="0"/>
          <w:iCs w:val="0"/>
          <w:caps w:val="0"/>
          <w:color w:val="000000"/>
          <w:spacing w:val="0"/>
          <w:sz w:val="28"/>
          <w:szCs w:val="28"/>
          <w:shd w:val="clear" w:fill="FFFFFF"/>
          <w:lang w:eastAsia="zh-CN"/>
        </w:rPr>
        <w:t>。</w:t>
      </w:r>
      <w:r>
        <w:rPr>
          <w:rFonts w:hint="default" w:ascii="Calibri" w:hAnsi="Calibri" w:eastAsia="仿宋" w:cs="Calibri"/>
          <w:i w:val="0"/>
          <w:iCs w:val="0"/>
          <w:caps w:val="0"/>
          <w:color w:val="000000"/>
          <w:spacing w:val="0"/>
          <w:sz w:val="24"/>
          <w:szCs w:val="24"/>
          <w:shd w:val="clear" w:fill="FFFFFF"/>
          <w:lang w:eastAsia="zh-CN"/>
        </w:rPr>
        <w:t>②</w:t>
      </w:r>
      <w:r>
        <w:rPr>
          <w:rFonts w:hint="eastAsia" w:ascii="仿宋" w:hAnsi="仿宋" w:eastAsia="仿宋" w:cs="仿宋"/>
          <w:i w:val="0"/>
          <w:iCs w:val="0"/>
          <w:caps w:val="0"/>
          <w:color w:val="000000"/>
          <w:spacing w:val="0"/>
          <w:sz w:val="28"/>
          <w:szCs w:val="28"/>
          <w:shd w:val="clear" w:fill="FFFFFF"/>
          <w:lang w:eastAsia="zh-CN"/>
        </w:rPr>
        <w:t>资本性支出</w:t>
      </w:r>
      <w:r>
        <w:rPr>
          <w:rFonts w:hint="eastAsia" w:ascii="仿宋" w:hAnsi="仿宋" w:eastAsia="仿宋" w:cs="仿宋"/>
          <w:i w:val="0"/>
          <w:iCs w:val="0"/>
          <w:caps w:val="0"/>
          <w:color w:val="000000"/>
          <w:spacing w:val="0"/>
          <w:sz w:val="28"/>
          <w:szCs w:val="28"/>
          <w:shd w:val="clear" w:fill="FFFFFF"/>
          <w:lang w:val="en-US" w:eastAsia="zh-CN"/>
        </w:rPr>
        <w:t>571.92万元，占公用经费支出的12.28%。其中</w:t>
      </w:r>
      <w:r>
        <w:rPr>
          <w:rFonts w:hint="eastAsia" w:ascii="仿宋" w:hAnsi="仿宋" w:eastAsia="仿宋" w:cs="仿宋"/>
          <w:i w:val="0"/>
          <w:iCs w:val="0"/>
          <w:caps w:val="0"/>
          <w:color w:val="000000"/>
          <w:spacing w:val="0"/>
          <w:sz w:val="28"/>
          <w:szCs w:val="28"/>
          <w:shd w:val="clear" w:fill="FFFFFF"/>
        </w:rPr>
        <w:t>办公设备购置</w:t>
      </w:r>
      <w:r>
        <w:rPr>
          <w:rFonts w:hint="eastAsia" w:ascii="仿宋" w:hAnsi="仿宋" w:eastAsia="仿宋" w:cs="仿宋"/>
          <w:i w:val="0"/>
          <w:iCs w:val="0"/>
          <w:caps w:val="0"/>
          <w:color w:val="000000"/>
          <w:spacing w:val="0"/>
          <w:sz w:val="28"/>
          <w:szCs w:val="28"/>
          <w:shd w:val="clear" w:fill="FFFFFF"/>
          <w:lang w:val="en-US" w:eastAsia="zh-CN"/>
        </w:rPr>
        <w:t>28.6万元，占公用经费支出的0.61%；</w:t>
      </w:r>
      <w:r>
        <w:rPr>
          <w:rFonts w:hint="eastAsia" w:ascii="仿宋" w:hAnsi="仿宋" w:eastAsia="仿宋" w:cs="仿宋"/>
          <w:i w:val="0"/>
          <w:iCs w:val="0"/>
          <w:caps w:val="0"/>
          <w:color w:val="000000"/>
          <w:spacing w:val="0"/>
          <w:sz w:val="28"/>
          <w:szCs w:val="28"/>
          <w:shd w:val="clear" w:fill="FFFFFF"/>
        </w:rPr>
        <w:t>专用设备购置</w:t>
      </w:r>
      <w:r>
        <w:rPr>
          <w:rFonts w:hint="eastAsia" w:ascii="仿宋" w:hAnsi="仿宋" w:eastAsia="仿宋" w:cs="仿宋"/>
          <w:i w:val="0"/>
          <w:iCs w:val="0"/>
          <w:caps w:val="0"/>
          <w:color w:val="000000"/>
          <w:spacing w:val="0"/>
          <w:sz w:val="28"/>
          <w:szCs w:val="28"/>
          <w:shd w:val="clear" w:fill="FFFFFF"/>
          <w:lang w:val="en-US" w:eastAsia="zh-CN"/>
        </w:rPr>
        <w:t>18.11万元，占公用经费支出的0.39%；</w:t>
      </w:r>
      <w:r>
        <w:rPr>
          <w:rFonts w:hint="eastAsia" w:ascii="仿宋" w:hAnsi="仿宋" w:eastAsia="仿宋" w:cs="仿宋"/>
          <w:i w:val="0"/>
          <w:iCs w:val="0"/>
          <w:caps w:val="0"/>
          <w:color w:val="000000"/>
          <w:spacing w:val="0"/>
          <w:sz w:val="28"/>
          <w:szCs w:val="28"/>
          <w:shd w:val="clear" w:fill="FFFFFF"/>
        </w:rPr>
        <w:t>信息网络及软件购置更新</w:t>
      </w:r>
      <w:r>
        <w:rPr>
          <w:rFonts w:hint="eastAsia" w:ascii="仿宋" w:hAnsi="仿宋" w:eastAsia="仿宋" w:cs="仿宋"/>
          <w:i w:val="0"/>
          <w:iCs w:val="0"/>
          <w:caps w:val="0"/>
          <w:color w:val="000000"/>
          <w:spacing w:val="0"/>
          <w:sz w:val="28"/>
          <w:szCs w:val="28"/>
          <w:shd w:val="clear" w:fill="FFFFFF"/>
          <w:lang w:val="en-US" w:eastAsia="zh-CN"/>
        </w:rPr>
        <w:t>497.99万元，占公用经费支出的10.70%；公用车购置27.21万元，占公用经费支出的0.58万元。</w:t>
      </w:r>
    </w:p>
    <w:p>
      <w:pPr>
        <w:topLinePunct/>
        <w:spacing w:line="520" w:lineRule="exact"/>
        <w:ind w:firstLine="482" w:firstLineChars="200"/>
        <w:rPr>
          <w:rFonts w:ascii="仿宋" w:hAnsi="仿宋" w:eastAsia="仿宋" w:cstheme="minorEastAsia"/>
          <w:b/>
          <w:sz w:val="24"/>
          <w:szCs w:val="24"/>
          <w:lang w:val="zh-CN"/>
        </w:rPr>
      </w:pPr>
      <w:r>
        <w:rPr>
          <w:rFonts w:hint="eastAsia" w:ascii="仿宋" w:hAnsi="仿宋" w:eastAsia="仿宋" w:cstheme="minorEastAsia"/>
          <w:b/>
          <w:sz w:val="24"/>
          <w:szCs w:val="24"/>
          <w:lang w:val="zh-CN"/>
        </w:rPr>
        <w:t>（二）部门 “三公”经费使用管理情况。</w:t>
      </w:r>
    </w:p>
    <w:p>
      <w:pPr>
        <w:autoSpaceDE w:val="0"/>
        <w:autoSpaceDN w:val="0"/>
        <w:spacing w:line="520" w:lineRule="exact"/>
        <w:ind w:firstLine="560" w:firstLineChars="200"/>
        <w:rPr>
          <w:rFonts w:ascii="仿宋" w:hAnsi="仿宋" w:eastAsia="仿宋"/>
          <w:sz w:val="28"/>
          <w:szCs w:val="28"/>
          <w:lang w:val="zh-CN"/>
        </w:rPr>
      </w:pPr>
      <w:r>
        <w:rPr>
          <w:rFonts w:hint="eastAsia" w:ascii="仿宋" w:hAnsi="仿宋" w:eastAsia="仿宋"/>
          <w:sz w:val="28"/>
          <w:szCs w:val="28"/>
          <w:lang w:val="zh-CN"/>
        </w:rPr>
        <w:t>1、202</w:t>
      </w:r>
      <w:r>
        <w:rPr>
          <w:rFonts w:hint="eastAsia" w:ascii="仿宋" w:hAnsi="仿宋" w:eastAsia="仿宋"/>
          <w:sz w:val="28"/>
          <w:szCs w:val="28"/>
          <w:lang w:val="en-US" w:eastAsia="zh-CN"/>
        </w:rPr>
        <w:t>1</w:t>
      </w:r>
      <w:r>
        <w:rPr>
          <w:rFonts w:hint="eastAsia" w:ascii="仿宋" w:hAnsi="仿宋" w:eastAsia="仿宋"/>
          <w:sz w:val="28"/>
          <w:szCs w:val="28"/>
          <w:lang w:val="zh-CN"/>
        </w:rPr>
        <w:t>年“三公”经费预算情况（单位：万元）</w:t>
      </w:r>
    </w:p>
    <w:tbl>
      <w:tblPr>
        <w:tblStyle w:val="9"/>
        <w:tblW w:w="0" w:type="auto"/>
        <w:jc w:val="center"/>
        <w:tblLayout w:type="fixed"/>
        <w:tblCellMar>
          <w:top w:w="0" w:type="dxa"/>
          <w:left w:w="0" w:type="dxa"/>
          <w:bottom w:w="0" w:type="dxa"/>
          <w:right w:w="0" w:type="dxa"/>
        </w:tblCellMar>
      </w:tblPr>
      <w:tblGrid>
        <w:gridCol w:w="2415"/>
        <w:gridCol w:w="2121"/>
        <w:gridCol w:w="2121"/>
        <w:gridCol w:w="2121"/>
      </w:tblGrid>
      <w:tr>
        <w:tblPrEx>
          <w:tblCellMar>
            <w:top w:w="0" w:type="dxa"/>
            <w:left w:w="0" w:type="dxa"/>
            <w:bottom w:w="0" w:type="dxa"/>
            <w:right w:w="0" w:type="dxa"/>
          </w:tblCellMar>
        </w:tblPrEx>
        <w:trPr>
          <w:trHeight w:val="510" w:hRule="atLeast"/>
          <w:jc w:val="center"/>
        </w:trPr>
        <w:tc>
          <w:tcPr>
            <w:tcW w:w="2415"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ind w:firstLine="480" w:firstLineChars="200"/>
              <w:jc w:val="center"/>
              <w:rPr>
                <w:rFonts w:ascii="仿宋" w:hAnsi="仿宋" w:eastAsia="仿宋"/>
                <w:color w:val="222222"/>
                <w:kern w:val="0"/>
                <w:sz w:val="24"/>
                <w:szCs w:val="24"/>
              </w:rPr>
            </w:pPr>
            <w:r>
              <w:rPr>
                <w:rFonts w:hint="eastAsia" w:ascii="仿宋" w:hAnsi="仿宋" w:eastAsia="仿宋"/>
                <w:bCs/>
                <w:color w:val="222222"/>
                <w:kern w:val="0"/>
                <w:sz w:val="24"/>
                <w:szCs w:val="24"/>
              </w:rPr>
              <w:t>费用项目</w:t>
            </w:r>
          </w:p>
        </w:tc>
        <w:tc>
          <w:tcPr>
            <w:tcW w:w="2121"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pPr>
              <w:widowControl/>
              <w:ind w:firstLine="480" w:firstLineChars="200"/>
              <w:jc w:val="center"/>
              <w:rPr>
                <w:rFonts w:ascii="仿宋" w:hAnsi="仿宋" w:eastAsia="仿宋"/>
                <w:color w:val="222222"/>
                <w:kern w:val="0"/>
                <w:sz w:val="24"/>
                <w:szCs w:val="24"/>
              </w:rPr>
            </w:pPr>
            <w:r>
              <w:rPr>
                <w:rFonts w:hint="eastAsia" w:ascii="仿宋" w:hAnsi="仿宋" w:eastAsia="仿宋"/>
                <w:bCs/>
                <w:color w:val="222222"/>
                <w:kern w:val="0"/>
                <w:sz w:val="24"/>
                <w:szCs w:val="24"/>
              </w:rPr>
              <w:t>基本支出</w:t>
            </w:r>
          </w:p>
        </w:tc>
        <w:tc>
          <w:tcPr>
            <w:tcW w:w="2121"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pPr>
              <w:widowControl/>
              <w:ind w:firstLine="480" w:firstLineChars="200"/>
              <w:jc w:val="center"/>
              <w:rPr>
                <w:rFonts w:ascii="仿宋" w:hAnsi="仿宋" w:eastAsia="仿宋"/>
                <w:color w:val="222222"/>
                <w:kern w:val="0"/>
                <w:sz w:val="24"/>
                <w:szCs w:val="24"/>
              </w:rPr>
            </w:pPr>
            <w:r>
              <w:rPr>
                <w:rFonts w:hint="eastAsia" w:ascii="仿宋" w:hAnsi="仿宋" w:eastAsia="仿宋"/>
                <w:bCs/>
                <w:color w:val="222222"/>
                <w:kern w:val="0"/>
                <w:sz w:val="24"/>
                <w:szCs w:val="24"/>
              </w:rPr>
              <w:t>项目支出</w:t>
            </w:r>
          </w:p>
        </w:tc>
        <w:tc>
          <w:tcPr>
            <w:tcW w:w="2121"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pPr>
              <w:widowControl/>
              <w:ind w:firstLine="480" w:firstLineChars="200"/>
              <w:jc w:val="center"/>
              <w:rPr>
                <w:rFonts w:ascii="仿宋" w:hAnsi="仿宋" w:eastAsia="仿宋"/>
                <w:color w:val="222222"/>
                <w:kern w:val="0"/>
                <w:sz w:val="24"/>
                <w:szCs w:val="24"/>
              </w:rPr>
            </w:pPr>
            <w:r>
              <w:rPr>
                <w:rFonts w:hint="eastAsia" w:ascii="仿宋" w:hAnsi="仿宋" w:eastAsia="仿宋"/>
                <w:bCs/>
                <w:color w:val="222222"/>
                <w:kern w:val="0"/>
                <w:sz w:val="24"/>
                <w:szCs w:val="24"/>
              </w:rPr>
              <w:t>合计</w:t>
            </w:r>
          </w:p>
        </w:tc>
      </w:tr>
      <w:tr>
        <w:tblPrEx>
          <w:tblCellMar>
            <w:top w:w="0" w:type="dxa"/>
            <w:left w:w="0" w:type="dxa"/>
            <w:bottom w:w="0" w:type="dxa"/>
            <w:right w:w="0" w:type="dxa"/>
          </w:tblCellMar>
        </w:tblPrEx>
        <w:trPr>
          <w:trHeight w:val="510" w:hRule="atLeast"/>
          <w:jc w:val="center"/>
        </w:trPr>
        <w:tc>
          <w:tcPr>
            <w:tcW w:w="2415"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ind w:firstLine="480" w:firstLineChars="200"/>
              <w:jc w:val="center"/>
              <w:rPr>
                <w:rFonts w:ascii="仿宋" w:hAnsi="仿宋" w:eastAsia="仿宋"/>
                <w:color w:val="222222"/>
                <w:kern w:val="0"/>
                <w:sz w:val="24"/>
                <w:szCs w:val="24"/>
              </w:rPr>
            </w:pPr>
            <w:r>
              <w:rPr>
                <w:rFonts w:hint="eastAsia" w:ascii="仿宋" w:hAnsi="仿宋" w:eastAsia="仿宋"/>
                <w:bCs/>
                <w:color w:val="000000"/>
                <w:kern w:val="0"/>
                <w:sz w:val="24"/>
                <w:szCs w:val="24"/>
              </w:rPr>
              <w:t>公务接待费</w:t>
            </w:r>
          </w:p>
        </w:tc>
        <w:tc>
          <w:tcPr>
            <w:tcW w:w="2121"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80" w:firstLineChars="200"/>
              <w:jc w:val="center"/>
              <w:rPr>
                <w:rFonts w:hint="default" w:ascii="仿宋" w:hAnsi="仿宋" w:eastAsia="仿宋"/>
                <w:color w:val="222222"/>
                <w:kern w:val="0"/>
                <w:sz w:val="24"/>
                <w:szCs w:val="24"/>
                <w:lang w:val="en-US" w:eastAsia="zh-CN"/>
              </w:rPr>
            </w:pPr>
            <w:r>
              <w:rPr>
                <w:rFonts w:hint="eastAsia" w:ascii="仿宋" w:hAnsi="仿宋" w:eastAsia="仿宋"/>
                <w:color w:val="222222"/>
                <w:kern w:val="0"/>
                <w:sz w:val="24"/>
                <w:szCs w:val="24"/>
                <w:lang w:val="en-US" w:eastAsia="zh-CN"/>
              </w:rPr>
              <w:t>5.7</w:t>
            </w:r>
          </w:p>
        </w:tc>
        <w:tc>
          <w:tcPr>
            <w:tcW w:w="2121"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80" w:firstLineChars="200"/>
              <w:jc w:val="center"/>
              <w:rPr>
                <w:rFonts w:ascii="仿宋" w:hAnsi="仿宋" w:eastAsia="仿宋"/>
                <w:color w:val="222222"/>
                <w:kern w:val="0"/>
                <w:sz w:val="24"/>
                <w:szCs w:val="24"/>
              </w:rPr>
            </w:pPr>
            <w:r>
              <w:rPr>
                <w:rFonts w:hint="eastAsia" w:ascii="仿宋" w:hAnsi="仿宋" w:eastAsia="仿宋"/>
                <w:color w:val="222222"/>
                <w:kern w:val="0"/>
                <w:sz w:val="24"/>
                <w:szCs w:val="24"/>
              </w:rPr>
              <w:t>0</w:t>
            </w:r>
          </w:p>
        </w:tc>
        <w:tc>
          <w:tcPr>
            <w:tcW w:w="2121"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80" w:firstLineChars="200"/>
              <w:jc w:val="center"/>
              <w:rPr>
                <w:rFonts w:hint="default" w:ascii="仿宋" w:hAnsi="仿宋" w:eastAsia="仿宋"/>
                <w:color w:val="222222"/>
                <w:kern w:val="0"/>
                <w:sz w:val="24"/>
                <w:szCs w:val="24"/>
                <w:lang w:val="en-US" w:eastAsia="zh-CN"/>
              </w:rPr>
            </w:pPr>
            <w:r>
              <w:rPr>
                <w:rFonts w:hint="eastAsia" w:ascii="仿宋" w:hAnsi="仿宋" w:eastAsia="仿宋"/>
                <w:color w:val="222222"/>
                <w:kern w:val="0"/>
                <w:sz w:val="24"/>
                <w:szCs w:val="24"/>
                <w:lang w:val="en-US" w:eastAsia="zh-CN"/>
              </w:rPr>
              <w:t>5.7</w:t>
            </w:r>
          </w:p>
        </w:tc>
      </w:tr>
      <w:tr>
        <w:tblPrEx>
          <w:tblCellMar>
            <w:top w:w="0" w:type="dxa"/>
            <w:left w:w="0" w:type="dxa"/>
            <w:bottom w:w="0" w:type="dxa"/>
            <w:right w:w="0" w:type="dxa"/>
          </w:tblCellMar>
        </w:tblPrEx>
        <w:trPr>
          <w:trHeight w:val="510" w:hRule="atLeast"/>
          <w:jc w:val="center"/>
        </w:trPr>
        <w:tc>
          <w:tcPr>
            <w:tcW w:w="2415"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ind w:firstLine="480" w:firstLineChars="200"/>
              <w:jc w:val="center"/>
              <w:rPr>
                <w:rFonts w:ascii="仿宋" w:hAnsi="仿宋" w:eastAsia="仿宋"/>
                <w:color w:val="222222"/>
                <w:kern w:val="0"/>
                <w:sz w:val="24"/>
                <w:szCs w:val="24"/>
              </w:rPr>
            </w:pPr>
            <w:r>
              <w:rPr>
                <w:rFonts w:hint="eastAsia" w:ascii="仿宋" w:hAnsi="仿宋" w:eastAsia="仿宋"/>
                <w:bCs/>
                <w:color w:val="000000"/>
                <w:kern w:val="0"/>
                <w:sz w:val="24"/>
                <w:szCs w:val="24"/>
              </w:rPr>
              <w:t>公车运行维护费</w:t>
            </w:r>
          </w:p>
        </w:tc>
        <w:tc>
          <w:tcPr>
            <w:tcW w:w="2121"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80" w:firstLineChars="200"/>
              <w:jc w:val="center"/>
              <w:rPr>
                <w:rFonts w:hint="default" w:ascii="仿宋" w:hAnsi="仿宋" w:eastAsia="仿宋"/>
                <w:color w:val="222222"/>
                <w:kern w:val="0"/>
                <w:sz w:val="24"/>
                <w:szCs w:val="24"/>
                <w:lang w:val="en-US" w:eastAsia="zh-CN"/>
              </w:rPr>
            </w:pPr>
            <w:r>
              <w:rPr>
                <w:rFonts w:hint="eastAsia" w:ascii="仿宋" w:hAnsi="仿宋" w:eastAsia="仿宋"/>
                <w:color w:val="222222"/>
                <w:kern w:val="0"/>
                <w:sz w:val="24"/>
                <w:szCs w:val="24"/>
                <w:lang w:val="en-US" w:eastAsia="zh-CN"/>
              </w:rPr>
              <w:t>350</w:t>
            </w:r>
          </w:p>
        </w:tc>
        <w:tc>
          <w:tcPr>
            <w:tcW w:w="2121"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80" w:firstLineChars="200"/>
              <w:jc w:val="center"/>
              <w:rPr>
                <w:rFonts w:ascii="仿宋" w:hAnsi="仿宋" w:eastAsia="仿宋"/>
                <w:color w:val="222222"/>
                <w:kern w:val="0"/>
                <w:sz w:val="24"/>
                <w:szCs w:val="24"/>
              </w:rPr>
            </w:pPr>
            <w:r>
              <w:rPr>
                <w:rFonts w:hint="eastAsia" w:ascii="仿宋" w:hAnsi="仿宋" w:eastAsia="仿宋"/>
                <w:color w:val="222222"/>
                <w:kern w:val="0"/>
                <w:sz w:val="24"/>
                <w:szCs w:val="24"/>
              </w:rPr>
              <w:t>0</w:t>
            </w:r>
          </w:p>
        </w:tc>
        <w:tc>
          <w:tcPr>
            <w:tcW w:w="2121"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80" w:firstLineChars="200"/>
              <w:jc w:val="center"/>
              <w:rPr>
                <w:rFonts w:hint="default" w:ascii="仿宋" w:hAnsi="仿宋" w:eastAsia="仿宋"/>
                <w:color w:val="222222"/>
                <w:kern w:val="0"/>
                <w:sz w:val="24"/>
                <w:szCs w:val="24"/>
                <w:lang w:val="en-US" w:eastAsia="zh-CN"/>
              </w:rPr>
            </w:pPr>
            <w:r>
              <w:rPr>
                <w:rFonts w:hint="eastAsia" w:ascii="仿宋" w:hAnsi="仿宋" w:eastAsia="仿宋"/>
                <w:color w:val="222222"/>
                <w:kern w:val="0"/>
                <w:sz w:val="24"/>
                <w:szCs w:val="24"/>
                <w:lang w:val="en-US" w:eastAsia="zh-CN"/>
              </w:rPr>
              <w:t>350</w:t>
            </w:r>
          </w:p>
        </w:tc>
      </w:tr>
      <w:tr>
        <w:tblPrEx>
          <w:tblCellMar>
            <w:top w:w="0" w:type="dxa"/>
            <w:left w:w="0" w:type="dxa"/>
            <w:bottom w:w="0" w:type="dxa"/>
            <w:right w:w="0" w:type="dxa"/>
          </w:tblCellMar>
        </w:tblPrEx>
        <w:trPr>
          <w:trHeight w:val="510" w:hRule="atLeast"/>
          <w:jc w:val="center"/>
        </w:trPr>
        <w:tc>
          <w:tcPr>
            <w:tcW w:w="2415"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ind w:firstLine="480" w:firstLineChars="200"/>
              <w:jc w:val="center"/>
              <w:rPr>
                <w:rFonts w:ascii="仿宋" w:hAnsi="仿宋" w:eastAsia="仿宋"/>
                <w:color w:val="222222"/>
                <w:kern w:val="0"/>
                <w:sz w:val="24"/>
                <w:szCs w:val="24"/>
              </w:rPr>
            </w:pPr>
            <w:r>
              <w:rPr>
                <w:rFonts w:hint="eastAsia" w:ascii="仿宋" w:hAnsi="仿宋" w:eastAsia="仿宋"/>
                <w:bCs/>
                <w:color w:val="000000"/>
                <w:kern w:val="0"/>
                <w:sz w:val="24"/>
                <w:szCs w:val="24"/>
              </w:rPr>
              <w:t>因公出国费用</w:t>
            </w:r>
          </w:p>
        </w:tc>
        <w:tc>
          <w:tcPr>
            <w:tcW w:w="2121"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80" w:firstLineChars="200"/>
              <w:jc w:val="center"/>
              <w:rPr>
                <w:rFonts w:ascii="仿宋" w:hAnsi="仿宋" w:eastAsia="仿宋"/>
                <w:color w:val="222222"/>
                <w:kern w:val="0"/>
                <w:sz w:val="24"/>
                <w:szCs w:val="24"/>
              </w:rPr>
            </w:pPr>
            <w:r>
              <w:rPr>
                <w:rFonts w:hint="eastAsia" w:ascii="仿宋" w:hAnsi="仿宋" w:eastAsia="仿宋"/>
                <w:color w:val="222222"/>
                <w:kern w:val="0"/>
                <w:sz w:val="24"/>
                <w:szCs w:val="24"/>
              </w:rPr>
              <w:t>0</w:t>
            </w:r>
          </w:p>
        </w:tc>
        <w:tc>
          <w:tcPr>
            <w:tcW w:w="2121"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80" w:firstLineChars="200"/>
              <w:jc w:val="center"/>
              <w:rPr>
                <w:rFonts w:ascii="仿宋" w:hAnsi="仿宋" w:eastAsia="仿宋"/>
                <w:color w:val="222222"/>
                <w:kern w:val="0"/>
                <w:sz w:val="24"/>
                <w:szCs w:val="24"/>
              </w:rPr>
            </w:pPr>
            <w:r>
              <w:rPr>
                <w:rFonts w:hint="eastAsia" w:ascii="仿宋" w:hAnsi="仿宋" w:eastAsia="仿宋"/>
                <w:color w:val="222222"/>
                <w:kern w:val="0"/>
                <w:sz w:val="24"/>
                <w:szCs w:val="24"/>
              </w:rPr>
              <w:t>0</w:t>
            </w:r>
          </w:p>
        </w:tc>
        <w:tc>
          <w:tcPr>
            <w:tcW w:w="2121"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80" w:firstLineChars="200"/>
              <w:jc w:val="center"/>
              <w:rPr>
                <w:rFonts w:ascii="仿宋" w:hAnsi="仿宋" w:eastAsia="仿宋"/>
                <w:color w:val="222222"/>
                <w:kern w:val="0"/>
                <w:sz w:val="24"/>
                <w:szCs w:val="24"/>
              </w:rPr>
            </w:pPr>
          </w:p>
        </w:tc>
      </w:tr>
      <w:tr>
        <w:tblPrEx>
          <w:tblCellMar>
            <w:top w:w="0" w:type="dxa"/>
            <w:left w:w="0" w:type="dxa"/>
            <w:bottom w:w="0" w:type="dxa"/>
            <w:right w:w="0" w:type="dxa"/>
          </w:tblCellMar>
        </w:tblPrEx>
        <w:trPr>
          <w:trHeight w:val="510" w:hRule="atLeast"/>
          <w:jc w:val="center"/>
        </w:trPr>
        <w:tc>
          <w:tcPr>
            <w:tcW w:w="2415"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ind w:firstLine="480" w:firstLineChars="200"/>
              <w:jc w:val="center"/>
              <w:rPr>
                <w:rFonts w:ascii="仿宋" w:hAnsi="仿宋" w:eastAsia="仿宋"/>
                <w:color w:val="222222"/>
                <w:kern w:val="0"/>
                <w:sz w:val="24"/>
                <w:szCs w:val="24"/>
              </w:rPr>
            </w:pPr>
            <w:r>
              <w:rPr>
                <w:rFonts w:hint="eastAsia" w:ascii="仿宋" w:hAnsi="仿宋" w:eastAsia="仿宋"/>
                <w:bCs/>
                <w:color w:val="000000"/>
                <w:kern w:val="0"/>
                <w:sz w:val="24"/>
                <w:szCs w:val="24"/>
              </w:rPr>
              <w:t>公务车购置费</w:t>
            </w:r>
          </w:p>
        </w:tc>
        <w:tc>
          <w:tcPr>
            <w:tcW w:w="2121"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80" w:firstLineChars="200"/>
              <w:jc w:val="center"/>
              <w:rPr>
                <w:rFonts w:ascii="仿宋" w:hAnsi="仿宋" w:eastAsia="仿宋"/>
                <w:color w:val="222222"/>
                <w:kern w:val="0"/>
                <w:sz w:val="24"/>
                <w:szCs w:val="24"/>
              </w:rPr>
            </w:pPr>
            <w:r>
              <w:rPr>
                <w:rFonts w:hint="eastAsia" w:ascii="仿宋" w:hAnsi="仿宋" w:eastAsia="仿宋"/>
                <w:color w:val="222222"/>
                <w:kern w:val="0"/>
                <w:sz w:val="24"/>
                <w:szCs w:val="24"/>
              </w:rPr>
              <w:t>0</w:t>
            </w:r>
          </w:p>
        </w:tc>
        <w:tc>
          <w:tcPr>
            <w:tcW w:w="2121"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80" w:firstLineChars="200"/>
              <w:jc w:val="center"/>
              <w:rPr>
                <w:rFonts w:ascii="仿宋" w:hAnsi="仿宋" w:eastAsia="仿宋"/>
                <w:color w:val="222222"/>
                <w:kern w:val="0"/>
                <w:sz w:val="24"/>
                <w:szCs w:val="24"/>
              </w:rPr>
            </w:pPr>
            <w:r>
              <w:rPr>
                <w:rFonts w:hint="eastAsia" w:ascii="仿宋" w:hAnsi="仿宋" w:eastAsia="仿宋"/>
                <w:color w:val="222222"/>
                <w:kern w:val="0"/>
                <w:sz w:val="24"/>
                <w:szCs w:val="24"/>
              </w:rPr>
              <w:t>0</w:t>
            </w:r>
          </w:p>
        </w:tc>
        <w:tc>
          <w:tcPr>
            <w:tcW w:w="2121"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80" w:firstLineChars="200"/>
              <w:jc w:val="center"/>
              <w:rPr>
                <w:rFonts w:ascii="仿宋" w:hAnsi="仿宋" w:eastAsia="仿宋"/>
                <w:color w:val="222222"/>
                <w:kern w:val="0"/>
                <w:sz w:val="24"/>
                <w:szCs w:val="24"/>
              </w:rPr>
            </w:pPr>
          </w:p>
        </w:tc>
      </w:tr>
      <w:tr>
        <w:tblPrEx>
          <w:tblCellMar>
            <w:top w:w="0" w:type="dxa"/>
            <w:left w:w="0" w:type="dxa"/>
            <w:bottom w:w="0" w:type="dxa"/>
            <w:right w:w="0" w:type="dxa"/>
          </w:tblCellMar>
        </w:tblPrEx>
        <w:trPr>
          <w:trHeight w:val="510" w:hRule="atLeast"/>
          <w:jc w:val="center"/>
        </w:trPr>
        <w:tc>
          <w:tcPr>
            <w:tcW w:w="2415"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ind w:firstLine="480" w:firstLineChars="200"/>
              <w:jc w:val="center"/>
              <w:rPr>
                <w:rFonts w:ascii="仿宋" w:hAnsi="仿宋" w:eastAsia="仿宋"/>
                <w:color w:val="222222"/>
                <w:kern w:val="0"/>
                <w:sz w:val="24"/>
                <w:szCs w:val="24"/>
              </w:rPr>
            </w:pPr>
            <w:r>
              <w:rPr>
                <w:rFonts w:hint="eastAsia" w:ascii="仿宋" w:hAnsi="仿宋" w:eastAsia="仿宋"/>
                <w:bCs/>
                <w:color w:val="000000"/>
                <w:kern w:val="0"/>
                <w:sz w:val="24"/>
                <w:szCs w:val="24"/>
              </w:rPr>
              <w:t>合  计</w:t>
            </w:r>
          </w:p>
        </w:tc>
        <w:tc>
          <w:tcPr>
            <w:tcW w:w="2121"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80" w:firstLineChars="200"/>
              <w:jc w:val="center"/>
              <w:rPr>
                <w:rFonts w:hint="default" w:ascii="仿宋" w:hAnsi="仿宋" w:eastAsia="仿宋"/>
                <w:color w:val="222222"/>
                <w:kern w:val="0"/>
                <w:sz w:val="24"/>
                <w:szCs w:val="24"/>
                <w:lang w:val="en-US" w:eastAsia="zh-CN"/>
              </w:rPr>
            </w:pPr>
            <w:r>
              <w:rPr>
                <w:rFonts w:hint="eastAsia" w:ascii="仿宋" w:hAnsi="仿宋" w:eastAsia="仿宋"/>
                <w:color w:val="222222"/>
                <w:kern w:val="0"/>
                <w:sz w:val="24"/>
                <w:szCs w:val="24"/>
                <w:lang w:val="en-US" w:eastAsia="zh-CN"/>
              </w:rPr>
              <w:t>355.70</w:t>
            </w:r>
          </w:p>
        </w:tc>
        <w:tc>
          <w:tcPr>
            <w:tcW w:w="2121"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80" w:firstLineChars="200"/>
              <w:jc w:val="center"/>
              <w:rPr>
                <w:rFonts w:ascii="仿宋" w:hAnsi="仿宋" w:eastAsia="仿宋"/>
                <w:color w:val="222222"/>
                <w:kern w:val="0"/>
                <w:sz w:val="24"/>
                <w:szCs w:val="24"/>
              </w:rPr>
            </w:pPr>
            <w:r>
              <w:rPr>
                <w:rFonts w:hint="eastAsia" w:ascii="仿宋" w:hAnsi="仿宋" w:eastAsia="仿宋"/>
                <w:color w:val="222222"/>
                <w:kern w:val="0"/>
                <w:sz w:val="24"/>
                <w:szCs w:val="24"/>
              </w:rPr>
              <w:t>0</w:t>
            </w:r>
          </w:p>
        </w:tc>
        <w:tc>
          <w:tcPr>
            <w:tcW w:w="2121"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80" w:firstLineChars="200"/>
              <w:jc w:val="center"/>
              <w:rPr>
                <w:rFonts w:hint="default" w:ascii="仿宋" w:hAnsi="仿宋" w:eastAsia="仿宋"/>
                <w:color w:val="222222"/>
                <w:kern w:val="0"/>
                <w:sz w:val="24"/>
                <w:szCs w:val="24"/>
                <w:lang w:val="en-US" w:eastAsia="zh-CN"/>
              </w:rPr>
            </w:pPr>
            <w:r>
              <w:rPr>
                <w:rFonts w:hint="eastAsia" w:ascii="仿宋" w:hAnsi="仿宋" w:eastAsia="仿宋"/>
                <w:color w:val="222222"/>
                <w:kern w:val="0"/>
                <w:sz w:val="24"/>
                <w:szCs w:val="24"/>
                <w:lang w:val="en-US" w:eastAsia="zh-CN"/>
              </w:rPr>
              <w:t>355.70</w:t>
            </w:r>
          </w:p>
        </w:tc>
      </w:tr>
    </w:tbl>
    <w:p>
      <w:pPr>
        <w:spacing w:line="600" w:lineRule="exact"/>
        <w:ind w:firstLine="560" w:firstLineChars="200"/>
        <w:rPr>
          <w:rFonts w:ascii="仿宋" w:hAnsi="仿宋" w:eastAsia="仿宋"/>
          <w:szCs w:val="32"/>
        </w:rPr>
      </w:pPr>
      <w:r>
        <w:rPr>
          <w:rFonts w:hint="eastAsia" w:ascii="仿宋" w:hAnsi="仿宋" w:eastAsia="仿宋"/>
          <w:sz w:val="28"/>
          <w:szCs w:val="28"/>
        </w:rPr>
        <w:t>2、</w:t>
      </w:r>
      <w:r>
        <w:rPr>
          <w:rFonts w:hint="eastAsia" w:ascii="仿宋" w:hAnsi="仿宋" w:eastAsia="仿宋"/>
          <w:sz w:val="28"/>
          <w:szCs w:val="28"/>
          <w:lang w:val="zh-CN"/>
        </w:rPr>
        <w:t>“三公”经费预算执行比较情况（单位：万元）</w:t>
      </w:r>
    </w:p>
    <w:tbl>
      <w:tblPr>
        <w:tblStyle w:val="9"/>
        <w:tblW w:w="8763" w:type="dxa"/>
        <w:jc w:val="center"/>
        <w:tblLayout w:type="fixed"/>
        <w:tblCellMar>
          <w:top w:w="0" w:type="dxa"/>
          <w:left w:w="0" w:type="dxa"/>
          <w:bottom w:w="0" w:type="dxa"/>
          <w:right w:w="0" w:type="dxa"/>
        </w:tblCellMar>
      </w:tblPr>
      <w:tblGrid>
        <w:gridCol w:w="1363"/>
        <w:gridCol w:w="1225"/>
        <w:gridCol w:w="1178"/>
        <w:gridCol w:w="1283"/>
        <w:gridCol w:w="1139"/>
        <w:gridCol w:w="1412"/>
        <w:gridCol w:w="1163"/>
      </w:tblGrid>
      <w:tr>
        <w:tblPrEx>
          <w:tblCellMar>
            <w:top w:w="0" w:type="dxa"/>
            <w:left w:w="0" w:type="dxa"/>
            <w:bottom w:w="0" w:type="dxa"/>
            <w:right w:w="0" w:type="dxa"/>
          </w:tblCellMar>
        </w:tblPrEx>
        <w:trPr>
          <w:trHeight w:val="510" w:hRule="atLeast"/>
          <w:jc w:val="center"/>
        </w:trPr>
        <w:tc>
          <w:tcPr>
            <w:tcW w:w="1363"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rPr>
                <w:rFonts w:ascii="仿宋" w:hAnsi="仿宋" w:eastAsia="仿宋"/>
                <w:color w:val="222222"/>
                <w:kern w:val="0"/>
                <w:szCs w:val="21"/>
              </w:rPr>
            </w:pPr>
            <w:r>
              <w:rPr>
                <w:rFonts w:hint="eastAsia" w:ascii="仿宋" w:hAnsi="仿宋" w:eastAsia="仿宋"/>
                <w:bCs/>
                <w:color w:val="222222"/>
                <w:kern w:val="0"/>
                <w:szCs w:val="21"/>
              </w:rPr>
              <w:t>费用项目</w:t>
            </w:r>
          </w:p>
        </w:tc>
        <w:tc>
          <w:tcPr>
            <w:tcW w:w="2403" w:type="dxa"/>
            <w:gridSpan w:val="2"/>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ascii="仿宋" w:hAnsi="仿宋" w:eastAsia="仿宋"/>
                <w:color w:val="222222"/>
                <w:kern w:val="0"/>
                <w:szCs w:val="21"/>
              </w:rPr>
            </w:pPr>
            <w:r>
              <w:rPr>
                <w:rFonts w:hint="eastAsia" w:ascii="仿宋" w:hAnsi="仿宋" w:eastAsia="仿宋"/>
                <w:bCs/>
                <w:color w:val="222222"/>
                <w:kern w:val="0"/>
                <w:szCs w:val="21"/>
              </w:rPr>
              <w:t>预算金额</w:t>
            </w:r>
          </w:p>
        </w:tc>
        <w:tc>
          <w:tcPr>
            <w:tcW w:w="2422" w:type="dxa"/>
            <w:gridSpan w:val="2"/>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ascii="仿宋" w:hAnsi="仿宋" w:eastAsia="仿宋"/>
                <w:color w:val="222222"/>
                <w:kern w:val="0"/>
                <w:szCs w:val="21"/>
              </w:rPr>
            </w:pPr>
            <w:r>
              <w:rPr>
                <w:rFonts w:hint="eastAsia" w:ascii="仿宋" w:hAnsi="仿宋" w:eastAsia="仿宋"/>
                <w:bCs/>
                <w:color w:val="222222"/>
                <w:kern w:val="0"/>
                <w:szCs w:val="21"/>
              </w:rPr>
              <w:t>决算金额</w:t>
            </w:r>
          </w:p>
        </w:tc>
        <w:tc>
          <w:tcPr>
            <w:tcW w:w="2575" w:type="dxa"/>
            <w:gridSpan w:val="2"/>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ascii="仿宋" w:hAnsi="仿宋" w:eastAsia="仿宋"/>
                <w:color w:val="222222"/>
                <w:kern w:val="0"/>
                <w:szCs w:val="21"/>
              </w:rPr>
            </w:pPr>
            <w:r>
              <w:rPr>
                <w:rFonts w:hint="eastAsia" w:ascii="仿宋" w:hAnsi="仿宋" w:eastAsia="仿宋"/>
                <w:bCs/>
                <w:color w:val="222222"/>
                <w:kern w:val="0"/>
                <w:szCs w:val="21"/>
              </w:rPr>
              <w:t>减少额（预-决）</w:t>
            </w:r>
          </w:p>
        </w:tc>
      </w:tr>
      <w:tr>
        <w:tblPrEx>
          <w:tblCellMar>
            <w:top w:w="0" w:type="dxa"/>
            <w:left w:w="0" w:type="dxa"/>
            <w:bottom w:w="0" w:type="dxa"/>
            <w:right w:w="0" w:type="dxa"/>
          </w:tblCellMar>
        </w:tblPrEx>
        <w:trPr>
          <w:trHeight w:val="510" w:hRule="atLeast"/>
          <w:jc w:val="center"/>
        </w:trPr>
        <w:tc>
          <w:tcPr>
            <w:tcW w:w="1363" w:type="dxa"/>
            <w:tcBorders>
              <w:top w:val="single" w:color="000000" w:sz="8" w:space="0"/>
              <w:left w:val="single" w:color="000000" w:sz="8" w:space="0"/>
              <w:bottom w:val="single" w:color="000000" w:sz="8" w:space="0"/>
              <w:right w:val="single" w:color="000000" w:sz="8" w:space="0"/>
            </w:tcBorders>
            <w:vAlign w:val="center"/>
          </w:tcPr>
          <w:p>
            <w:pPr>
              <w:widowControl/>
              <w:ind w:firstLine="420" w:firstLineChars="200"/>
              <w:jc w:val="center"/>
              <w:rPr>
                <w:rFonts w:ascii="仿宋" w:hAnsi="仿宋" w:eastAsia="仿宋"/>
                <w:color w:val="222222"/>
                <w:kern w:val="0"/>
                <w:szCs w:val="21"/>
              </w:rPr>
            </w:pPr>
          </w:p>
        </w:tc>
        <w:tc>
          <w:tcPr>
            <w:tcW w:w="1225"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rPr>
                <w:rFonts w:ascii="仿宋" w:hAnsi="仿宋" w:eastAsia="仿宋"/>
                <w:color w:val="222222"/>
                <w:kern w:val="0"/>
                <w:szCs w:val="21"/>
              </w:rPr>
            </w:pPr>
            <w:r>
              <w:rPr>
                <w:rFonts w:hint="eastAsia" w:ascii="仿宋" w:hAnsi="仿宋" w:eastAsia="仿宋"/>
                <w:bCs/>
                <w:color w:val="222222"/>
                <w:kern w:val="0"/>
                <w:szCs w:val="21"/>
              </w:rPr>
              <w:t>基本支出</w:t>
            </w:r>
          </w:p>
        </w:tc>
        <w:tc>
          <w:tcPr>
            <w:tcW w:w="1178"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rPr>
                <w:rFonts w:ascii="仿宋" w:hAnsi="仿宋" w:eastAsia="仿宋"/>
                <w:color w:val="222222"/>
                <w:kern w:val="0"/>
                <w:szCs w:val="21"/>
              </w:rPr>
            </w:pPr>
            <w:r>
              <w:rPr>
                <w:rFonts w:hint="eastAsia" w:ascii="仿宋" w:hAnsi="仿宋" w:eastAsia="仿宋"/>
                <w:bCs/>
                <w:color w:val="222222"/>
                <w:kern w:val="0"/>
                <w:szCs w:val="21"/>
              </w:rPr>
              <w:t>项目支出</w:t>
            </w:r>
          </w:p>
        </w:tc>
        <w:tc>
          <w:tcPr>
            <w:tcW w:w="1283"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rPr>
                <w:rFonts w:ascii="仿宋" w:hAnsi="仿宋" w:eastAsia="仿宋"/>
                <w:color w:val="222222"/>
                <w:kern w:val="0"/>
                <w:szCs w:val="21"/>
              </w:rPr>
            </w:pPr>
            <w:r>
              <w:rPr>
                <w:rFonts w:hint="eastAsia" w:ascii="仿宋" w:hAnsi="仿宋" w:eastAsia="仿宋"/>
                <w:bCs/>
                <w:color w:val="222222"/>
                <w:kern w:val="0"/>
                <w:szCs w:val="21"/>
              </w:rPr>
              <w:t>基本支出</w:t>
            </w:r>
          </w:p>
        </w:tc>
        <w:tc>
          <w:tcPr>
            <w:tcW w:w="1139"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rPr>
                <w:rFonts w:ascii="仿宋" w:hAnsi="仿宋" w:eastAsia="仿宋"/>
                <w:color w:val="222222"/>
                <w:kern w:val="0"/>
                <w:szCs w:val="21"/>
              </w:rPr>
            </w:pPr>
            <w:r>
              <w:rPr>
                <w:rFonts w:hint="eastAsia" w:ascii="仿宋" w:hAnsi="仿宋" w:eastAsia="仿宋"/>
                <w:bCs/>
                <w:color w:val="222222"/>
                <w:kern w:val="0"/>
                <w:szCs w:val="21"/>
              </w:rPr>
              <w:t>项目支出</w:t>
            </w:r>
          </w:p>
        </w:tc>
        <w:tc>
          <w:tcPr>
            <w:tcW w:w="1412"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rPr>
                <w:rFonts w:ascii="仿宋" w:hAnsi="仿宋" w:eastAsia="仿宋"/>
                <w:color w:val="222222"/>
                <w:kern w:val="0"/>
                <w:szCs w:val="21"/>
              </w:rPr>
            </w:pPr>
            <w:r>
              <w:rPr>
                <w:rFonts w:hint="eastAsia" w:ascii="仿宋" w:hAnsi="仿宋" w:eastAsia="仿宋"/>
                <w:bCs/>
                <w:color w:val="222222"/>
                <w:kern w:val="0"/>
                <w:szCs w:val="21"/>
              </w:rPr>
              <w:t>基本支出</w:t>
            </w:r>
          </w:p>
        </w:tc>
        <w:tc>
          <w:tcPr>
            <w:tcW w:w="1163"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rPr>
                <w:rFonts w:ascii="仿宋" w:hAnsi="仿宋" w:eastAsia="仿宋"/>
                <w:color w:val="222222"/>
                <w:kern w:val="0"/>
                <w:szCs w:val="21"/>
              </w:rPr>
            </w:pPr>
            <w:r>
              <w:rPr>
                <w:rFonts w:hint="eastAsia" w:ascii="仿宋" w:hAnsi="仿宋" w:eastAsia="仿宋"/>
                <w:bCs/>
                <w:color w:val="222222"/>
                <w:kern w:val="0"/>
                <w:szCs w:val="21"/>
              </w:rPr>
              <w:t>项目支出</w:t>
            </w:r>
          </w:p>
        </w:tc>
      </w:tr>
      <w:tr>
        <w:tblPrEx>
          <w:tblCellMar>
            <w:top w:w="0" w:type="dxa"/>
            <w:left w:w="0" w:type="dxa"/>
            <w:bottom w:w="0" w:type="dxa"/>
            <w:right w:w="0" w:type="dxa"/>
          </w:tblCellMar>
        </w:tblPrEx>
        <w:trPr>
          <w:trHeight w:val="510" w:hRule="atLeast"/>
          <w:jc w:val="center"/>
        </w:trPr>
        <w:tc>
          <w:tcPr>
            <w:tcW w:w="1363"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rPr>
                <w:rFonts w:ascii="仿宋" w:hAnsi="仿宋" w:eastAsia="仿宋"/>
                <w:color w:val="222222"/>
                <w:kern w:val="0"/>
                <w:szCs w:val="21"/>
              </w:rPr>
            </w:pPr>
            <w:r>
              <w:rPr>
                <w:rFonts w:hint="eastAsia" w:ascii="仿宋" w:hAnsi="仿宋" w:eastAsia="仿宋"/>
                <w:bCs/>
                <w:color w:val="222222"/>
                <w:kern w:val="0"/>
                <w:szCs w:val="21"/>
              </w:rPr>
              <w:t>公务接待</w:t>
            </w:r>
          </w:p>
        </w:tc>
        <w:tc>
          <w:tcPr>
            <w:tcW w:w="1225"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right="480"/>
              <w:jc w:val="center"/>
              <w:rPr>
                <w:rFonts w:hint="default" w:ascii="仿宋" w:hAnsi="仿宋" w:eastAsia="仿宋"/>
                <w:color w:val="222222"/>
                <w:kern w:val="0"/>
                <w:szCs w:val="21"/>
                <w:lang w:val="en-US" w:eastAsia="zh-CN"/>
              </w:rPr>
            </w:pPr>
            <w:r>
              <w:rPr>
                <w:rFonts w:hint="eastAsia" w:ascii="仿宋" w:hAnsi="仿宋" w:eastAsia="仿宋"/>
                <w:color w:val="222222"/>
                <w:kern w:val="0"/>
                <w:szCs w:val="21"/>
                <w:lang w:val="en-US" w:eastAsia="zh-CN"/>
              </w:rPr>
              <w:t xml:space="preserve">  5.7</w:t>
            </w:r>
          </w:p>
        </w:tc>
        <w:tc>
          <w:tcPr>
            <w:tcW w:w="1178"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ascii="仿宋" w:hAnsi="仿宋" w:eastAsia="仿宋"/>
                <w:color w:val="222222"/>
                <w:kern w:val="0"/>
                <w:szCs w:val="21"/>
              </w:rPr>
            </w:pPr>
          </w:p>
        </w:tc>
        <w:tc>
          <w:tcPr>
            <w:tcW w:w="1283"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left"/>
              <w:rPr>
                <w:rFonts w:hint="default" w:ascii="仿宋" w:hAnsi="仿宋" w:eastAsia="仿宋"/>
                <w:color w:val="222222"/>
                <w:kern w:val="0"/>
                <w:szCs w:val="21"/>
                <w:lang w:val="en-US" w:eastAsia="zh-CN"/>
              </w:rPr>
            </w:pPr>
            <w:r>
              <w:rPr>
                <w:rFonts w:hint="eastAsia" w:ascii="仿宋" w:hAnsi="仿宋" w:eastAsia="仿宋"/>
                <w:color w:val="222222"/>
                <w:kern w:val="0"/>
                <w:szCs w:val="21"/>
                <w:lang w:val="en-US" w:eastAsia="zh-CN"/>
              </w:rPr>
              <w:t>1.33</w:t>
            </w:r>
          </w:p>
        </w:tc>
        <w:tc>
          <w:tcPr>
            <w:tcW w:w="1139"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ascii="仿宋" w:hAnsi="仿宋" w:eastAsia="仿宋"/>
                <w:color w:val="222222"/>
                <w:kern w:val="0"/>
                <w:szCs w:val="21"/>
              </w:rPr>
            </w:pPr>
          </w:p>
        </w:tc>
        <w:tc>
          <w:tcPr>
            <w:tcW w:w="1412"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hint="default" w:ascii="仿宋" w:hAnsi="仿宋" w:eastAsia="仿宋"/>
                <w:color w:val="222222"/>
                <w:kern w:val="0"/>
                <w:szCs w:val="21"/>
                <w:lang w:val="en-US" w:eastAsia="zh-CN"/>
              </w:rPr>
            </w:pPr>
            <w:r>
              <w:rPr>
                <w:rFonts w:hint="eastAsia" w:ascii="仿宋" w:hAnsi="仿宋" w:eastAsia="仿宋"/>
                <w:color w:val="222222"/>
                <w:kern w:val="0"/>
                <w:szCs w:val="21"/>
                <w:lang w:val="en-US" w:eastAsia="zh-CN"/>
              </w:rPr>
              <w:t>4.37</w:t>
            </w:r>
          </w:p>
        </w:tc>
        <w:tc>
          <w:tcPr>
            <w:tcW w:w="1163"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ascii="仿宋" w:hAnsi="仿宋" w:eastAsia="仿宋"/>
                <w:color w:val="222222"/>
                <w:kern w:val="0"/>
                <w:szCs w:val="21"/>
              </w:rPr>
            </w:pPr>
          </w:p>
        </w:tc>
      </w:tr>
      <w:tr>
        <w:tblPrEx>
          <w:tblCellMar>
            <w:top w:w="0" w:type="dxa"/>
            <w:left w:w="0" w:type="dxa"/>
            <w:bottom w:w="0" w:type="dxa"/>
            <w:right w:w="0" w:type="dxa"/>
          </w:tblCellMar>
        </w:tblPrEx>
        <w:trPr>
          <w:trHeight w:val="510" w:hRule="atLeast"/>
          <w:jc w:val="center"/>
        </w:trPr>
        <w:tc>
          <w:tcPr>
            <w:tcW w:w="1363"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rPr>
                <w:rFonts w:ascii="仿宋" w:hAnsi="仿宋" w:eastAsia="仿宋"/>
                <w:color w:val="222222"/>
                <w:kern w:val="0"/>
                <w:szCs w:val="21"/>
              </w:rPr>
            </w:pPr>
            <w:r>
              <w:rPr>
                <w:rFonts w:hint="eastAsia" w:ascii="仿宋" w:hAnsi="仿宋" w:eastAsia="仿宋"/>
                <w:bCs/>
                <w:color w:val="222222"/>
                <w:kern w:val="0"/>
                <w:szCs w:val="21"/>
              </w:rPr>
              <w:t>公车运行</w:t>
            </w:r>
          </w:p>
        </w:tc>
        <w:tc>
          <w:tcPr>
            <w:tcW w:w="1225"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210" w:firstLineChars="100"/>
              <w:jc w:val="both"/>
              <w:rPr>
                <w:rFonts w:hint="default" w:ascii="仿宋" w:hAnsi="仿宋" w:eastAsia="仿宋"/>
                <w:color w:val="222222"/>
                <w:kern w:val="0"/>
                <w:szCs w:val="21"/>
                <w:lang w:val="en-US" w:eastAsia="zh-CN"/>
              </w:rPr>
            </w:pPr>
            <w:r>
              <w:rPr>
                <w:rFonts w:hint="eastAsia" w:ascii="仿宋" w:hAnsi="仿宋" w:eastAsia="仿宋"/>
                <w:color w:val="222222"/>
                <w:kern w:val="0"/>
                <w:szCs w:val="21"/>
                <w:lang w:val="en-US" w:eastAsia="zh-CN"/>
              </w:rPr>
              <w:t>350</w:t>
            </w:r>
          </w:p>
        </w:tc>
        <w:tc>
          <w:tcPr>
            <w:tcW w:w="1178"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ascii="仿宋" w:hAnsi="仿宋" w:eastAsia="仿宋"/>
                <w:color w:val="222222"/>
                <w:kern w:val="0"/>
                <w:szCs w:val="21"/>
              </w:rPr>
            </w:pPr>
          </w:p>
        </w:tc>
        <w:tc>
          <w:tcPr>
            <w:tcW w:w="1283"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left"/>
              <w:rPr>
                <w:rFonts w:hint="default" w:ascii="仿宋" w:hAnsi="仿宋" w:eastAsia="仿宋"/>
                <w:color w:val="222222"/>
                <w:kern w:val="0"/>
                <w:szCs w:val="21"/>
                <w:lang w:val="en-US" w:eastAsia="zh-CN"/>
              </w:rPr>
            </w:pPr>
            <w:r>
              <w:rPr>
                <w:rFonts w:hint="eastAsia" w:ascii="仿宋" w:hAnsi="仿宋" w:eastAsia="仿宋"/>
                <w:color w:val="222222"/>
                <w:kern w:val="0"/>
                <w:szCs w:val="21"/>
                <w:lang w:val="en-US" w:eastAsia="zh-CN"/>
              </w:rPr>
              <w:t>124.56</w:t>
            </w:r>
          </w:p>
        </w:tc>
        <w:tc>
          <w:tcPr>
            <w:tcW w:w="1139"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ascii="仿宋" w:hAnsi="仿宋" w:eastAsia="仿宋"/>
                <w:color w:val="222222"/>
                <w:kern w:val="0"/>
                <w:szCs w:val="21"/>
              </w:rPr>
            </w:pPr>
          </w:p>
        </w:tc>
        <w:tc>
          <w:tcPr>
            <w:tcW w:w="1412"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rPr>
                <w:rFonts w:hint="default" w:ascii="仿宋" w:hAnsi="仿宋" w:eastAsia="仿宋"/>
                <w:color w:val="222222"/>
                <w:kern w:val="0"/>
                <w:szCs w:val="21"/>
                <w:lang w:val="en-US" w:eastAsia="zh-CN"/>
              </w:rPr>
            </w:pPr>
            <w:r>
              <w:rPr>
                <w:rFonts w:hint="eastAsia" w:ascii="仿宋" w:hAnsi="仿宋" w:eastAsia="仿宋"/>
                <w:color w:val="222222"/>
                <w:kern w:val="0"/>
                <w:szCs w:val="21"/>
                <w:lang w:val="en-US" w:eastAsia="zh-CN"/>
              </w:rPr>
              <w:t>225.44</w:t>
            </w:r>
          </w:p>
        </w:tc>
        <w:tc>
          <w:tcPr>
            <w:tcW w:w="1163"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ascii="仿宋" w:hAnsi="仿宋" w:eastAsia="仿宋"/>
                <w:color w:val="222222"/>
                <w:kern w:val="0"/>
                <w:szCs w:val="21"/>
              </w:rPr>
            </w:pPr>
          </w:p>
        </w:tc>
      </w:tr>
      <w:tr>
        <w:tblPrEx>
          <w:tblCellMar>
            <w:top w:w="0" w:type="dxa"/>
            <w:left w:w="0" w:type="dxa"/>
            <w:bottom w:w="0" w:type="dxa"/>
            <w:right w:w="0" w:type="dxa"/>
          </w:tblCellMar>
        </w:tblPrEx>
        <w:trPr>
          <w:trHeight w:val="510" w:hRule="atLeast"/>
          <w:jc w:val="center"/>
        </w:trPr>
        <w:tc>
          <w:tcPr>
            <w:tcW w:w="1363"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rPr>
                <w:rFonts w:ascii="仿宋" w:hAnsi="仿宋" w:eastAsia="仿宋"/>
                <w:color w:val="222222"/>
                <w:kern w:val="0"/>
                <w:szCs w:val="21"/>
              </w:rPr>
            </w:pPr>
            <w:r>
              <w:rPr>
                <w:rFonts w:hint="eastAsia" w:ascii="仿宋" w:hAnsi="仿宋" w:eastAsia="仿宋"/>
                <w:bCs/>
                <w:color w:val="222222"/>
                <w:kern w:val="0"/>
                <w:szCs w:val="21"/>
              </w:rPr>
              <w:t>公车购置</w:t>
            </w:r>
          </w:p>
        </w:tc>
        <w:tc>
          <w:tcPr>
            <w:tcW w:w="1225"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left"/>
              <w:rPr>
                <w:rFonts w:hint="eastAsia" w:ascii="仿宋" w:hAnsi="仿宋" w:eastAsia="仿宋"/>
                <w:color w:val="222222"/>
                <w:kern w:val="0"/>
                <w:szCs w:val="21"/>
                <w:lang w:val="en-US" w:eastAsia="zh-CN"/>
              </w:rPr>
            </w:pPr>
            <w:r>
              <w:rPr>
                <w:rFonts w:hint="eastAsia" w:ascii="仿宋" w:hAnsi="仿宋" w:eastAsia="仿宋"/>
                <w:color w:val="222222"/>
                <w:kern w:val="0"/>
                <w:szCs w:val="21"/>
                <w:lang w:val="en-US" w:eastAsia="zh-CN"/>
              </w:rPr>
              <w:t>0</w:t>
            </w:r>
          </w:p>
        </w:tc>
        <w:tc>
          <w:tcPr>
            <w:tcW w:w="1178"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ascii="仿宋" w:hAnsi="仿宋" w:eastAsia="仿宋"/>
                <w:color w:val="222222"/>
                <w:kern w:val="0"/>
                <w:szCs w:val="21"/>
              </w:rPr>
            </w:pPr>
          </w:p>
        </w:tc>
        <w:tc>
          <w:tcPr>
            <w:tcW w:w="1283"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left"/>
              <w:rPr>
                <w:rFonts w:hint="default" w:ascii="仿宋" w:hAnsi="仿宋" w:eastAsia="仿宋"/>
                <w:color w:val="222222"/>
                <w:kern w:val="0"/>
                <w:szCs w:val="21"/>
                <w:lang w:val="en-US" w:eastAsia="zh-CN"/>
              </w:rPr>
            </w:pPr>
            <w:r>
              <w:rPr>
                <w:rFonts w:hint="eastAsia" w:ascii="仿宋" w:hAnsi="仿宋" w:eastAsia="仿宋"/>
                <w:color w:val="222222"/>
                <w:kern w:val="0"/>
                <w:szCs w:val="21"/>
                <w:lang w:val="en-US" w:eastAsia="zh-CN"/>
              </w:rPr>
              <w:t>27.21</w:t>
            </w:r>
          </w:p>
        </w:tc>
        <w:tc>
          <w:tcPr>
            <w:tcW w:w="1139"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ascii="仿宋" w:hAnsi="仿宋" w:eastAsia="仿宋"/>
                <w:color w:val="222222"/>
                <w:kern w:val="0"/>
                <w:szCs w:val="21"/>
              </w:rPr>
            </w:pPr>
          </w:p>
        </w:tc>
        <w:tc>
          <w:tcPr>
            <w:tcW w:w="1412"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hint="default" w:ascii="仿宋" w:hAnsi="仿宋" w:eastAsia="仿宋"/>
                <w:color w:val="222222"/>
                <w:kern w:val="0"/>
                <w:szCs w:val="21"/>
                <w:lang w:val="en-US" w:eastAsia="zh-CN"/>
              </w:rPr>
            </w:pPr>
            <w:r>
              <w:rPr>
                <w:rFonts w:hint="eastAsia" w:ascii="仿宋" w:hAnsi="仿宋" w:eastAsia="仿宋"/>
                <w:color w:val="222222"/>
                <w:kern w:val="0"/>
                <w:szCs w:val="21"/>
                <w:lang w:val="en-US" w:eastAsia="zh-CN"/>
              </w:rPr>
              <w:t>-27.21</w:t>
            </w:r>
          </w:p>
        </w:tc>
        <w:tc>
          <w:tcPr>
            <w:tcW w:w="1163"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ascii="仿宋" w:hAnsi="仿宋" w:eastAsia="仿宋"/>
                <w:color w:val="222222"/>
                <w:kern w:val="0"/>
                <w:szCs w:val="21"/>
              </w:rPr>
            </w:pPr>
          </w:p>
        </w:tc>
      </w:tr>
      <w:tr>
        <w:tblPrEx>
          <w:tblCellMar>
            <w:top w:w="0" w:type="dxa"/>
            <w:left w:w="0" w:type="dxa"/>
            <w:bottom w:w="0" w:type="dxa"/>
            <w:right w:w="0" w:type="dxa"/>
          </w:tblCellMar>
        </w:tblPrEx>
        <w:trPr>
          <w:trHeight w:val="510" w:hRule="atLeast"/>
          <w:jc w:val="center"/>
        </w:trPr>
        <w:tc>
          <w:tcPr>
            <w:tcW w:w="1363"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rPr>
                <w:rFonts w:ascii="仿宋" w:hAnsi="仿宋" w:eastAsia="仿宋"/>
                <w:color w:val="222222"/>
                <w:kern w:val="0"/>
                <w:szCs w:val="21"/>
              </w:rPr>
            </w:pPr>
            <w:r>
              <w:rPr>
                <w:rFonts w:hint="eastAsia" w:ascii="仿宋" w:hAnsi="仿宋" w:eastAsia="仿宋"/>
                <w:bCs/>
                <w:color w:val="222222"/>
                <w:kern w:val="0"/>
                <w:szCs w:val="21"/>
              </w:rPr>
              <w:t>因公出国</w:t>
            </w:r>
          </w:p>
        </w:tc>
        <w:tc>
          <w:tcPr>
            <w:tcW w:w="1225"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left"/>
              <w:rPr>
                <w:rFonts w:hint="eastAsia" w:ascii="仿宋" w:hAnsi="仿宋" w:eastAsia="仿宋"/>
                <w:color w:val="222222"/>
                <w:kern w:val="0"/>
                <w:szCs w:val="21"/>
                <w:lang w:val="en-US" w:eastAsia="zh-CN"/>
              </w:rPr>
            </w:pPr>
            <w:r>
              <w:rPr>
                <w:rFonts w:hint="eastAsia" w:ascii="仿宋" w:hAnsi="仿宋" w:eastAsia="仿宋"/>
                <w:color w:val="222222"/>
                <w:kern w:val="0"/>
                <w:szCs w:val="21"/>
                <w:lang w:val="en-US" w:eastAsia="zh-CN"/>
              </w:rPr>
              <w:t>0</w:t>
            </w:r>
          </w:p>
        </w:tc>
        <w:tc>
          <w:tcPr>
            <w:tcW w:w="1178"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ascii="仿宋" w:hAnsi="仿宋" w:eastAsia="仿宋"/>
                <w:color w:val="222222"/>
                <w:kern w:val="0"/>
                <w:szCs w:val="21"/>
              </w:rPr>
            </w:pPr>
          </w:p>
        </w:tc>
        <w:tc>
          <w:tcPr>
            <w:tcW w:w="1283"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left"/>
              <w:rPr>
                <w:rFonts w:ascii="仿宋" w:hAnsi="仿宋" w:eastAsia="仿宋"/>
                <w:color w:val="222222"/>
                <w:kern w:val="0"/>
                <w:szCs w:val="21"/>
              </w:rPr>
            </w:pPr>
            <w:r>
              <w:rPr>
                <w:rFonts w:hint="eastAsia" w:ascii="仿宋" w:hAnsi="仿宋" w:eastAsia="仿宋"/>
                <w:color w:val="222222"/>
                <w:kern w:val="0"/>
                <w:szCs w:val="21"/>
              </w:rPr>
              <w:t>0</w:t>
            </w:r>
          </w:p>
        </w:tc>
        <w:tc>
          <w:tcPr>
            <w:tcW w:w="1139"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ascii="仿宋" w:hAnsi="仿宋" w:eastAsia="仿宋"/>
                <w:color w:val="222222"/>
                <w:kern w:val="0"/>
                <w:szCs w:val="21"/>
              </w:rPr>
            </w:pPr>
          </w:p>
        </w:tc>
        <w:tc>
          <w:tcPr>
            <w:tcW w:w="1412"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ascii="仿宋" w:hAnsi="仿宋" w:eastAsia="仿宋"/>
                <w:color w:val="222222"/>
                <w:kern w:val="0"/>
                <w:szCs w:val="21"/>
              </w:rPr>
            </w:pPr>
            <w:r>
              <w:rPr>
                <w:rFonts w:hint="eastAsia" w:ascii="仿宋" w:hAnsi="仿宋" w:eastAsia="仿宋"/>
                <w:color w:val="222222"/>
                <w:kern w:val="0"/>
                <w:szCs w:val="21"/>
              </w:rPr>
              <w:t>0</w:t>
            </w:r>
          </w:p>
        </w:tc>
        <w:tc>
          <w:tcPr>
            <w:tcW w:w="1163"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ascii="仿宋" w:hAnsi="仿宋" w:eastAsia="仿宋"/>
                <w:color w:val="222222"/>
                <w:kern w:val="0"/>
                <w:szCs w:val="21"/>
              </w:rPr>
            </w:pPr>
          </w:p>
        </w:tc>
      </w:tr>
      <w:tr>
        <w:tblPrEx>
          <w:tblCellMar>
            <w:top w:w="0" w:type="dxa"/>
            <w:left w:w="0" w:type="dxa"/>
            <w:bottom w:w="0" w:type="dxa"/>
            <w:right w:w="0" w:type="dxa"/>
          </w:tblCellMar>
        </w:tblPrEx>
        <w:trPr>
          <w:trHeight w:val="510" w:hRule="atLeast"/>
          <w:jc w:val="center"/>
        </w:trPr>
        <w:tc>
          <w:tcPr>
            <w:tcW w:w="1363"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ascii="仿宋" w:hAnsi="仿宋" w:eastAsia="仿宋"/>
                <w:color w:val="222222"/>
                <w:kern w:val="0"/>
                <w:szCs w:val="21"/>
              </w:rPr>
            </w:pPr>
            <w:r>
              <w:rPr>
                <w:rFonts w:hint="eastAsia" w:ascii="仿宋" w:hAnsi="仿宋" w:eastAsia="仿宋"/>
                <w:bCs/>
                <w:color w:val="222222"/>
                <w:kern w:val="0"/>
                <w:szCs w:val="21"/>
              </w:rPr>
              <w:t>合  计</w:t>
            </w:r>
          </w:p>
        </w:tc>
        <w:tc>
          <w:tcPr>
            <w:tcW w:w="1225"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center"/>
              <w:rPr>
                <w:rFonts w:hint="default" w:ascii="仿宋" w:hAnsi="仿宋" w:eastAsia="仿宋"/>
                <w:color w:val="222222"/>
                <w:kern w:val="0"/>
                <w:szCs w:val="21"/>
                <w:lang w:val="en-US" w:eastAsia="zh-CN"/>
              </w:rPr>
            </w:pPr>
            <w:r>
              <w:rPr>
                <w:rFonts w:hint="eastAsia" w:ascii="仿宋" w:hAnsi="仿宋" w:eastAsia="仿宋"/>
                <w:color w:val="222222"/>
                <w:kern w:val="0"/>
                <w:szCs w:val="21"/>
                <w:lang w:val="en-US" w:eastAsia="zh-CN"/>
              </w:rPr>
              <w:t>355.70</w:t>
            </w:r>
          </w:p>
        </w:tc>
        <w:tc>
          <w:tcPr>
            <w:tcW w:w="1178"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ascii="仿宋" w:hAnsi="仿宋" w:eastAsia="仿宋"/>
                <w:color w:val="222222"/>
                <w:kern w:val="0"/>
                <w:szCs w:val="21"/>
              </w:rPr>
            </w:pPr>
          </w:p>
        </w:tc>
        <w:tc>
          <w:tcPr>
            <w:tcW w:w="1283"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center"/>
              <w:rPr>
                <w:rFonts w:hint="default" w:ascii="仿宋" w:hAnsi="仿宋" w:eastAsia="仿宋"/>
                <w:color w:val="222222"/>
                <w:kern w:val="0"/>
                <w:szCs w:val="21"/>
                <w:lang w:val="en-US" w:eastAsia="zh-CN"/>
              </w:rPr>
            </w:pPr>
            <w:r>
              <w:rPr>
                <w:rFonts w:hint="eastAsia" w:ascii="仿宋" w:hAnsi="仿宋" w:eastAsia="仿宋"/>
                <w:color w:val="222222"/>
                <w:kern w:val="0"/>
                <w:szCs w:val="21"/>
                <w:lang w:val="en-US" w:eastAsia="zh-CN"/>
              </w:rPr>
              <w:t>153.10</w:t>
            </w:r>
          </w:p>
        </w:tc>
        <w:tc>
          <w:tcPr>
            <w:tcW w:w="1139"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ascii="仿宋" w:hAnsi="仿宋" w:eastAsia="仿宋"/>
                <w:color w:val="222222"/>
                <w:kern w:val="0"/>
                <w:szCs w:val="21"/>
              </w:rPr>
            </w:pPr>
          </w:p>
        </w:tc>
        <w:tc>
          <w:tcPr>
            <w:tcW w:w="1412"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rPr>
                <w:rFonts w:hint="default" w:ascii="仿宋" w:hAnsi="仿宋" w:eastAsia="仿宋"/>
                <w:color w:val="222222"/>
                <w:kern w:val="0"/>
                <w:szCs w:val="21"/>
                <w:lang w:val="en-US" w:eastAsia="zh-CN"/>
              </w:rPr>
            </w:pPr>
            <w:r>
              <w:rPr>
                <w:rFonts w:hint="eastAsia" w:ascii="仿宋" w:hAnsi="仿宋" w:eastAsia="仿宋"/>
                <w:color w:val="222222"/>
                <w:kern w:val="0"/>
                <w:szCs w:val="21"/>
                <w:lang w:val="en-US" w:eastAsia="zh-CN"/>
              </w:rPr>
              <w:t>202.60</w:t>
            </w:r>
          </w:p>
        </w:tc>
        <w:tc>
          <w:tcPr>
            <w:tcW w:w="1163"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ascii="仿宋" w:hAnsi="仿宋" w:eastAsia="仿宋"/>
                <w:color w:val="222222"/>
                <w:kern w:val="0"/>
                <w:szCs w:val="21"/>
              </w:rPr>
            </w:pPr>
          </w:p>
        </w:tc>
      </w:tr>
    </w:tbl>
    <w:p>
      <w:pPr>
        <w:widowControl/>
        <w:ind w:firstLine="560" w:firstLineChars="200"/>
        <w:rPr>
          <w:rFonts w:ascii="仿宋" w:hAnsi="仿宋" w:eastAsia="仿宋"/>
          <w:bCs/>
          <w:color w:val="222222"/>
          <w:kern w:val="0"/>
          <w:sz w:val="28"/>
          <w:szCs w:val="28"/>
        </w:rPr>
      </w:pPr>
      <w:r>
        <w:rPr>
          <w:rFonts w:hint="eastAsia" w:ascii="仿宋" w:hAnsi="仿宋" w:eastAsia="仿宋"/>
          <w:bCs/>
          <w:color w:val="222222"/>
          <w:kern w:val="0"/>
          <w:sz w:val="28"/>
          <w:szCs w:val="28"/>
        </w:rPr>
        <w:t>3、“三公”经费与上年对比情况（单位：</w:t>
      </w:r>
      <w:r>
        <w:rPr>
          <w:rFonts w:hint="eastAsia" w:ascii="仿宋" w:hAnsi="仿宋" w:eastAsia="仿宋"/>
          <w:bCs/>
          <w:color w:val="222222"/>
          <w:kern w:val="0"/>
          <w:sz w:val="28"/>
          <w:szCs w:val="28"/>
          <w:lang w:eastAsia="zh-CN"/>
        </w:rPr>
        <w:t>万</w:t>
      </w:r>
      <w:r>
        <w:rPr>
          <w:rFonts w:hint="eastAsia" w:ascii="仿宋" w:hAnsi="仿宋" w:eastAsia="仿宋"/>
          <w:bCs/>
          <w:color w:val="222222"/>
          <w:kern w:val="0"/>
          <w:sz w:val="28"/>
          <w:szCs w:val="28"/>
        </w:rPr>
        <w:t>元）</w:t>
      </w:r>
    </w:p>
    <w:tbl>
      <w:tblPr>
        <w:tblStyle w:val="9"/>
        <w:tblW w:w="8880" w:type="dxa"/>
        <w:jc w:val="center"/>
        <w:tblLayout w:type="fixed"/>
        <w:tblCellMar>
          <w:top w:w="0" w:type="dxa"/>
          <w:left w:w="0" w:type="dxa"/>
          <w:bottom w:w="0" w:type="dxa"/>
          <w:right w:w="0" w:type="dxa"/>
        </w:tblCellMar>
      </w:tblPr>
      <w:tblGrid>
        <w:gridCol w:w="2351"/>
        <w:gridCol w:w="2052"/>
        <w:gridCol w:w="2052"/>
        <w:gridCol w:w="2425"/>
      </w:tblGrid>
      <w:tr>
        <w:tblPrEx>
          <w:tblCellMar>
            <w:top w:w="0" w:type="dxa"/>
            <w:left w:w="0" w:type="dxa"/>
            <w:bottom w:w="0" w:type="dxa"/>
            <w:right w:w="0" w:type="dxa"/>
          </w:tblCellMar>
        </w:tblPrEx>
        <w:trPr>
          <w:trHeight w:val="568" w:hRule="atLeast"/>
          <w:jc w:val="center"/>
        </w:trPr>
        <w:tc>
          <w:tcPr>
            <w:tcW w:w="2351"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ascii="仿宋" w:hAnsi="仿宋" w:eastAsia="仿宋"/>
                <w:color w:val="222222"/>
                <w:kern w:val="0"/>
                <w:szCs w:val="21"/>
              </w:rPr>
            </w:pPr>
            <w:r>
              <w:rPr>
                <w:rFonts w:hint="eastAsia" w:ascii="仿宋" w:hAnsi="仿宋" w:eastAsia="仿宋"/>
                <w:bCs/>
                <w:color w:val="222222"/>
                <w:kern w:val="0"/>
                <w:szCs w:val="21"/>
              </w:rPr>
              <w:t>费用项目</w:t>
            </w:r>
          </w:p>
        </w:tc>
        <w:tc>
          <w:tcPr>
            <w:tcW w:w="2052"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pPr>
              <w:widowControl/>
              <w:rPr>
                <w:rFonts w:ascii="仿宋" w:hAnsi="仿宋" w:eastAsia="仿宋"/>
                <w:color w:val="222222"/>
                <w:kern w:val="0"/>
                <w:szCs w:val="21"/>
              </w:rPr>
            </w:pPr>
            <w:r>
              <w:rPr>
                <w:rFonts w:hint="eastAsia" w:ascii="仿宋" w:hAnsi="仿宋" w:eastAsia="仿宋"/>
                <w:bCs/>
                <w:color w:val="222222"/>
                <w:kern w:val="0"/>
                <w:szCs w:val="21"/>
              </w:rPr>
              <w:t>20</w:t>
            </w:r>
            <w:r>
              <w:rPr>
                <w:rFonts w:hint="eastAsia" w:ascii="仿宋" w:hAnsi="仿宋" w:eastAsia="仿宋"/>
                <w:bCs/>
                <w:color w:val="222222"/>
                <w:kern w:val="0"/>
                <w:szCs w:val="21"/>
                <w:lang w:val="en-US" w:eastAsia="zh-CN"/>
              </w:rPr>
              <w:t>20</w:t>
            </w:r>
            <w:r>
              <w:rPr>
                <w:rFonts w:hint="eastAsia" w:ascii="仿宋" w:hAnsi="仿宋" w:eastAsia="仿宋"/>
                <w:bCs/>
                <w:color w:val="222222"/>
                <w:kern w:val="0"/>
                <w:szCs w:val="21"/>
              </w:rPr>
              <w:t>年决算数</w:t>
            </w:r>
          </w:p>
        </w:tc>
        <w:tc>
          <w:tcPr>
            <w:tcW w:w="2052"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pPr>
              <w:widowControl/>
              <w:rPr>
                <w:rFonts w:ascii="仿宋" w:hAnsi="仿宋" w:eastAsia="仿宋"/>
                <w:color w:val="222222"/>
                <w:kern w:val="0"/>
                <w:szCs w:val="21"/>
              </w:rPr>
            </w:pPr>
            <w:r>
              <w:rPr>
                <w:rFonts w:hint="eastAsia" w:ascii="仿宋" w:hAnsi="仿宋" w:eastAsia="仿宋"/>
                <w:bCs/>
                <w:color w:val="222222"/>
                <w:kern w:val="0"/>
                <w:szCs w:val="21"/>
              </w:rPr>
              <w:t>202</w:t>
            </w:r>
            <w:r>
              <w:rPr>
                <w:rFonts w:hint="eastAsia" w:ascii="仿宋" w:hAnsi="仿宋" w:eastAsia="仿宋"/>
                <w:bCs/>
                <w:color w:val="222222"/>
                <w:kern w:val="0"/>
                <w:szCs w:val="21"/>
                <w:lang w:val="en-US" w:eastAsia="zh-CN"/>
              </w:rPr>
              <w:t>1</w:t>
            </w:r>
            <w:r>
              <w:rPr>
                <w:rFonts w:hint="eastAsia" w:ascii="仿宋" w:hAnsi="仿宋" w:eastAsia="仿宋"/>
                <w:bCs/>
                <w:color w:val="222222"/>
                <w:kern w:val="0"/>
                <w:szCs w:val="21"/>
              </w:rPr>
              <w:t>年决算数</w:t>
            </w:r>
          </w:p>
        </w:tc>
        <w:tc>
          <w:tcPr>
            <w:tcW w:w="2425"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pPr>
              <w:widowControl/>
              <w:rPr>
                <w:rFonts w:ascii="仿宋" w:hAnsi="仿宋" w:eastAsia="仿宋"/>
                <w:color w:val="222222"/>
                <w:kern w:val="0"/>
                <w:szCs w:val="21"/>
              </w:rPr>
            </w:pPr>
            <w:r>
              <w:rPr>
                <w:rFonts w:hint="eastAsia" w:ascii="仿宋" w:hAnsi="仿宋" w:eastAsia="仿宋"/>
                <w:bCs/>
                <w:color w:val="222222"/>
                <w:kern w:val="0"/>
                <w:szCs w:val="21"/>
              </w:rPr>
              <w:t>增减情况（202</w:t>
            </w:r>
            <w:r>
              <w:rPr>
                <w:rFonts w:hint="eastAsia" w:ascii="仿宋" w:hAnsi="仿宋" w:eastAsia="仿宋"/>
                <w:bCs/>
                <w:color w:val="222222"/>
                <w:kern w:val="0"/>
                <w:szCs w:val="21"/>
                <w:lang w:val="en-US" w:eastAsia="zh-CN"/>
              </w:rPr>
              <w:t>1</w:t>
            </w:r>
            <w:r>
              <w:rPr>
                <w:rFonts w:hint="eastAsia" w:ascii="仿宋" w:hAnsi="仿宋" w:eastAsia="仿宋"/>
                <w:bCs/>
                <w:color w:val="222222"/>
                <w:kern w:val="0"/>
                <w:szCs w:val="21"/>
              </w:rPr>
              <w:t>-20</w:t>
            </w:r>
            <w:r>
              <w:rPr>
                <w:rFonts w:hint="eastAsia" w:ascii="仿宋" w:hAnsi="仿宋" w:eastAsia="仿宋"/>
                <w:bCs/>
                <w:color w:val="222222"/>
                <w:kern w:val="0"/>
                <w:szCs w:val="21"/>
                <w:lang w:val="en-US" w:eastAsia="zh-CN"/>
              </w:rPr>
              <w:t>20</w:t>
            </w:r>
            <w:r>
              <w:rPr>
                <w:rFonts w:hint="eastAsia" w:ascii="仿宋" w:hAnsi="仿宋" w:eastAsia="仿宋"/>
                <w:bCs/>
                <w:color w:val="222222"/>
                <w:kern w:val="0"/>
                <w:szCs w:val="21"/>
              </w:rPr>
              <w:t>）</w:t>
            </w:r>
          </w:p>
        </w:tc>
      </w:tr>
      <w:tr>
        <w:tblPrEx>
          <w:tblCellMar>
            <w:top w:w="0" w:type="dxa"/>
            <w:left w:w="0" w:type="dxa"/>
            <w:bottom w:w="0" w:type="dxa"/>
            <w:right w:w="0" w:type="dxa"/>
          </w:tblCellMar>
        </w:tblPrEx>
        <w:trPr>
          <w:trHeight w:val="397" w:hRule="atLeast"/>
          <w:jc w:val="center"/>
        </w:trPr>
        <w:tc>
          <w:tcPr>
            <w:tcW w:w="2351"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spacing w:before="100" w:after="100"/>
              <w:ind w:firstLine="420" w:firstLineChars="200"/>
              <w:jc w:val="center"/>
              <w:rPr>
                <w:rFonts w:ascii="仿宋" w:hAnsi="仿宋" w:eastAsia="仿宋"/>
                <w:color w:val="222222"/>
                <w:kern w:val="0"/>
                <w:szCs w:val="21"/>
              </w:rPr>
            </w:pPr>
            <w:r>
              <w:rPr>
                <w:rFonts w:hint="eastAsia" w:ascii="仿宋" w:hAnsi="仿宋" w:eastAsia="仿宋"/>
                <w:bCs/>
                <w:color w:val="000000"/>
                <w:kern w:val="0"/>
                <w:szCs w:val="21"/>
              </w:rPr>
              <w:t>公务接待费</w:t>
            </w:r>
          </w:p>
        </w:tc>
        <w:tc>
          <w:tcPr>
            <w:tcW w:w="2052"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hint="default" w:ascii="仿宋" w:hAnsi="仿宋" w:eastAsia="仿宋"/>
                <w:color w:val="222222"/>
                <w:kern w:val="0"/>
                <w:szCs w:val="21"/>
                <w:lang w:val="en-US" w:eastAsia="zh-CN"/>
              </w:rPr>
            </w:pPr>
            <w:r>
              <w:rPr>
                <w:rFonts w:hint="eastAsia" w:ascii="仿宋" w:hAnsi="仿宋" w:eastAsia="仿宋"/>
                <w:color w:val="222222"/>
                <w:kern w:val="0"/>
                <w:szCs w:val="21"/>
                <w:lang w:val="en-US" w:eastAsia="zh-CN"/>
              </w:rPr>
              <w:t>2.08</w:t>
            </w:r>
          </w:p>
        </w:tc>
        <w:tc>
          <w:tcPr>
            <w:tcW w:w="2052"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hint="default" w:ascii="仿宋" w:hAnsi="仿宋" w:eastAsia="仿宋"/>
                <w:color w:val="222222"/>
                <w:kern w:val="0"/>
                <w:szCs w:val="21"/>
                <w:lang w:val="en-US" w:eastAsia="zh-CN"/>
              </w:rPr>
            </w:pPr>
            <w:r>
              <w:rPr>
                <w:rFonts w:hint="eastAsia" w:ascii="仿宋" w:hAnsi="仿宋" w:eastAsia="仿宋"/>
                <w:color w:val="222222"/>
                <w:kern w:val="0"/>
                <w:szCs w:val="21"/>
                <w:lang w:val="en-US" w:eastAsia="zh-CN"/>
              </w:rPr>
              <w:t>1.33</w:t>
            </w:r>
          </w:p>
        </w:tc>
        <w:tc>
          <w:tcPr>
            <w:tcW w:w="2425"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hint="default" w:ascii="仿宋" w:hAnsi="仿宋" w:eastAsia="仿宋"/>
                <w:color w:val="222222"/>
                <w:kern w:val="0"/>
                <w:szCs w:val="21"/>
                <w:lang w:val="en-US" w:eastAsia="zh-CN"/>
              </w:rPr>
            </w:pPr>
            <w:r>
              <w:rPr>
                <w:rFonts w:hint="eastAsia" w:ascii="仿宋" w:hAnsi="仿宋" w:eastAsia="仿宋"/>
                <w:color w:val="222222"/>
                <w:kern w:val="0"/>
                <w:szCs w:val="21"/>
                <w:lang w:val="en-US" w:eastAsia="zh-CN"/>
              </w:rPr>
              <w:t>-0.75</w:t>
            </w:r>
          </w:p>
        </w:tc>
      </w:tr>
      <w:tr>
        <w:tblPrEx>
          <w:tblCellMar>
            <w:top w:w="0" w:type="dxa"/>
            <w:left w:w="0" w:type="dxa"/>
            <w:bottom w:w="0" w:type="dxa"/>
            <w:right w:w="0" w:type="dxa"/>
          </w:tblCellMar>
        </w:tblPrEx>
        <w:trPr>
          <w:trHeight w:val="324" w:hRule="atLeast"/>
          <w:jc w:val="center"/>
        </w:trPr>
        <w:tc>
          <w:tcPr>
            <w:tcW w:w="2351"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spacing w:before="100" w:after="100"/>
              <w:ind w:firstLine="420" w:firstLineChars="200"/>
              <w:rPr>
                <w:rFonts w:ascii="仿宋" w:hAnsi="仿宋" w:eastAsia="仿宋"/>
                <w:color w:val="222222"/>
                <w:kern w:val="0"/>
                <w:szCs w:val="21"/>
              </w:rPr>
            </w:pPr>
            <w:r>
              <w:rPr>
                <w:rFonts w:hint="eastAsia" w:ascii="仿宋" w:hAnsi="仿宋" w:eastAsia="仿宋"/>
                <w:bCs/>
                <w:color w:val="000000"/>
                <w:kern w:val="0"/>
                <w:szCs w:val="21"/>
              </w:rPr>
              <w:t>公车运行维护费</w:t>
            </w:r>
          </w:p>
        </w:tc>
        <w:tc>
          <w:tcPr>
            <w:tcW w:w="2052"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hint="default" w:ascii="仿宋" w:hAnsi="仿宋" w:eastAsia="仿宋"/>
                <w:color w:val="222222"/>
                <w:kern w:val="0"/>
                <w:szCs w:val="21"/>
                <w:lang w:val="en-US" w:eastAsia="zh-CN"/>
              </w:rPr>
            </w:pPr>
            <w:r>
              <w:rPr>
                <w:rFonts w:hint="eastAsia" w:ascii="仿宋" w:hAnsi="仿宋" w:eastAsia="仿宋"/>
                <w:color w:val="222222"/>
                <w:kern w:val="0"/>
                <w:szCs w:val="21"/>
                <w:lang w:val="en-US" w:eastAsia="zh-CN"/>
              </w:rPr>
              <w:t>182.28</w:t>
            </w:r>
          </w:p>
        </w:tc>
        <w:tc>
          <w:tcPr>
            <w:tcW w:w="2052"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hint="default" w:ascii="仿宋" w:hAnsi="仿宋" w:eastAsia="仿宋"/>
                <w:color w:val="222222"/>
                <w:kern w:val="0"/>
                <w:szCs w:val="21"/>
                <w:lang w:val="en-US" w:eastAsia="zh-CN"/>
              </w:rPr>
            </w:pPr>
            <w:r>
              <w:rPr>
                <w:rFonts w:hint="eastAsia" w:ascii="仿宋" w:hAnsi="仿宋" w:eastAsia="仿宋"/>
                <w:color w:val="222222"/>
                <w:kern w:val="0"/>
                <w:szCs w:val="21"/>
                <w:lang w:val="en-US" w:eastAsia="zh-CN"/>
              </w:rPr>
              <w:t>124.56</w:t>
            </w:r>
          </w:p>
        </w:tc>
        <w:tc>
          <w:tcPr>
            <w:tcW w:w="2425"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hint="default" w:ascii="仿宋" w:hAnsi="仿宋" w:eastAsia="仿宋"/>
                <w:color w:val="222222"/>
                <w:kern w:val="0"/>
                <w:szCs w:val="21"/>
                <w:lang w:val="en-US" w:eastAsia="zh-CN"/>
              </w:rPr>
            </w:pPr>
            <w:r>
              <w:rPr>
                <w:rFonts w:hint="eastAsia" w:ascii="仿宋" w:hAnsi="仿宋" w:eastAsia="仿宋"/>
                <w:color w:val="222222"/>
                <w:kern w:val="0"/>
                <w:szCs w:val="21"/>
                <w:lang w:val="en-US" w:eastAsia="zh-CN"/>
              </w:rPr>
              <w:t>-57.72</w:t>
            </w:r>
          </w:p>
        </w:tc>
      </w:tr>
      <w:tr>
        <w:tblPrEx>
          <w:tblCellMar>
            <w:top w:w="0" w:type="dxa"/>
            <w:left w:w="0" w:type="dxa"/>
            <w:bottom w:w="0" w:type="dxa"/>
            <w:right w:w="0" w:type="dxa"/>
          </w:tblCellMar>
        </w:tblPrEx>
        <w:trPr>
          <w:trHeight w:val="422" w:hRule="atLeast"/>
          <w:jc w:val="center"/>
        </w:trPr>
        <w:tc>
          <w:tcPr>
            <w:tcW w:w="2351"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spacing w:before="100" w:after="100"/>
              <w:ind w:firstLine="420" w:firstLineChars="200"/>
              <w:jc w:val="center"/>
              <w:rPr>
                <w:rFonts w:ascii="仿宋" w:hAnsi="仿宋" w:eastAsia="仿宋"/>
                <w:color w:val="222222"/>
                <w:kern w:val="0"/>
                <w:szCs w:val="21"/>
              </w:rPr>
            </w:pPr>
            <w:r>
              <w:rPr>
                <w:rFonts w:hint="eastAsia" w:ascii="仿宋" w:hAnsi="仿宋" w:eastAsia="仿宋"/>
                <w:bCs/>
                <w:color w:val="000000"/>
                <w:kern w:val="0"/>
                <w:szCs w:val="21"/>
              </w:rPr>
              <w:t>因公出国费用</w:t>
            </w:r>
          </w:p>
        </w:tc>
        <w:tc>
          <w:tcPr>
            <w:tcW w:w="2052"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hint="eastAsia" w:ascii="仿宋" w:hAnsi="仿宋" w:eastAsia="仿宋"/>
                <w:color w:val="222222"/>
                <w:kern w:val="0"/>
                <w:szCs w:val="21"/>
                <w:lang w:eastAsia="zh-CN"/>
              </w:rPr>
            </w:pPr>
            <w:r>
              <w:rPr>
                <w:rFonts w:hint="eastAsia" w:ascii="仿宋" w:hAnsi="仿宋" w:eastAsia="仿宋"/>
                <w:color w:val="222222"/>
                <w:kern w:val="0"/>
                <w:szCs w:val="21"/>
                <w:lang w:val="en-US" w:eastAsia="zh-CN"/>
              </w:rPr>
              <w:t>0</w:t>
            </w:r>
          </w:p>
        </w:tc>
        <w:tc>
          <w:tcPr>
            <w:tcW w:w="2052"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ascii="仿宋" w:hAnsi="仿宋" w:eastAsia="仿宋"/>
                <w:color w:val="222222"/>
                <w:kern w:val="0"/>
                <w:szCs w:val="21"/>
              </w:rPr>
            </w:pPr>
            <w:r>
              <w:rPr>
                <w:rFonts w:hint="eastAsia" w:ascii="仿宋" w:hAnsi="仿宋" w:eastAsia="仿宋"/>
                <w:color w:val="222222"/>
                <w:kern w:val="0"/>
                <w:szCs w:val="21"/>
              </w:rPr>
              <w:t>0</w:t>
            </w:r>
          </w:p>
        </w:tc>
        <w:tc>
          <w:tcPr>
            <w:tcW w:w="2425"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hint="eastAsia" w:ascii="仿宋" w:hAnsi="仿宋" w:eastAsia="仿宋"/>
                <w:color w:val="222222"/>
                <w:kern w:val="0"/>
                <w:szCs w:val="21"/>
                <w:lang w:eastAsia="zh-CN"/>
              </w:rPr>
            </w:pPr>
            <w:r>
              <w:rPr>
                <w:rFonts w:hint="eastAsia" w:ascii="仿宋" w:hAnsi="仿宋" w:eastAsia="仿宋"/>
                <w:color w:val="222222"/>
                <w:kern w:val="0"/>
                <w:szCs w:val="21"/>
                <w:lang w:val="en-US" w:eastAsia="zh-CN"/>
              </w:rPr>
              <w:t>0</w:t>
            </w:r>
          </w:p>
        </w:tc>
      </w:tr>
      <w:tr>
        <w:tblPrEx>
          <w:tblCellMar>
            <w:top w:w="0" w:type="dxa"/>
            <w:left w:w="0" w:type="dxa"/>
            <w:bottom w:w="0" w:type="dxa"/>
            <w:right w:w="0" w:type="dxa"/>
          </w:tblCellMar>
        </w:tblPrEx>
        <w:trPr>
          <w:trHeight w:val="363" w:hRule="atLeast"/>
          <w:jc w:val="center"/>
        </w:trPr>
        <w:tc>
          <w:tcPr>
            <w:tcW w:w="2351"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spacing w:before="100" w:after="100"/>
              <w:ind w:firstLine="420" w:firstLineChars="200"/>
              <w:jc w:val="center"/>
              <w:rPr>
                <w:rFonts w:ascii="仿宋" w:hAnsi="仿宋" w:eastAsia="仿宋"/>
                <w:color w:val="222222"/>
                <w:kern w:val="0"/>
                <w:szCs w:val="21"/>
              </w:rPr>
            </w:pPr>
            <w:r>
              <w:rPr>
                <w:rFonts w:hint="eastAsia" w:ascii="仿宋" w:hAnsi="仿宋" w:eastAsia="仿宋"/>
                <w:bCs/>
                <w:color w:val="000000"/>
                <w:kern w:val="0"/>
                <w:szCs w:val="21"/>
              </w:rPr>
              <w:t>公务车购置费</w:t>
            </w:r>
          </w:p>
        </w:tc>
        <w:tc>
          <w:tcPr>
            <w:tcW w:w="2052"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hint="eastAsia" w:ascii="仿宋" w:hAnsi="仿宋" w:eastAsia="仿宋"/>
                <w:color w:val="222222"/>
                <w:kern w:val="0"/>
                <w:szCs w:val="21"/>
                <w:lang w:eastAsia="zh-CN"/>
              </w:rPr>
            </w:pPr>
            <w:r>
              <w:rPr>
                <w:rFonts w:hint="eastAsia" w:ascii="仿宋" w:hAnsi="仿宋" w:eastAsia="仿宋"/>
                <w:color w:val="222222"/>
                <w:kern w:val="0"/>
                <w:szCs w:val="21"/>
                <w:lang w:val="en-US" w:eastAsia="zh-CN"/>
              </w:rPr>
              <w:t>0</w:t>
            </w:r>
          </w:p>
        </w:tc>
        <w:tc>
          <w:tcPr>
            <w:tcW w:w="2052"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hint="default" w:ascii="仿宋" w:hAnsi="仿宋" w:eastAsia="仿宋"/>
                <w:color w:val="222222"/>
                <w:kern w:val="0"/>
                <w:szCs w:val="21"/>
                <w:lang w:val="en-US" w:eastAsia="zh-CN"/>
              </w:rPr>
            </w:pPr>
            <w:r>
              <w:rPr>
                <w:rFonts w:hint="eastAsia" w:ascii="仿宋" w:hAnsi="仿宋" w:eastAsia="仿宋"/>
                <w:color w:val="222222"/>
                <w:kern w:val="0"/>
                <w:szCs w:val="21"/>
                <w:lang w:val="en-US" w:eastAsia="zh-CN"/>
              </w:rPr>
              <w:t>27.21</w:t>
            </w:r>
          </w:p>
        </w:tc>
        <w:tc>
          <w:tcPr>
            <w:tcW w:w="2425"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hint="default" w:ascii="仿宋" w:hAnsi="仿宋" w:eastAsia="仿宋"/>
                <w:color w:val="222222"/>
                <w:kern w:val="0"/>
                <w:szCs w:val="21"/>
                <w:lang w:val="en-US" w:eastAsia="zh-CN"/>
              </w:rPr>
            </w:pPr>
            <w:r>
              <w:rPr>
                <w:rFonts w:hint="eastAsia" w:ascii="仿宋" w:hAnsi="仿宋" w:eastAsia="仿宋"/>
                <w:color w:val="222222"/>
                <w:kern w:val="0"/>
                <w:szCs w:val="21"/>
                <w:lang w:val="en-US" w:eastAsia="zh-CN"/>
              </w:rPr>
              <w:t>27.21</w:t>
            </w:r>
          </w:p>
        </w:tc>
      </w:tr>
      <w:tr>
        <w:tblPrEx>
          <w:tblCellMar>
            <w:top w:w="0" w:type="dxa"/>
            <w:left w:w="0" w:type="dxa"/>
            <w:bottom w:w="0" w:type="dxa"/>
            <w:right w:w="0" w:type="dxa"/>
          </w:tblCellMar>
        </w:tblPrEx>
        <w:trPr>
          <w:trHeight w:val="291" w:hRule="atLeast"/>
          <w:jc w:val="center"/>
        </w:trPr>
        <w:tc>
          <w:tcPr>
            <w:tcW w:w="2351"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spacing w:before="100" w:after="100"/>
              <w:ind w:firstLine="420" w:firstLineChars="200"/>
              <w:jc w:val="center"/>
              <w:rPr>
                <w:rFonts w:ascii="仿宋" w:hAnsi="仿宋" w:eastAsia="仿宋"/>
                <w:color w:val="222222"/>
                <w:kern w:val="0"/>
                <w:szCs w:val="21"/>
              </w:rPr>
            </w:pPr>
            <w:r>
              <w:rPr>
                <w:rFonts w:hint="eastAsia" w:ascii="仿宋" w:hAnsi="仿宋" w:eastAsia="仿宋"/>
                <w:bCs/>
                <w:color w:val="000000"/>
                <w:kern w:val="0"/>
                <w:szCs w:val="21"/>
              </w:rPr>
              <w:t>合  计</w:t>
            </w:r>
          </w:p>
        </w:tc>
        <w:tc>
          <w:tcPr>
            <w:tcW w:w="2052"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hint="default" w:ascii="仿宋" w:hAnsi="仿宋" w:eastAsia="仿宋"/>
                <w:color w:val="222222"/>
                <w:kern w:val="0"/>
                <w:szCs w:val="21"/>
                <w:lang w:val="en-US" w:eastAsia="zh-CN"/>
              </w:rPr>
            </w:pPr>
            <w:r>
              <w:rPr>
                <w:rFonts w:hint="eastAsia" w:ascii="仿宋" w:hAnsi="仿宋" w:eastAsia="仿宋"/>
                <w:color w:val="222222"/>
                <w:kern w:val="0"/>
                <w:szCs w:val="21"/>
                <w:lang w:val="en-US" w:eastAsia="zh-CN"/>
              </w:rPr>
              <w:t>184.36</w:t>
            </w:r>
          </w:p>
        </w:tc>
        <w:tc>
          <w:tcPr>
            <w:tcW w:w="2052"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hint="default" w:ascii="仿宋" w:hAnsi="仿宋" w:eastAsia="仿宋"/>
                <w:color w:val="222222"/>
                <w:kern w:val="0"/>
                <w:szCs w:val="21"/>
                <w:lang w:val="en-US" w:eastAsia="zh-CN"/>
              </w:rPr>
            </w:pPr>
            <w:r>
              <w:rPr>
                <w:rFonts w:hint="eastAsia" w:ascii="仿宋" w:hAnsi="仿宋" w:eastAsia="仿宋"/>
                <w:color w:val="222222"/>
                <w:kern w:val="0"/>
                <w:szCs w:val="21"/>
                <w:lang w:val="en-US" w:eastAsia="zh-CN"/>
              </w:rPr>
              <w:t>153.10</w:t>
            </w:r>
          </w:p>
        </w:tc>
        <w:tc>
          <w:tcPr>
            <w:tcW w:w="2425"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ind w:firstLine="420" w:firstLineChars="200"/>
              <w:jc w:val="center"/>
              <w:rPr>
                <w:rFonts w:hint="default" w:ascii="仿宋" w:hAnsi="仿宋" w:eastAsia="仿宋"/>
                <w:color w:val="222222"/>
                <w:kern w:val="0"/>
                <w:szCs w:val="21"/>
                <w:lang w:val="en-US" w:eastAsia="zh-CN"/>
              </w:rPr>
            </w:pPr>
            <w:r>
              <w:rPr>
                <w:rFonts w:hint="eastAsia" w:ascii="仿宋" w:hAnsi="仿宋" w:eastAsia="仿宋"/>
                <w:color w:val="222222"/>
                <w:kern w:val="0"/>
                <w:szCs w:val="21"/>
                <w:lang w:val="en-US" w:eastAsia="zh-CN"/>
              </w:rPr>
              <w:t>-31.26</w:t>
            </w:r>
          </w:p>
        </w:tc>
      </w:tr>
    </w:tbl>
    <w:p>
      <w:pPr>
        <w:pStyle w:val="8"/>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30" w:lineRule="atLeast"/>
        <w:ind w:right="0" w:rightChars="0" w:firstLine="280" w:firstLineChars="100"/>
        <w:jc w:val="left"/>
        <w:rPr>
          <w:rFonts w:hint="eastAsia" w:ascii="仿宋" w:hAnsi="仿宋" w:eastAsia="仿宋"/>
          <w:bCs/>
          <w:color w:val="000000"/>
          <w:kern w:val="0"/>
          <w:sz w:val="28"/>
          <w:szCs w:val="28"/>
        </w:rPr>
      </w:pPr>
      <w:r>
        <w:rPr>
          <w:rFonts w:hint="eastAsia" w:ascii="仿宋" w:hAnsi="仿宋" w:eastAsia="仿宋"/>
          <w:bCs/>
          <w:color w:val="000000"/>
          <w:kern w:val="0"/>
          <w:sz w:val="28"/>
          <w:szCs w:val="28"/>
        </w:rPr>
        <w:t>202</w:t>
      </w:r>
      <w:r>
        <w:rPr>
          <w:rFonts w:hint="eastAsia" w:ascii="仿宋" w:hAnsi="仿宋" w:eastAsia="仿宋"/>
          <w:bCs/>
          <w:color w:val="000000"/>
          <w:kern w:val="0"/>
          <w:sz w:val="28"/>
          <w:szCs w:val="28"/>
          <w:lang w:val="en-US" w:eastAsia="zh-CN"/>
        </w:rPr>
        <w:t>1</w:t>
      </w:r>
      <w:r>
        <w:rPr>
          <w:rFonts w:hint="eastAsia" w:ascii="仿宋" w:hAnsi="仿宋" w:eastAsia="仿宋"/>
          <w:bCs/>
          <w:color w:val="000000"/>
          <w:kern w:val="0"/>
          <w:sz w:val="28"/>
          <w:szCs w:val="28"/>
        </w:rPr>
        <w:t>年“三公”经费实际发生</w:t>
      </w:r>
      <w:r>
        <w:rPr>
          <w:rFonts w:hint="eastAsia" w:ascii="仿宋" w:hAnsi="仿宋" w:eastAsia="仿宋"/>
          <w:bCs/>
          <w:color w:val="000000"/>
          <w:kern w:val="0"/>
          <w:sz w:val="28"/>
          <w:szCs w:val="28"/>
          <w:lang w:val="en-US" w:eastAsia="zh-CN"/>
        </w:rPr>
        <w:t>153.10万</w:t>
      </w:r>
      <w:r>
        <w:rPr>
          <w:rFonts w:hint="eastAsia" w:ascii="仿宋" w:hAnsi="仿宋" w:eastAsia="仿宋"/>
          <w:bCs/>
          <w:color w:val="000000"/>
          <w:kern w:val="0"/>
          <w:sz w:val="28"/>
          <w:szCs w:val="28"/>
        </w:rPr>
        <w:t>元，为年初预算</w:t>
      </w:r>
      <w:r>
        <w:rPr>
          <w:rFonts w:hint="eastAsia" w:ascii="仿宋" w:hAnsi="仿宋" w:eastAsia="仿宋"/>
          <w:bCs/>
          <w:color w:val="000000"/>
          <w:kern w:val="0"/>
          <w:sz w:val="28"/>
          <w:szCs w:val="28"/>
          <w:lang w:val="en-US" w:eastAsia="zh-CN"/>
        </w:rPr>
        <w:t>355.70万</w:t>
      </w:r>
      <w:r>
        <w:rPr>
          <w:rFonts w:hint="eastAsia" w:ascii="仿宋" w:hAnsi="仿宋" w:eastAsia="仿宋"/>
          <w:bCs/>
          <w:color w:val="000000"/>
          <w:kern w:val="0"/>
          <w:sz w:val="28"/>
          <w:szCs w:val="28"/>
        </w:rPr>
        <w:t>元的</w:t>
      </w:r>
      <w:r>
        <w:rPr>
          <w:rFonts w:hint="eastAsia" w:ascii="仿宋" w:hAnsi="仿宋" w:eastAsia="仿宋"/>
          <w:bCs/>
          <w:color w:val="000000"/>
          <w:kern w:val="0"/>
          <w:sz w:val="28"/>
          <w:szCs w:val="28"/>
          <w:lang w:val="en-US" w:eastAsia="zh-CN"/>
        </w:rPr>
        <w:t>43</w:t>
      </w:r>
      <w:r>
        <w:rPr>
          <w:rFonts w:hint="eastAsia" w:ascii="仿宋" w:hAnsi="仿宋" w:eastAsia="仿宋"/>
          <w:bCs/>
          <w:color w:val="000000"/>
          <w:kern w:val="0"/>
          <w:sz w:val="28"/>
          <w:szCs w:val="28"/>
        </w:rPr>
        <w:t>.4</w:t>
      </w:r>
      <w:r>
        <w:rPr>
          <w:rFonts w:hint="eastAsia" w:ascii="仿宋" w:hAnsi="仿宋" w:eastAsia="仿宋"/>
          <w:bCs/>
          <w:color w:val="000000"/>
          <w:kern w:val="0"/>
          <w:sz w:val="28"/>
          <w:szCs w:val="28"/>
          <w:lang w:val="en-US" w:eastAsia="zh-CN"/>
        </w:rPr>
        <w:t>21</w:t>
      </w:r>
      <w:r>
        <w:rPr>
          <w:rFonts w:hint="eastAsia" w:ascii="仿宋" w:hAnsi="仿宋" w:eastAsia="仿宋"/>
          <w:bCs/>
          <w:color w:val="000000"/>
          <w:kern w:val="0"/>
          <w:sz w:val="28"/>
          <w:szCs w:val="28"/>
        </w:rPr>
        <w:t>%，比去年同期</w:t>
      </w:r>
      <w:r>
        <w:rPr>
          <w:rFonts w:hint="eastAsia" w:ascii="仿宋" w:hAnsi="仿宋" w:eastAsia="仿宋"/>
          <w:bCs/>
          <w:color w:val="000000"/>
          <w:kern w:val="0"/>
          <w:sz w:val="28"/>
          <w:szCs w:val="28"/>
          <w:lang w:val="en-US" w:eastAsia="zh-CN"/>
        </w:rPr>
        <w:t>184.36万</w:t>
      </w:r>
      <w:r>
        <w:rPr>
          <w:rFonts w:hint="eastAsia" w:ascii="仿宋" w:hAnsi="仿宋" w:eastAsia="仿宋"/>
          <w:bCs/>
          <w:color w:val="000000"/>
          <w:kern w:val="0"/>
          <w:sz w:val="28"/>
          <w:szCs w:val="28"/>
        </w:rPr>
        <w:t>元减少</w:t>
      </w:r>
      <w:r>
        <w:rPr>
          <w:rFonts w:hint="eastAsia" w:ascii="仿宋" w:hAnsi="仿宋" w:eastAsia="仿宋"/>
          <w:bCs/>
          <w:color w:val="000000"/>
          <w:kern w:val="0"/>
          <w:sz w:val="28"/>
          <w:szCs w:val="28"/>
          <w:lang w:val="en-US" w:eastAsia="zh-CN"/>
        </w:rPr>
        <w:t>31.26万</w:t>
      </w:r>
      <w:r>
        <w:rPr>
          <w:rFonts w:hint="eastAsia" w:ascii="仿宋" w:hAnsi="仿宋" w:eastAsia="仿宋"/>
          <w:bCs/>
          <w:color w:val="000000"/>
          <w:kern w:val="0"/>
          <w:sz w:val="28"/>
          <w:szCs w:val="28"/>
        </w:rPr>
        <w:t>元，下降</w:t>
      </w:r>
      <w:r>
        <w:rPr>
          <w:rFonts w:hint="eastAsia" w:ascii="仿宋" w:hAnsi="仿宋" w:eastAsia="仿宋"/>
          <w:bCs/>
          <w:color w:val="000000"/>
          <w:kern w:val="0"/>
          <w:sz w:val="28"/>
          <w:szCs w:val="28"/>
          <w:lang w:val="en-US" w:eastAsia="zh-CN"/>
        </w:rPr>
        <w:t>16.96</w:t>
      </w:r>
      <w:r>
        <w:rPr>
          <w:rFonts w:hint="eastAsia" w:ascii="仿宋" w:hAnsi="仿宋" w:eastAsia="仿宋"/>
          <w:bCs/>
          <w:color w:val="000000"/>
          <w:kern w:val="0"/>
          <w:sz w:val="28"/>
          <w:szCs w:val="28"/>
        </w:rPr>
        <w:t>%。从上表可以看出，本年“三公”经费下降主要是由于公务用车费用下降幅度较大，未发生因公出国费用。</w:t>
      </w:r>
    </w:p>
    <w:p>
      <w:pPr>
        <w:pStyle w:val="8"/>
        <w:spacing w:before="0" w:beforeAutospacing="0" w:after="0" w:afterAutospacing="0" w:line="520" w:lineRule="exact"/>
        <w:ind w:firstLine="281" w:firstLineChars="100"/>
        <w:jc w:val="both"/>
        <w:rPr>
          <w:rFonts w:ascii="仿宋" w:hAnsi="仿宋" w:eastAsia="仿宋" w:cstheme="minorBidi"/>
          <w:b/>
          <w:bCs/>
          <w:kern w:val="2"/>
          <w:sz w:val="28"/>
          <w:szCs w:val="28"/>
        </w:rPr>
      </w:pPr>
      <w:r>
        <w:rPr>
          <w:rFonts w:hint="eastAsia" w:ascii="仿宋" w:hAnsi="仿宋" w:eastAsia="仿宋" w:cstheme="minorBidi"/>
          <w:b/>
          <w:bCs/>
          <w:kern w:val="2"/>
          <w:sz w:val="28"/>
          <w:szCs w:val="28"/>
          <w:lang w:eastAsia="zh-CN"/>
        </w:rPr>
        <w:t>（三）基本</w:t>
      </w:r>
      <w:r>
        <w:rPr>
          <w:rFonts w:hint="eastAsia" w:ascii="仿宋" w:hAnsi="仿宋" w:eastAsia="仿宋" w:cstheme="minorBidi"/>
          <w:b/>
          <w:bCs/>
          <w:kern w:val="2"/>
          <w:sz w:val="28"/>
          <w:szCs w:val="28"/>
        </w:rPr>
        <w:t>支出</w:t>
      </w:r>
      <w:r>
        <w:rPr>
          <w:rFonts w:hint="eastAsia" w:ascii="仿宋" w:hAnsi="仿宋" w:eastAsia="仿宋" w:cstheme="minorBidi"/>
          <w:b/>
          <w:bCs/>
          <w:kern w:val="2"/>
          <w:sz w:val="28"/>
          <w:szCs w:val="28"/>
          <w:lang w:eastAsia="zh-CN"/>
        </w:rPr>
        <w:t>资金</w:t>
      </w:r>
      <w:r>
        <w:rPr>
          <w:rFonts w:hint="eastAsia" w:ascii="仿宋" w:hAnsi="仿宋" w:eastAsia="仿宋" w:cstheme="minorBidi"/>
          <w:b/>
          <w:bCs/>
          <w:kern w:val="2"/>
          <w:sz w:val="28"/>
          <w:szCs w:val="28"/>
        </w:rPr>
        <w:t>使用管理情况</w:t>
      </w:r>
    </w:p>
    <w:p>
      <w:pPr>
        <w:autoSpaceDE w:val="0"/>
        <w:autoSpaceDN w:val="0"/>
        <w:spacing w:line="520" w:lineRule="exact"/>
        <w:ind w:firstLine="560" w:firstLineChars="200"/>
        <w:rPr>
          <w:rFonts w:ascii="仿宋" w:hAnsi="仿宋" w:eastAsia="仿宋"/>
          <w:sz w:val="28"/>
          <w:szCs w:val="28"/>
          <w:lang w:val="zh-CN"/>
        </w:rPr>
      </w:pPr>
      <w:r>
        <w:rPr>
          <w:rFonts w:hint="eastAsia" w:ascii="仿宋" w:hAnsi="仿宋" w:eastAsia="仿宋"/>
          <w:sz w:val="28"/>
          <w:szCs w:val="28"/>
          <w:lang w:val="zh-CN"/>
        </w:rPr>
        <w:t>益阳市公安局交警支队20</w:t>
      </w:r>
      <w:r>
        <w:rPr>
          <w:rFonts w:hint="eastAsia" w:ascii="仿宋" w:hAnsi="仿宋" w:eastAsia="仿宋"/>
          <w:sz w:val="28"/>
          <w:szCs w:val="28"/>
        </w:rPr>
        <w:t>2</w:t>
      </w:r>
      <w:r>
        <w:rPr>
          <w:rFonts w:hint="eastAsia" w:ascii="仿宋" w:hAnsi="仿宋" w:eastAsia="仿宋"/>
          <w:sz w:val="28"/>
          <w:szCs w:val="28"/>
          <w:lang w:val="en-US" w:eastAsia="zh-CN"/>
        </w:rPr>
        <w:t>1</w:t>
      </w:r>
      <w:r>
        <w:rPr>
          <w:rFonts w:hint="eastAsia" w:ascii="仿宋" w:hAnsi="仿宋" w:eastAsia="仿宋"/>
          <w:sz w:val="28"/>
          <w:szCs w:val="28"/>
          <w:lang w:val="zh-CN"/>
        </w:rPr>
        <w:t>年度基本支出决算金额未出现超支，在资金使用上，严格遵守各项财经法规和财务管理制度规定，资金拨付有完整的审批程序和手续，支出符合部门预算批复的用途，无截留、挤占、挪用、虚列支出等情况。为了搞好部门整体支出管理工作，交警支队采取了以下措施：</w:t>
      </w:r>
    </w:p>
    <w:p>
      <w:pPr>
        <w:autoSpaceDE w:val="0"/>
        <w:autoSpaceDN w:val="0"/>
        <w:spacing w:line="520" w:lineRule="exact"/>
        <w:ind w:firstLine="560" w:firstLineChars="200"/>
        <w:rPr>
          <w:rFonts w:ascii="仿宋" w:hAnsi="仿宋" w:eastAsia="仿宋" w:cs="宋体"/>
          <w:kern w:val="0"/>
          <w:sz w:val="24"/>
          <w:szCs w:val="24"/>
        </w:rPr>
      </w:pPr>
      <w:r>
        <w:rPr>
          <w:rFonts w:hint="eastAsia" w:ascii="仿宋" w:hAnsi="仿宋" w:eastAsia="仿宋"/>
          <w:sz w:val="28"/>
          <w:szCs w:val="28"/>
          <w:lang w:val="zh-CN"/>
        </w:rPr>
        <w:t>（1）加强内部管理制度建设，支队</w:t>
      </w:r>
      <w:r>
        <w:rPr>
          <w:rFonts w:hint="eastAsia" w:ascii="仿宋" w:hAnsi="仿宋" w:eastAsia="仿宋"/>
          <w:sz w:val="28"/>
          <w:szCs w:val="28"/>
        </w:rPr>
        <w:t>成立了内部控制领导小组，</w:t>
      </w:r>
      <w:r>
        <w:rPr>
          <w:rFonts w:hint="eastAsia" w:ascii="仿宋" w:hAnsi="仿宋" w:eastAsia="仿宋"/>
          <w:sz w:val="28"/>
          <w:szCs w:val="28"/>
          <w:lang w:val="zh-CN"/>
        </w:rPr>
        <w:t>制定了《项目建设专项资金管理规定》和《益阳市交警支队经费报销会审联签制度》等制度，通过制度明确了资金的使用范围，明确了责任人，完善了报账流程、规定与权限，严格报批、销审等手续，做好财务管理工作。</w:t>
      </w:r>
    </w:p>
    <w:p>
      <w:pPr>
        <w:autoSpaceDE w:val="0"/>
        <w:autoSpaceDN w:val="0"/>
        <w:spacing w:line="520" w:lineRule="exact"/>
        <w:ind w:firstLine="560" w:firstLineChars="200"/>
        <w:rPr>
          <w:rFonts w:ascii="仿宋" w:hAnsi="仿宋" w:eastAsia="仿宋"/>
          <w:sz w:val="28"/>
          <w:szCs w:val="28"/>
          <w:lang w:val="zh-CN"/>
        </w:rPr>
      </w:pPr>
      <w:r>
        <w:rPr>
          <w:rFonts w:hint="eastAsia" w:ascii="仿宋" w:hAnsi="仿宋" w:eastAsia="仿宋"/>
          <w:sz w:val="28"/>
          <w:szCs w:val="28"/>
          <w:lang w:val="zh-CN"/>
        </w:rPr>
        <w:t>（2）加强部门预算管理，合理安排财政资金。增强行政成本意识，细化经费预算编制，在保证机关正常工作需要的人员经费和公用经费的前提下，严格控制 “三公”经费支出和专项支出，各项支出遵照预算执行，确保支出与预算的对应衔接，着力提高预算执行力。</w:t>
      </w:r>
    </w:p>
    <w:p>
      <w:pPr>
        <w:autoSpaceDE w:val="0"/>
        <w:autoSpaceDN w:val="0"/>
        <w:spacing w:line="520" w:lineRule="exact"/>
        <w:ind w:firstLine="560" w:firstLineChars="200"/>
        <w:rPr>
          <w:rFonts w:ascii="仿宋" w:hAnsi="仿宋" w:eastAsia="仿宋"/>
          <w:sz w:val="28"/>
          <w:szCs w:val="28"/>
          <w:lang w:val="zh-CN"/>
        </w:rPr>
      </w:pPr>
      <w:r>
        <w:rPr>
          <w:rFonts w:hint="eastAsia" w:ascii="仿宋" w:hAnsi="仿宋" w:eastAsia="仿宋"/>
          <w:sz w:val="28"/>
          <w:szCs w:val="28"/>
          <w:lang w:val="zh-CN"/>
        </w:rPr>
        <w:t>（3）加强“三公”经费管理，严控“三公”经费规模。在既有的制度办法基础上，严格按照年度计划指标控制使用，由支队行财科对“三公”经费设立台账，将“三公”经费严格纳入预算管理，严控 “三公”经费支出。</w:t>
      </w:r>
    </w:p>
    <w:p>
      <w:pPr>
        <w:autoSpaceDE w:val="0"/>
        <w:autoSpaceDN w:val="0"/>
        <w:spacing w:line="520" w:lineRule="exact"/>
        <w:ind w:firstLine="560" w:firstLineChars="200"/>
        <w:rPr>
          <w:rFonts w:ascii="仿宋" w:hAnsi="仿宋" w:eastAsia="仿宋"/>
          <w:sz w:val="28"/>
          <w:szCs w:val="28"/>
          <w:lang w:val="zh-CN"/>
        </w:rPr>
      </w:pPr>
      <w:r>
        <w:rPr>
          <w:rFonts w:hint="eastAsia" w:ascii="仿宋" w:hAnsi="仿宋" w:eastAsia="仿宋"/>
          <w:sz w:val="28"/>
          <w:szCs w:val="28"/>
          <w:lang w:val="zh-CN"/>
        </w:rPr>
        <w:t>（4）加强对公用支出中重点费用的管理。规范会议费、培训费、差旅费、办公费等费用开支标准，按照国家规定的标准和范围列支，坚持厉行节约的原则，控制和压缩办公经费支出，各项费用严格控制在预算额度内使用。</w:t>
      </w:r>
    </w:p>
    <w:p>
      <w:pPr>
        <w:autoSpaceDE w:val="0"/>
        <w:autoSpaceDN w:val="0"/>
        <w:spacing w:line="520" w:lineRule="exact"/>
        <w:ind w:firstLine="560" w:firstLineChars="200"/>
        <w:rPr>
          <w:rFonts w:ascii="仿宋" w:hAnsi="仿宋" w:eastAsia="仿宋"/>
          <w:sz w:val="28"/>
          <w:szCs w:val="28"/>
          <w:lang w:val="zh-CN"/>
        </w:rPr>
      </w:pPr>
      <w:r>
        <w:rPr>
          <w:rFonts w:hint="eastAsia" w:ascii="仿宋" w:hAnsi="仿宋" w:eastAsia="仿宋"/>
          <w:sz w:val="28"/>
          <w:szCs w:val="28"/>
          <w:lang w:val="zh-CN"/>
        </w:rPr>
        <w:t>（5）重视对项目支出的管理。制定了《项目建设专项资金管理规定》，项目支出严格纳入经费预算，统筹安排使用专项资金，实行工程履约保证金制度，根据批复的预算严格控制各项支出，没有纳入预算的项目不能支出，确保资金运转规范有序。</w:t>
      </w:r>
    </w:p>
    <w:p>
      <w:pPr>
        <w:autoSpaceDE w:val="0"/>
        <w:autoSpaceDN w:val="0"/>
        <w:spacing w:line="520" w:lineRule="exact"/>
        <w:ind w:firstLine="560" w:firstLineChars="200"/>
        <w:rPr>
          <w:rFonts w:ascii="仿宋" w:hAnsi="仿宋" w:eastAsia="仿宋"/>
          <w:sz w:val="28"/>
          <w:szCs w:val="28"/>
          <w:lang w:val="zh-CN"/>
        </w:rPr>
      </w:pPr>
      <w:r>
        <w:rPr>
          <w:rFonts w:hint="eastAsia" w:ascii="仿宋" w:hAnsi="仿宋" w:eastAsia="仿宋"/>
          <w:sz w:val="28"/>
          <w:szCs w:val="28"/>
          <w:lang w:val="zh-CN"/>
        </w:rPr>
        <w:t>（6）规范大宗商品的购置管理。大宗商品购置执行预算管理制度，达到政府采购标准的商品购置，按照政府采购的要求和程序，依法实行政府采购。</w:t>
      </w:r>
    </w:p>
    <w:p>
      <w:pPr>
        <w:autoSpaceDE w:val="0"/>
        <w:autoSpaceDN w:val="0"/>
        <w:spacing w:line="520" w:lineRule="exact"/>
        <w:ind w:firstLine="560" w:firstLineChars="200"/>
        <w:rPr>
          <w:rFonts w:ascii="仿宋" w:hAnsi="仿宋" w:eastAsia="仿宋"/>
          <w:sz w:val="28"/>
          <w:szCs w:val="28"/>
          <w:lang w:val="zh-CN"/>
        </w:rPr>
      </w:pPr>
      <w:r>
        <w:rPr>
          <w:rFonts w:hint="eastAsia" w:ascii="仿宋" w:hAnsi="仿宋" w:eastAsia="仿宋"/>
          <w:sz w:val="28"/>
          <w:szCs w:val="28"/>
          <w:lang w:val="zh-CN"/>
        </w:rPr>
        <w:t>（7）预决算信息公开。在规定的时间内对预、决算和“三公”经费进行公开。</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right="0"/>
        <w:jc w:val="both"/>
        <w:rPr>
          <w:rFonts w:hint="eastAsia" w:ascii="仿宋" w:hAnsi="仿宋" w:eastAsia="仿宋" w:cs="仿宋"/>
          <w:b/>
          <w:bCs/>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fill="FFFFFF"/>
        </w:rPr>
        <w:t>（</w:t>
      </w:r>
      <w:r>
        <w:rPr>
          <w:rFonts w:hint="eastAsia" w:ascii="仿宋" w:hAnsi="仿宋" w:eastAsia="仿宋" w:cs="仿宋"/>
          <w:b/>
          <w:bCs/>
          <w:i w:val="0"/>
          <w:iCs w:val="0"/>
          <w:caps w:val="0"/>
          <w:color w:val="000000"/>
          <w:spacing w:val="0"/>
          <w:sz w:val="28"/>
          <w:szCs w:val="28"/>
          <w:shd w:val="clear" w:fill="FFFFFF"/>
          <w:lang w:eastAsia="zh-CN"/>
        </w:rPr>
        <w:t>四</w:t>
      </w:r>
      <w:r>
        <w:rPr>
          <w:rFonts w:hint="eastAsia" w:ascii="仿宋" w:hAnsi="仿宋" w:eastAsia="仿宋" w:cs="仿宋"/>
          <w:b/>
          <w:bCs/>
          <w:i w:val="0"/>
          <w:iCs w:val="0"/>
          <w:caps w:val="0"/>
          <w:color w:val="000000"/>
          <w:spacing w:val="0"/>
          <w:sz w:val="28"/>
          <w:szCs w:val="28"/>
          <w:shd w:val="clear" w:fill="FFFFFF"/>
        </w:rPr>
        <w:t>）项目支出情况</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both"/>
        <w:textAlignment w:val="center"/>
        <w:rPr>
          <w:rFonts w:hint="eastAsia" w:ascii="仿宋" w:hAnsi="仿宋" w:eastAsia="仿宋" w:cs="仿宋"/>
          <w:i w:val="0"/>
          <w:iCs w:val="0"/>
          <w:caps w:val="0"/>
          <w:color w:val="000000"/>
          <w:spacing w:val="-2"/>
          <w:sz w:val="28"/>
          <w:szCs w:val="28"/>
          <w:shd w:val="clear" w:fill="FFFFFF"/>
          <w:lang w:val="en-US" w:eastAsia="zh-CN"/>
        </w:rPr>
      </w:pPr>
      <w:r>
        <w:rPr>
          <w:rFonts w:hint="eastAsia" w:ascii="仿宋" w:hAnsi="仿宋" w:eastAsia="仿宋" w:cs="仿宋"/>
          <w:i w:val="0"/>
          <w:iCs w:val="0"/>
          <w:caps w:val="0"/>
          <w:color w:val="000000"/>
          <w:spacing w:val="0"/>
          <w:sz w:val="28"/>
          <w:szCs w:val="28"/>
          <w:shd w:val="clear" w:fill="FFFFFF"/>
        </w:rPr>
        <w:t>20</w:t>
      </w:r>
      <w:r>
        <w:rPr>
          <w:rFonts w:hint="eastAsia" w:ascii="仿宋" w:hAnsi="仿宋" w:eastAsia="仿宋" w:cs="仿宋"/>
          <w:i w:val="0"/>
          <w:iCs w:val="0"/>
          <w:caps w:val="0"/>
          <w:color w:val="000000"/>
          <w:spacing w:val="0"/>
          <w:sz w:val="28"/>
          <w:szCs w:val="28"/>
          <w:shd w:val="clear" w:fill="FFFFFF"/>
          <w:lang w:val="en-US" w:eastAsia="zh-CN"/>
        </w:rPr>
        <w:t>21</w:t>
      </w:r>
      <w:r>
        <w:rPr>
          <w:rFonts w:hint="eastAsia" w:ascii="仿宋" w:hAnsi="仿宋" w:eastAsia="仿宋" w:cs="仿宋"/>
          <w:i w:val="0"/>
          <w:iCs w:val="0"/>
          <w:caps w:val="0"/>
          <w:color w:val="000000"/>
          <w:spacing w:val="0"/>
          <w:sz w:val="28"/>
          <w:szCs w:val="28"/>
          <w:shd w:val="clear" w:fill="FFFFFF"/>
        </w:rPr>
        <w:t>年度一般公共预算财政拨款项目支出</w:t>
      </w:r>
      <w:r>
        <w:rPr>
          <w:rFonts w:hint="eastAsia" w:ascii="仿宋" w:hAnsi="仿宋" w:eastAsia="仿宋" w:cs="仿宋"/>
          <w:i w:val="0"/>
          <w:iCs w:val="0"/>
          <w:caps w:val="0"/>
          <w:color w:val="000000"/>
          <w:spacing w:val="-2"/>
          <w:sz w:val="28"/>
          <w:szCs w:val="28"/>
          <w:shd w:val="clear" w:fill="FFFFFF"/>
          <w:lang w:val="en-US" w:eastAsia="zh-CN"/>
        </w:rPr>
        <w:t>4697.36</w:t>
      </w:r>
      <w:r>
        <w:rPr>
          <w:rFonts w:hint="eastAsia" w:ascii="仿宋" w:hAnsi="仿宋" w:eastAsia="仿宋" w:cs="仿宋"/>
          <w:i w:val="0"/>
          <w:iCs w:val="0"/>
          <w:caps w:val="0"/>
          <w:color w:val="000000"/>
          <w:spacing w:val="0"/>
          <w:sz w:val="28"/>
          <w:szCs w:val="28"/>
          <w:shd w:val="clear" w:fill="FFFFFF"/>
        </w:rPr>
        <w:t>万元，</w:t>
      </w:r>
      <w:r>
        <w:rPr>
          <w:rFonts w:hint="eastAsia" w:ascii="仿宋" w:hAnsi="仿宋" w:eastAsia="仿宋" w:cs="仿宋"/>
          <w:i w:val="0"/>
          <w:iCs w:val="0"/>
          <w:caps w:val="0"/>
          <w:color w:val="000000"/>
          <w:spacing w:val="-2"/>
          <w:sz w:val="28"/>
          <w:szCs w:val="28"/>
          <w:shd w:val="clear" w:fill="FFFFFF"/>
        </w:rPr>
        <w:t>其中：</w:t>
      </w:r>
      <w:r>
        <w:rPr>
          <w:rFonts w:hint="eastAsia" w:ascii="仿宋" w:hAnsi="仿宋" w:eastAsia="仿宋" w:cs="仿宋"/>
          <w:i w:val="0"/>
          <w:iCs w:val="0"/>
          <w:caps w:val="0"/>
          <w:color w:val="000000"/>
          <w:spacing w:val="-2"/>
          <w:sz w:val="28"/>
          <w:szCs w:val="28"/>
          <w:shd w:val="clear" w:fill="FFFFFF"/>
          <w:lang w:eastAsia="zh-CN"/>
        </w:rPr>
        <w:t>财政专项项目支出</w:t>
      </w:r>
      <w:r>
        <w:rPr>
          <w:rFonts w:hint="eastAsia" w:ascii="仿宋" w:hAnsi="仿宋" w:eastAsia="仿宋" w:cs="仿宋"/>
          <w:i w:val="0"/>
          <w:iCs w:val="0"/>
          <w:caps w:val="0"/>
          <w:color w:val="000000"/>
          <w:spacing w:val="-2"/>
          <w:sz w:val="28"/>
          <w:szCs w:val="28"/>
          <w:shd w:val="clear" w:fill="FFFFFF"/>
          <w:lang w:val="en-US" w:eastAsia="zh-CN"/>
        </w:rPr>
        <w:t>41.49万元，财政</w:t>
      </w:r>
      <w:r>
        <w:rPr>
          <w:rFonts w:hint="eastAsia" w:ascii="仿宋" w:hAnsi="仿宋" w:eastAsia="仿宋" w:cs="仿宋"/>
          <w:i w:val="0"/>
          <w:iCs w:val="0"/>
          <w:caps w:val="0"/>
          <w:color w:val="000000"/>
          <w:spacing w:val="-2"/>
          <w:sz w:val="28"/>
          <w:szCs w:val="28"/>
          <w:shd w:val="clear" w:fill="FFFFFF"/>
          <w:lang w:eastAsia="zh-CN"/>
        </w:rPr>
        <w:t>基本支出中公用经费涉及项目支出</w:t>
      </w:r>
      <w:r>
        <w:rPr>
          <w:rFonts w:hint="eastAsia" w:ascii="仿宋" w:hAnsi="仿宋" w:eastAsia="仿宋" w:cs="仿宋"/>
          <w:i w:val="0"/>
          <w:iCs w:val="0"/>
          <w:caps w:val="0"/>
          <w:color w:val="000000"/>
          <w:spacing w:val="-2"/>
          <w:sz w:val="28"/>
          <w:szCs w:val="28"/>
          <w:shd w:val="clear" w:fill="FFFFFF"/>
          <w:lang w:val="en-US" w:eastAsia="zh-CN"/>
        </w:rPr>
        <w:t>4655.87万元 。具体项目支出情况如下：</w:t>
      </w:r>
    </w:p>
    <w:p>
      <w:pPr>
        <w:pStyle w:val="8"/>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both"/>
        <w:textAlignment w:val="center"/>
        <w:rPr>
          <w:rFonts w:hint="eastAsia" w:ascii="仿宋" w:hAnsi="仿宋" w:eastAsia="仿宋" w:cs="仿宋"/>
          <w:i w:val="0"/>
          <w:iCs w:val="0"/>
          <w:caps w:val="0"/>
          <w:color w:val="000000"/>
          <w:spacing w:val="-2"/>
          <w:sz w:val="28"/>
          <w:szCs w:val="28"/>
          <w:shd w:val="clear" w:fill="FFFFFF"/>
          <w:lang w:val="en-US" w:eastAsia="zh-CN"/>
        </w:rPr>
      </w:pPr>
      <w:r>
        <w:rPr>
          <w:rFonts w:hint="eastAsia" w:ascii="仿宋" w:hAnsi="仿宋" w:eastAsia="仿宋" w:cs="仿宋"/>
          <w:i w:val="0"/>
          <w:iCs w:val="0"/>
          <w:caps w:val="0"/>
          <w:color w:val="000000"/>
          <w:spacing w:val="-2"/>
          <w:sz w:val="28"/>
          <w:szCs w:val="28"/>
          <w:shd w:val="clear" w:fill="FFFFFF"/>
          <w:lang w:val="en-US" w:eastAsia="zh-CN"/>
        </w:rPr>
        <w:t>智能交通及软件设备更新456万元，其中智能一期106万元，智能二期350万元；</w:t>
      </w:r>
    </w:p>
    <w:p>
      <w:pPr>
        <w:pStyle w:val="8"/>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both"/>
        <w:textAlignment w:val="center"/>
        <w:rPr>
          <w:rFonts w:hint="default" w:ascii="仿宋" w:hAnsi="仿宋" w:eastAsia="仿宋" w:cs="仿宋"/>
          <w:i w:val="0"/>
          <w:iCs w:val="0"/>
          <w:caps w:val="0"/>
          <w:color w:val="000000"/>
          <w:spacing w:val="0"/>
          <w:sz w:val="28"/>
          <w:szCs w:val="28"/>
          <w:lang w:val="en-US" w:eastAsia="zh-CN"/>
        </w:rPr>
      </w:pPr>
      <w:r>
        <w:rPr>
          <w:rFonts w:hint="eastAsia" w:ascii="仿宋" w:hAnsi="仿宋" w:eastAsia="仿宋" w:cs="仿宋"/>
          <w:i w:val="0"/>
          <w:iCs w:val="0"/>
          <w:caps w:val="0"/>
          <w:color w:val="000000"/>
          <w:spacing w:val="-2"/>
          <w:sz w:val="28"/>
          <w:szCs w:val="28"/>
          <w:shd w:val="clear" w:fill="FFFFFF"/>
          <w:lang w:val="en-US" w:eastAsia="zh-CN"/>
        </w:rPr>
        <w:t>设备购置300万元，主要用于警务通设备购置；</w:t>
      </w:r>
    </w:p>
    <w:p>
      <w:pPr>
        <w:pStyle w:val="8"/>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both"/>
        <w:textAlignment w:val="center"/>
        <w:rPr>
          <w:rFonts w:hint="default" w:ascii="仿宋" w:hAnsi="仿宋" w:eastAsia="仿宋" w:cs="仿宋"/>
          <w:i w:val="0"/>
          <w:iCs w:val="0"/>
          <w:caps w:val="0"/>
          <w:color w:val="000000"/>
          <w:spacing w:val="0"/>
          <w:sz w:val="28"/>
          <w:szCs w:val="28"/>
          <w:lang w:val="en-US" w:eastAsia="zh-CN"/>
        </w:rPr>
      </w:pPr>
      <w:r>
        <w:rPr>
          <w:rFonts w:hint="eastAsia" w:ascii="仿宋" w:hAnsi="仿宋" w:eastAsia="仿宋" w:cs="仿宋"/>
          <w:i w:val="0"/>
          <w:iCs w:val="0"/>
          <w:caps w:val="0"/>
          <w:color w:val="000000"/>
          <w:spacing w:val="-2"/>
          <w:sz w:val="28"/>
          <w:szCs w:val="28"/>
          <w:shd w:val="clear" w:fill="FFFFFF"/>
          <w:lang w:val="en-US" w:eastAsia="zh-CN"/>
        </w:rPr>
        <w:t>办案费及装备费484.25万元；</w:t>
      </w:r>
    </w:p>
    <w:p>
      <w:pPr>
        <w:pStyle w:val="8"/>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both"/>
        <w:textAlignment w:val="center"/>
        <w:rPr>
          <w:rFonts w:hint="default" w:ascii="仿宋" w:hAnsi="仿宋" w:eastAsia="仿宋" w:cs="仿宋"/>
          <w:i w:val="0"/>
          <w:iCs w:val="0"/>
          <w:caps w:val="0"/>
          <w:color w:val="000000"/>
          <w:spacing w:val="0"/>
          <w:sz w:val="28"/>
          <w:szCs w:val="28"/>
          <w:lang w:val="en-US" w:eastAsia="zh-CN"/>
        </w:rPr>
      </w:pPr>
      <w:r>
        <w:rPr>
          <w:rFonts w:hint="eastAsia" w:ascii="仿宋" w:hAnsi="仿宋" w:eastAsia="仿宋" w:cs="仿宋"/>
          <w:i w:val="0"/>
          <w:iCs w:val="0"/>
          <w:caps w:val="0"/>
          <w:color w:val="000000"/>
          <w:spacing w:val="-2"/>
          <w:sz w:val="28"/>
          <w:szCs w:val="28"/>
          <w:shd w:val="clear" w:fill="FFFFFF"/>
          <w:lang w:val="en-US" w:eastAsia="zh-CN"/>
        </w:rPr>
        <w:t>其他业务工作经费3457.11万元，主要用于行政运行、执法办案及其他公安支出以弥补项目支出经费的不足。</w:t>
      </w:r>
    </w:p>
    <w:p>
      <w:pPr>
        <w:autoSpaceDE w:val="0"/>
        <w:autoSpaceDN w:val="0"/>
        <w:spacing w:line="520" w:lineRule="exact"/>
        <w:ind w:firstLine="562" w:firstLineChars="200"/>
        <w:rPr>
          <w:rFonts w:hint="eastAsia" w:ascii="仿宋" w:hAnsi="仿宋" w:eastAsia="仿宋"/>
          <w:b/>
          <w:bCs w:val="0"/>
          <w:color w:val="000000"/>
          <w:kern w:val="0"/>
          <w:sz w:val="28"/>
          <w:szCs w:val="28"/>
          <w:lang w:eastAsia="zh-CN"/>
        </w:rPr>
      </w:pPr>
      <w:r>
        <w:rPr>
          <w:rFonts w:hint="eastAsia" w:ascii="仿宋" w:hAnsi="仿宋" w:eastAsia="仿宋"/>
          <w:b/>
          <w:bCs w:val="0"/>
          <w:color w:val="000000"/>
          <w:kern w:val="0"/>
          <w:sz w:val="28"/>
          <w:szCs w:val="28"/>
          <w:lang w:eastAsia="zh-CN"/>
        </w:rPr>
        <w:t>（五）项目资金使用及管理情况</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right="0" w:firstLine="480" w:firstLineChars="200"/>
        <w:jc w:val="both"/>
        <w:rPr>
          <w:rFonts w:hint="eastAsia" w:ascii="仿宋" w:hAnsi="仿宋" w:eastAsia="仿宋" w:cs="仿宋"/>
          <w:i w:val="0"/>
          <w:iCs w:val="0"/>
          <w:caps w:val="0"/>
          <w:color w:val="000000"/>
          <w:spacing w:val="0"/>
          <w:sz w:val="28"/>
          <w:szCs w:val="28"/>
        </w:rPr>
      </w:pPr>
      <w:r>
        <w:rPr>
          <w:rFonts w:hint="eastAsia" w:ascii="仿宋" w:hAnsi="仿宋" w:eastAsia="仿宋" w:cstheme="minorEastAsia"/>
          <w:color w:val="000000" w:themeColor="text1"/>
          <w:sz w:val="24"/>
          <w:szCs w:val="24"/>
        </w:rPr>
        <w:t>　　</w:t>
      </w:r>
      <w:r>
        <w:rPr>
          <w:rFonts w:hint="eastAsia" w:ascii="仿宋" w:hAnsi="仿宋" w:eastAsia="仿宋" w:cs="仿宋"/>
          <w:i w:val="0"/>
          <w:iCs w:val="0"/>
          <w:caps w:val="0"/>
          <w:color w:val="000000"/>
          <w:spacing w:val="-2"/>
          <w:sz w:val="28"/>
          <w:szCs w:val="28"/>
          <w:shd w:val="clear" w:fill="FFFFFF"/>
        </w:rPr>
        <w:t>各项专项资金严格按照有关法律法规、财经纪律、财务规章制执行，同时根据单位自身情况制定了相关财务制度。</w:t>
      </w:r>
    </w:p>
    <w:p>
      <w:pPr>
        <w:spacing w:line="520" w:lineRule="exact"/>
        <w:ind w:firstLine="840" w:firstLineChars="300"/>
        <w:rPr>
          <w:rFonts w:ascii="仿宋" w:hAnsi="仿宋" w:eastAsia="仿宋" w:cs="Times New Roman"/>
          <w:sz w:val="28"/>
          <w:szCs w:val="28"/>
        </w:rPr>
      </w:pPr>
      <w:r>
        <w:rPr>
          <w:rFonts w:hint="eastAsia" w:ascii="仿宋" w:hAnsi="仿宋" w:eastAsia="仿宋" w:cs="Times New Roman"/>
          <w:sz w:val="28"/>
          <w:szCs w:val="28"/>
          <w:lang w:val="zh-CN"/>
        </w:rPr>
        <w:t>交警支队</w:t>
      </w:r>
      <w:r>
        <w:rPr>
          <w:rFonts w:hint="eastAsia" w:ascii="仿宋" w:hAnsi="仿宋" w:eastAsia="仿宋" w:cs="Times New Roman"/>
          <w:sz w:val="28"/>
          <w:szCs w:val="28"/>
        </w:rPr>
        <w:t>在项目资金管理和实施过程中，资金拨付有完整的审批程序和手续，按照财经制度的有关要求，重视对项目支出的管理。确保专项资金专款专用，资金支付严格实行联审会签制度，保证了资金使用的合规性。从评价小组检查的情况来看：</w:t>
      </w:r>
    </w:p>
    <w:p>
      <w:pPr>
        <w:spacing w:line="52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在项目组织及程序上：</w:t>
      </w:r>
    </w:p>
    <w:p>
      <w:pPr>
        <w:spacing w:line="52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1、成立了项目管理领导小组，制定了《</w:t>
      </w:r>
      <w:r>
        <w:rPr>
          <w:rFonts w:hint="eastAsia" w:ascii="仿宋" w:hAnsi="仿宋" w:eastAsia="仿宋" w:cs="Times New Roman"/>
          <w:sz w:val="28"/>
          <w:szCs w:val="28"/>
          <w:lang w:val="zh-CN"/>
        </w:rPr>
        <w:t>项目建设专项资金管理规定</w:t>
      </w:r>
      <w:r>
        <w:rPr>
          <w:rFonts w:hint="eastAsia" w:ascii="仿宋" w:hAnsi="仿宋" w:eastAsia="仿宋" w:cs="Times New Roman"/>
          <w:sz w:val="28"/>
          <w:szCs w:val="28"/>
        </w:rPr>
        <w:t>》；</w:t>
      </w:r>
    </w:p>
    <w:p>
      <w:pPr>
        <w:spacing w:line="52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2、由专人负责组织实施，按照“统一领导、统一规划、统一建设、统一管理”的要求实施，从本地实际出发，有计划、分阶段地推进项目工作；</w:t>
      </w:r>
    </w:p>
    <w:p>
      <w:pPr>
        <w:spacing w:line="52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3、项目实施后适时组织人员对项目进行竣工验收，并委托中介机构进行项目结算审计和财务决算审计。</w:t>
      </w:r>
    </w:p>
    <w:p>
      <w:pPr>
        <w:spacing w:line="52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4、政府采购项目通过了政府采购办统一招标。</w:t>
      </w:r>
    </w:p>
    <w:p>
      <w:pPr>
        <w:spacing w:line="52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在具体项目上：</w:t>
      </w:r>
    </w:p>
    <w:p>
      <w:pPr>
        <w:spacing w:line="520" w:lineRule="exact"/>
        <w:ind w:firstLine="560" w:firstLineChars="200"/>
        <w:rPr>
          <w:rFonts w:ascii="仿宋" w:hAnsi="仿宋" w:eastAsia="仿宋" w:cs="Times New Roman"/>
          <w:sz w:val="28"/>
          <w:szCs w:val="28"/>
        </w:rPr>
      </w:pPr>
      <w:r>
        <w:rPr>
          <w:rFonts w:hint="eastAsia" w:ascii="仿宋" w:hAnsi="仿宋" w:eastAsia="仿宋" w:cs="仿宋"/>
          <w:sz w:val="28"/>
          <w:szCs w:val="28"/>
        </w:rPr>
        <w:t>①</w:t>
      </w:r>
      <w:r>
        <w:rPr>
          <w:rFonts w:hint="eastAsia" w:ascii="仿宋" w:hAnsi="仿宋" w:eastAsia="仿宋" w:cs="Times New Roman"/>
          <w:sz w:val="28"/>
          <w:szCs w:val="28"/>
        </w:rPr>
        <w:t>信息网络及软件更新项目，该项目资金包括202</w:t>
      </w:r>
      <w:r>
        <w:rPr>
          <w:rFonts w:hint="eastAsia" w:ascii="仿宋" w:hAnsi="仿宋" w:eastAsia="仿宋" w:cs="Times New Roman"/>
          <w:sz w:val="28"/>
          <w:szCs w:val="28"/>
          <w:lang w:val="en-US" w:eastAsia="zh-CN"/>
        </w:rPr>
        <w:t>0</w:t>
      </w:r>
      <w:r>
        <w:rPr>
          <w:rFonts w:hint="eastAsia" w:ascii="仿宋" w:hAnsi="仿宋" w:eastAsia="仿宋" w:cs="Times New Roman"/>
          <w:sz w:val="28"/>
          <w:szCs w:val="28"/>
        </w:rPr>
        <w:t>年完成竣工验收的益阳市智能交通建设项目的二期工程</w:t>
      </w:r>
      <w:r>
        <w:rPr>
          <w:rFonts w:hint="eastAsia" w:ascii="仿宋" w:hAnsi="仿宋" w:eastAsia="仿宋" w:cs="Times New Roman"/>
          <w:sz w:val="28"/>
          <w:szCs w:val="28"/>
          <w:lang w:eastAsia="zh-CN"/>
        </w:rPr>
        <w:t>和</w:t>
      </w:r>
      <w:r>
        <w:rPr>
          <w:rFonts w:hint="eastAsia" w:ascii="仿宋" w:hAnsi="仿宋" w:eastAsia="仿宋" w:cs="Times New Roman"/>
          <w:sz w:val="28"/>
          <w:szCs w:val="28"/>
        </w:rPr>
        <w:t>原一期工程的尾款</w:t>
      </w:r>
      <w:r>
        <w:rPr>
          <w:rFonts w:hint="eastAsia" w:ascii="仿宋" w:hAnsi="仿宋" w:eastAsia="仿宋" w:cs="Times New Roman"/>
          <w:sz w:val="28"/>
          <w:szCs w:val="28"/>
          <w:lang w:eastAsia="zh-CN"/>
        </w:rPr>
        <w:t>两</w:t>
      </w:r>
      <w:r>
        <w:rPr>
          <w:rFonts w:hint="eastAsia" w:ascii="仿宋" w:hAnsi="仿宋" w:eastAsia="仿宋" w:cs="Times New Roman"/>
          <w:sz w:val="28"/>
          <w:szCs w:val="28"/>
        </w:rPr>
        <w:t>个部分。智能交通二期工程是对一期工程的完善与升级，以实现交通信号区域性的可联可控和交通监控、非现场执法设备的闭环管理，实时掌握道路交通态势，及时快处快撤交通事故，提高道路通行能力和管控水平。</w:t>
      </w:r>
    </w:p>
    <w:p>
      <w:pPr>
        <w:spacing w:line="52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rPr>
        <w:t>益阳市智能交通监控系统建设资金项目（二期）通过政府采购共分四个包（其中四包为监理包）于2019年签定合同，合同总金额4433.003万元</w:t>
      </w:r>
      <w:r>
        <w:rPr>
          <w:rFonts w:hint="eastAsia" w:ascii="仿宋" w:hAnsi="仿宋" w:eastAsia="仿宋" w:cs="Times New Roman"/>
          <w:sz w:val="28"/>
          <w:szCs w:val="28"/>
          <w:lang w:eastAsia="zh-CN"/>
        </w:rPr>
        <w:t>，</w:t>
      </w:r>
      <w:r>
        <w:rPr>
          <w:rFonts w:hint="eastAsia" w:ascii="仿宋" w:hAnsi="仿宋" w:eastAsia="仿宋"/>
          <w:color w:val="auto"/>
          <w:sz w:val="28"/>
          <w:szCs w:val="28"/>
          <w:lang w:val="en-US" w:eastAsia="zh-CN"/>
        </w:rPr>
        <w:t>决算审定后金额4206.5492</w:t>
      </w:r>
      <w:r>
        <w:rPr>
          <w:rFonts w:hint="eastAsia" w:ascii="仿宋" w:hAnsi="仿宋" w:eastAsia="仿宋"/>
          <w:color w:val="auto"/>
          <w:sz w:val="28"/>
          <w:szCs w:val="28"/>
        </w:rPr>
        <w:t>万元</w:t>
      </w:r>
      <w:r>
        <w:rPr>
          <w:rFonts w:hint="eastAsia" w:ascii="仿宋" w:hAnsi="仿宋" w:eastAsia="仿宋"/>
          <w:color w:val="auto"/>
          <w:sz w:val="28"/>
          <w:szCs w:val="28"/>
          <w:lang w:eastAsia="zh-CN"/>
        </w:rPr>
        <w:t>。项目至</w:t>
      </w:r>
      <w:r>
        <w:rPr>
          <w:rFonts w:hint="eastAsia" w:ascii="仿宋" w:hAnsi="仿宋" w:eastAsia="仿宋"/>
          <w:color w:val="auto"/>
          <w:sz w:val="28"/>
          <w:szCs w:val="28"/>
          <w:lang w:val="en-US" w:eastAsia="zh-CN"/>
        </w:rPr>
        <w:t>2021年底已支付2902.7621</w:t>
      </w:r>
      <w:r>
        <w:rPr>
          <w:rFonts w:hint="eastAsia" w:ascii="仿宋" w:hAnsi="仿宋" w:eastAsia="仿宋"/>
          <w:color w:val="auto"/>
          <w:sz w:val="28"/>
          <w:szCs w:val="28"/>
        </w:rPr>
        <w:t>万元</w:t>
      </w:r>
      <w:r>
        <w:rPr>
          <w:rFonts w:hint="eastAsia" w:ascii="仿宋" w:hAnsi="仿宋" w:eastAsia="仿宋"/>
          <w:color w:val="auto"/>
          <w:sz w:val="28"/>
          <w:szCs w:val="28"/>
          <w:lang w:eastAsia="zh-CN"/>
        </w:rPr>
        <w:t>（含设计、监理等费用</w:t>
      </w:r>
      <w:r>
        <w:rPr>
          <w:rFonts w:hint="eastAsia" w:ascii="仿宋" w:hAnsi="仿宋" w:eastAsia="仿宋"/>
          <w:color w:val="auto"/>
          <w:sz w:val="28"/>
          <w:szCs w:val="28"/>
          <w:lang w:val="en-US" w:eastAsia="zh-CN"/>
        </w:rPr>
        <w:t>126.8</w:t>
      </w:r>
      <w:r>
        <w:rPr>
          <w:rFonts w:hint="eastAsia" w:ascii="仿宋" w:hAnsi="仿宋" w:eastAsia="仿宋"/>
          <w:color w:val="auto"/>
          <w:sz w:val="28"/>
          <w:szCs w:val="28"/>
        </w:rPr>
        <w:t>万元</w:t>
      </w:r>
      <w:r>
        <w:rPr>
          <w:rFonts w:hint="eastAsia" w:ascii="仿宋" w:hAnsi="仿宋" w:eastAsia="仿宋"/>
          <w:color w:val="auto"/>
          <w:sz w:val="28"/>
          <w:szCs w:val="28"/>
          <w:lang w:eastAsia="zh-CN"/>
        </w:rPr>
        <w:t>），</w:t>
      </w:r>
      <w:r>
        <w:rPr>
          <w:rFonts w:hint="eastAsia" w:ascii="仿宋" w:hAnsi="仿宋" w:eastAsia="仿宋" w:cs="Times New Roman"/>
          <w:sz w:val="28"/>
          <w:szCs w:val="28"/>
        </w:rPr>
        <w:t>益阳市智能交通监控系统建设项目（二期）已按合同完成本年任务，并于2020年4月1日正式上线执法，2020年8月12日通过益阳市新型智慧城市和电子政务项目竣工验收，第二、三包项目于2020年12月10日通过了益阳市公安局交警支队组织的第三方竣工决算审计。</w:t>
      </w:r>
      <w:r>
        <w:rPr>
          <w:rFonts w:hint="eastAsia" w:ascii="仿宋" w:hAnsi="仿宋" w:eastAsia="仿宋"/>
          <w:color w:val="auto"/>
          <w:sz w:val="28"/>
          <w:szCs w:val="28"/>
        </w:rPr>
        <w:t>202</w:t>
      </w:r>
      <w:r>
        <w:rPr>
          <w:rFonts w:hint="eastAsia" w:ascii="仿宋" w:hAnsi="仿宋" w:eastAsia="仿宋"/>
          <w:color w:val="auto"/>
          <w:sz w:val="28"/>
          <w:szCs w:val="28"/>
          <w:lang w:val="en-US" w:eastAsia="zh-CN"/>
        </w:rPr>
        <w:t>1</w:t>
      </w:r>
      <w:r>
        <w:rPr>
          <w:rFonts w:hint="eastAsia" w:ascii="仿宋" w:hAnsi="仿宋" w:eastAsia="仿宋"/>
          <w:color w:val="auto"/>
          <w:sz w:val="28"/>
          <w:szCs w:val="28"/>
        </w:rPr>
        <w:t>年</w:t>
      </w:r>
      <w:r>
        <w:rPr>
          <w:rFonts w:hint="eastAsia" w:ascii="仿宋" w:hAnsi="仿宋" w:eastAsia="仿宋"/>
          <w:color w:val="auto"/>
          <w:sz w:val="28"/>
          <w:szCs w:val="28"/>
          <w:lang w:val="en-US" w:eastAsia="zh-CN"/>
        </w:rPr>
        <w:t>9</w:t>
      </w:r>
      <w:r>
        <w:rPr>
          <w:rFonts w:hint="eastAsia" w:ascii="仿宋" w:hAnsi="仿宋" w:eastAsia="仿宋"/>
          <w:color w:val="auto"/>
          <w:sz w:val="28"/>
          <w:szCs w:val="28"/>
        </w:rPr>
        <w:t>月</w:t>
      </w:r>
      <w:r>
        <w:rPr>
          <w:rFonts w:hint="eastAsia" w:ascii="仿宋" w:hAnsi="仿宋" w:eastAsia="仿宋"/>
          <w:color w:val="auto"/>
          <w:sz w:val="28"/>
          <w:szCs w:val="28"/>
          <w:lang w:val="en-US" w:eastAsia="zh-CN"/>
        </w:rPr>
        <w:t>26</w:t>
      </w:r>
      <w:r>
        <w:rPr>
          <w:rFonts w:hint="eastAsia" w:ascii="仿宋" w:hAnsi="仿宋" w:eastAsia="仿宋"/>
          <w:color w:val="auto"/>
          <w:sz w:val="28"/>
          <w:szCs w:val="28"/>
        </w:rPr>
        <w:t>日</w:t>
      </w:r>
      <w:r>
        <w:rPr>
          <w:rFonts w:hint="eastAsia" w:ascii="仿宋" w:hAnsi="仿宋" w:eastAsia="仿宋"/>
          <w:color w:val="auto"/>
          <w:sz w:val="28"/>
          <w:szCs w:val="28"/>
          <w:lang w:eastAsia="zh-CN"/>
        </w:rPr>
        <w:t>智能交通管理系统</w:t>
      </w:r>
      <w:r>
        <w:rPr>
          <w:rFonts w:hint="eastAsia" w:ascii="仿宋" w:hAnsi="仿宋" w:eastAsia="仿宋"/>
          <w:color w:val="auto"/>
          <w:sz w:val="28"/>
          <w:szCs w:val="28"/>
        </w:rPr>
        <w:t>建设项目（二期）通过了益阳市</w:t>
      </w:r>
      <w:r>
        <w:rPr>
          <w:rFonts w:hint="eastAsia" w:ascii="仿宋" w:hAnsi="仿宋" w:eastAsia="仿宋"/>
          <w:color w:val="auto"/>
          <w:sz w:val="28"/>
          <w:szCs w:val="28"/>
          <w:lang w:eastAsia="zh-CN"/>
        </w:rPr>
        <w:t>审计</w:t>
      </w:r>
      <w:r>
        <w:rPr>
          <w:rFonts w:hint="eastAsia" w:ascii="仿宋" w:hAnsi="仿宋" w:eastAsia="仿宋"/>
          <w:color w:val="auto"/>
          <w:sz w:val="28"/>
          <w:szCs w:val="28"/>
        </w:rPr>
        <w:t>局</w:t>
      </w:r>
      <w:r>
        <w:rPr>
          <w:rFonts w:hint="eastAsia" w:ascii="仿宋" w:hAnsi="仿宋" w:eastAsia="仿宋"/>
          <w:color w:val="auto"/>
          <w:sz w:val="28"/>
          <w:szCs w:val="28"/>
          <w:lang w:eastAsia="zh-CN"/>
        </w:rPr>
        <w:t>的专项审计。</w:t>
      </w:r>
      <w:r>
        <w:rPr>
          <w:rFonts w:hint="eastAsia" w:ascii="仿宋" w:hAnsi="仿宋" w:eastAsia="仿宋" w:cs="Times New Roman"/>
          <w:sz w:val="28"/>
          <w:szCs w:val="28"/>
          <w:lang w:val="en-US" w:eastAsia="zh-CN"/>
        </w:rPr>
        <w:t>2021年</w:t>
      </w:r>
      <w:r>
        <w:rPr>
          <w:rFonts w:hint="eastAsia" w:ascii="仿宋" w:hAnsi="仿宋" w:eastAsia="仿宋" w:cs="Times New Roman"/>
          <w:sz w:val="28"/>
          <w:szCs w:val="28"/>
        </w:rPr>
        <w:t>信息网络及软件更新项目</w:t>
      </w:r>
      <w:r>
        <w:rPr>
          <w:rFonts w:hint="eastAsia" w:ascii="仿宋" w:hAnsi="仿宋" w:eastAsia="仿宋" w:cs="Times New Roman"/>
          <w:sz w:val="28"/>
          <w:szCs w:val="28"/>
          <w:lang w:val="en-US" w:eastAsia="zh-CN"/>
        </w:rPr>
        <w:t>共支付</w:t>
      </w:r>
      <w:r>
        <w:rPr>
          <w:rFonts w:hint="eastAsia" w:ascii="仿宋" w:hAnsi="仿宋" w:eastAsia="仿宋" w:cs="Times New Roman"/>
          <w:sz w:val="28"/>
          <w:szCs w:val="28"/>
          <w:lang w:eastAsia="zh-CN"/>
        </w:rPr>
        <w:t>一、</w:t>
      </w:r>
      <w:r>
        <w:rPr>
          <w:rFonts w:hint="eastAsia" w:ascii="仿宋" w:hAnsi="仿宋" w:eastAsia="仿宋" w:cs="Times New Roman"/>
          <w:sz w:val="28"/>
          <w:szCs w:val="28"/>
        </w:rPr>
        <w:t>二期</w:t>
      </w:r>
      <w:r>
        <w:rPr>
          <w:rFonts w:hint="eastAsia" w:ascii="仿宋" w:hAnsi="仿宋" w:eastAsia="仿宋" w:cs="Times New Roman"/>
          <w:sz w:val="28"/>
          <w:szCs w:val="28"/>
          <w:lang w:eastAsia="zh-CN"/>
        </w:rPr>
        <w:t>工程</w:t>
      </w:r>
      <w:r>
        <w:rPr>
          <w:rFonts w:hint="eastAsia" w:ascii="仿宋" w:hAnsi="仿宋" w:eastAsia="仿宋" w:cs="Times New Roman"/>
          <w:sz w:val="28"/>
          <w:szCs w:val="28"/>
          <w:lang w:val="en-US" w:eastAsia="zh-CN"/>
        </w:rPr>
        <w:t>尾款456万元，其中一期106万元，二期350万元。</w:t>
      </w:r>
    </w:p>
    <w:p>
      <w:pPr>
        <w:spacing w:line="52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②警务通项目。</w:t>
      </w:r>
      <w:r>
        <w:rPr>
          <w:rFonts w:hint="eastAsia" w:ascii="仿宋" w:hAnsi="仿宋" w:eastAsia="仿宋" w:cs="仿宋"/>
          <w:sz w:val="28"/>
          <w:szCs w:val="28"/>
        </w:rPr>
        <w:t>202</w:t>
      </w:r>
      <w:r>
        <w:rPr>
          <w:rFonts w:hint="eastAsia" w:ascii="仿宋" w:hAnsi="仿宋" w:eastAsia="仿宋" w:cs="仿宋"/>
          <w:sz w:val="28"/>
          <w:szCs w:val="28"/>
          <w:lang w:val="en-US" w:eastAsia="zh-CN"/>
        </w:rPr>
        <w:t>1</w:t>
      </w:r>
      <w:r>
        <w:rPr>
          <w:rFonts w:hint="eastAsia" w:ascii="仿宋" w:hAnsi="仿宋" w:eastAsia="仿宋" w:cs="仿宋"/>
          <w:sz w:val="28"/>
          <w:szCs w:val="28"/>
        </w:rPr>
        <w:t>年</w:t>
      </w:r>
      <w:r>
        <w:rPr>
          <w:rFonts w:hint="eastAsia" w:ascii="仿宋" w:hAnsi="仿宋" w:eastAsia="仿宋" w:cs="仿宋"/>
          <w:sz w:val="28"/>
          <w:szCs w:val="28"/>
          <w:lang w:val="en-US" w:eastAsia="zh-CN"/>
        </w:rPr>
        <w:t>通过公开招投标的形式</w:t>
      </w:r>
      <w:r>
        <w:rPr>
          <w:rFonts w:hint="eastAsia" w:ascii="仿宋" w:hAnsi="仿宋" w:eastAsia="仿宋" w:cs="仿宋"/>
          <w:sz w:val="28"/>
          <w:szCs w:val="28"/>
        </w:rPr>
        <w:t>购置</w:t>
      </w:r>
      <w:r>
        <w:rPr>
          <w:rFonts w:hint="eastAsia" w:ascii="仿宋" w:hAnsi="仿宋" w:eastAsia="仿宋" w:cs="仿宋"/>
          <w:sz w:val="28"/>
          <w:szCs w:val="28"/>
          <w:lang w:val="en-US" w:eastAsia="zh-CN"/>
        </w:rPr>
        <w:t>移动警务通，中标单位为中国电信股份有限公司益阳分公司，合同签订金额为3,185,136.00元。财政到位资金300.00万元，实际支出300.00万元。</w:t>
      </w:r>
      <w:r>
        <w:rPr>
          <w:rFonts w:hint="eastAsia" w:ascii="仿宋" w:hAnsi="仿宋" w:eastAsia="仿宋" w:cs="仿宋"/>
          <w:sz w:val="28"/>
          <w:szCs w:val="28"/>
        </w:rPr>
        <w:t>购置</w:t>
      </w:r>
      <w:r>
        <w:rPr>
          <w:rFonts w:hint="eastAsia" w:ascii="仿宋" w:hAnsi="仿宋" w:eastAsia="仿宋" w:cs="仿宋"/>
          <w:sz w:val="28"/>
          <w:szCs w:val="28"/>
          <w:lang w:eastAsia="zh-CN"/>
        </w:rPr>
        <w:t>的</w:t>
      </w:r>
      <w:r>
        <w:rPr>
          <w:rFonts w:hint="eastAsia" w:ascii="仿宋" w:hAnsi="仿宋" w:eastAsia="仿宋" w:cs="仿宋"/>
          <w:sz w:val="28"/>
          <w:szCs w:val="28"/>
          <w:lang w:val="en-US" w:eastAsia="zh-CN"/>
        </w:rPr>
        <w:t>移动警务通已于2021年10月全部交付使用。</w:t>
      </w:r>
      <w:r>
        <w:rPr>
          <w:rFonts w:hint="eastAsia" w:ascii="仿宋" w:hAnsi="仿宋" w:eastAsia="仿宋"/>
          <w:color w:val="auto"/>
          <w:sz w:val="28"/>
          <w:szCs w:val="28"/>
          <w:lang w:eastAsia="zh-CN"/>
        </w:rPr>
        <w:t>在</w:t>
      </w:r>
      <w:r>
        <w:rPr>
          <w:rFonts w:hint="eastAsia" w:ascii="仿宋" w:hAnsi="仿宋" w:eastAsia="仿宋" w:cs="仿宋"/>
          <w:sz w:val="28"/>
          <w:szCs w:val="28"/>
          <w:lang w:val="en-US" w:eastAsia="zh-CN"/>
        </w:rPr>
        <w:t>警务通使用上，我支队严格遵守《湖南省公安移动警务终端管理办法》和《益阳市公安局交通警察移动警务通使用管理规定》</w:t>
      </w:r>
      <w:r>
        <w:rPr>
          <w:rFonts w:hint="eastAsia" w:ascii="仿宋" w:hAnsi="仿宋" w:eastAsia="仿宋"/>
          <w:sz w:val="28"/>
          <w:szCs w:val="28"/>
          <w:highlight w:val="none"/>
        </w:rPr>
        <w:t>。</w:t>
      </w:r>
      <w:r>
        <w:rPr>
          <w:rFonts w:hint="eastAsia" w:ascii="仿宋" w:hAnsi="仿宋" w:eastAsia="仿宋" w:cs="仿宋"/>
          <w:sz w:val="28"/>
          <w:szCs w:val="28"/>
          <w:lang w:val="en-US" w:eastAsia="zh-CN"/>
        </w:rPr>
        <w:t>同时，制定了《益阳市公安局交通警察支队对讲机管理规定》及《益阳市公安局交通警察支队公安信息系统数字身份证书管理办法》，</w:t>
      </w:r>
      <w:r>
        <w:rPr>
          <w:rFonts w:hint="eastAsia" w:ascii="仿宋" w:hAnsi="仿宋" w:eastAsia="仿宋"/>
          <w:sz w:val="28"/>
          <w:szCs w:val="28"/>
          <w:highlight w:val="none"/>
          <w:lang w:val="en-US" w:eastAsia="zh-CN"/>
        </w:rPr>
        <w:t>明确了警务通使用纪律</w:t>
      </w:r>
      <w:r>
        <w:rPr>
          <w:rFonts w:hint="eastAsia" w:ascii="仿宋" w:hAnsi="仿宋" w:eastAsia="仿宋" w:cs="仿宋"/>
          <w:sz w:val="28"/>
          <w:szCs w:val="28"/>
          <w:lang w:val="en-US" w:eastAsia="zh-CN"/>
        </w:rPr>
        <w:t>。</w:t>
      </w:r>
    </w:p>
    <w:p>
      <w:pPr>
        <w:pStyle w:val="25"/>
        <w:widowControl w:val="0"/>
        <w:spacing w:line="520" w:lineRule="exact"/>
        <w:ind w:firstLine="515"/>
        <w:jc w:val="left"/>
        <w:rPr>
          <w:rFonts w:hint="eastAsia" w:ascii="仿宋" w:hAnsi="仿宋" w:eastAsia="仿宋" w:cs="宋体"/>
          <w:color w:val="auto"/>
          <w:kern w:val="0"/>
          <w:sz w:val="28"/>
          <w:szCs w:val="28"/>
          <w:lang w:val="en-US" w:eastAsia="zh-CN" w:bidi="ar-SA"/>
        </w:rPr>
      </w:pPr>
      <w:r>
        <w:rPr>
          <w:rFonts w:hint="eastAsia" w:ascii="仿宋" w:hAnsi="仿宋" w:eastAsia="仿宋"/>
          <w:color w:val="auto"/>
          <w:sz w:val="28"/>
          <w:szCs w:val="28"/>
        </w:rPr>
        <w:t>③中央政法转移支付办案费及装备费</w:t>
      </w:r>
      <w:r>
        <w:rPr>
          <w:rFonts w:hint="eastAsia" w:ascii="仿宋" w:hAnsi="仿宋" w:eastAsia="仿宋" w:cs="仿宋"/>
          <w:sz w:val="28"/>
          <w:szCs w:val="28"/>
          <w:lang w:val="en-US" w:eastAsia="zh-CN"/>
        </w:rPr>
        <w:t>项目。</w:t>
      </w:r>
      <w:r>
        <w:rPr>
          <w:rFonts w:hint="eastAsia" w:ascii="仿宋" w:hAnsi="仿宋" w:eastAsia="仿宋" w:cs="宋体"/>
          <w:color w:val="auto"/>
          <w:kern w:val="0"/>
          <w:sz w:val="28"/>
          <w:szCs w:val="28"/>
          <w:lang w:val="en-US" w:eastAsia="zh-CN" w:bidi="ar-SA"/>
        </w:rPr>
        <w:t>2021年财政预算安排</w:t>
      </w:r>
      <w:r>
        <w:rPr>
          <w:rFonts w:hint="eastAsia" w:ascii="仿宋" w:hAnsi="仿宋" w:eastAsia="仿宋"/>
          <w:color w:val="auto"/>
          <w:sz w:val="28"/>
          <w:szCs w:val="28"/>
        </w:rPr>
        <w:t>中央政法转移支付办案费及装备费资金</w:t>
      </w:r>
      <w:r>
        <w:rPr>
          <w:rFonts w:hint="eastAsia" w:ascii="仿宋" w:hAnsi="仿宋" w:eastAsia="仿宋"/>
          <w:color w:val="auto"/>
          <w:sz w:val="28"/>
          <w:szCs w:val="28"/>
          <w:lang w:val="en-US" w:eastAsia="zh-CN"/>
        </w:rPr>
        <w:t>484.25万元</w:t>
      </w:r>
      <w:r>
        <w:rPr>
          <w:rFonts w:hint="eastAsia" w:ascii="仿宋" w:hAnsi="仿宋" w:eastAsia="仿宋" w:cs="宋体"/>
          <w:color w:val="auto"/>
          <w:kern w:val="0"/>
          <w:sz w:val="28"/>
          <w:szCs w:val="28"/>
          <w:lang w:val="en-US" w:eastAsia="zh-CN" w:bidi="ar-SA"/>
        </w:rPr>
        <w:t>，专项用于业务办案费、人员经费及装备费。</w:t>
      </w:r>
      <w:r>
        <w:rPr>
          <w:rFonts w:hint="eastAsia" w:ascii="仿宋" w:hAnsi="仿宋" w:eastAsia="仿宋"/>
          <w:sz w:val="28"/>
          <w:szCs w:val="28"/>
          <w:lang w:val="en-US" w:eastAsia="zh-CN"/>
        </w:rPr>
        <w:t>通过</w:t>
      </w:r>
      <w:r>
        <w:rPr>
          <w:rFonts w:hint="eastAsia" w:ascii="仿宋" w:hAnsi="仿宋" w:eastAsia="仿宋"/>
          <w:sz w:val="28"/>
          <w:szCs w:val="28"/>
          <w:lang w:eastAsia="zh-CN"/>
        </w:rPr>
        <w:t>实施本</w:t>
      </w:r>
      <w:r>
        <w:rPr>
          <w:rFonts w:hint="eastAsia" w:ascii="仿宋" w:hAnsi="仿宋" w:eastAsia="仿宋"/>
          <w:sz w:val="28"/>
          <w:szCs w:val="28"/>
        </w:rPr>
        <w:t>资金项目</w:t>
      </w:r>
      <w:r>
        <w:rPr>
          <w:rFonts w:hint="eastAsia" w:ascii="仿宋" w:hAnsi="仿宋" w:eastAsia="仿宋"/>
          <w:sz w:val="28"/>
          <w:szCs w:val="28"/>
          <w:lang w:eastAsia="zh-CN"/>
        </w:rPr>
        <w:t>，专款专用以弥补办案费及装备、人员经费不足，</w:t>
      </w:r>
      <w:r>
        <w:rPr>
          <w:rFonts w:hint="eastAsia" w:ascii="仿宋" w:hAnsi="仿宋" w:eastAsia="仿宋"/>
          <w:sz w:val="28"/>
          <w:szCs w:val="28"/>
          <w:lang w:val="en-US" w:eastAsia="zh-CN"/>
        </w:rPr>
        <w:t>不断提高执法办案工作条件及工作效率，力争达到省政法转移支付的考核要求，</w:t>
      </w:r>
      <w:r>
        <w:rPr>
          <w:rFonts w:hint="eastAsia" w:ascii="仿宋" w:hAnsi="仿宋" w:eastAsia="仿宋"/>
          <w:sz w:val="28"/>
          <w:szCs w:val="28"/>
          <w:lang w:eastAsia="zh-CN"/>
        </w:rPr>
        <w:t>确保辖区道路交通安全形势稳定，为我市经济社会发展创造安全畅通的道路交通环境。</w:t>
      </w:r>
      <w:r>
        <w:rPr>
          <w:rFonts w:hint="eastAsia" w:ascii="仿宋" w:hAnsi="仿宋" w:eastAsia="仿宋"/>
          <w:sz w:val="28"/>
          <w:szCs w:val="28"/>
        </w:rPr>
        <w:t>202</w:t>
      </w:r>
      <w:r>
        <w:rPr>
          <w:rFonts w:hint="eastAsia" w:ascii="仿宋" w:hAnsi="仿宋" w:eastAsia="仿宋"/>
          <w:sz w:val="28"/>
          <w:szCs w:val="28"/>
          <w:lang w:val="en-US" w:eastAsia="zh-CN"/>
        </w:rPr>
        <w:t>1</w:t>
      </w:r>
      <w:r>
        <w:rPr>
          <w:rFonts w:hint="eastAsia" w:ascii="仿宋" w:hAnsi="仿宋" w:eastAsia="仿宋"/>
          <w:sz w:val="28"/>
          <w:szCs w:val="28"/>
        </w:rPr>
        <w:t>年财政安排到位资金</w:t>
      </w:r>
      <w:r>
        <w:rPr>
          <w:rFonts w:hint="eastAsia" w:ascii="仿宋" w:hAnsi="仿宋" w:eastAsia="仿宋"/>
          <w:sz w:val="28"/>
          <w:szCs w:val="28"/>
          <w:lang w:val="en-US" w:eastAsia="zh-CN"/>
        </w:rPr>
        <w:t>484.25</w:t>
      </w:r>
      <w:r>
        <w:rPr>
          <w:rFonts w:hint="eastAsia" w:ascii="仿宋" w:hAnsi="仿宋" w:eastAsia="仿宋"/>
          <w:sz w:val="28"/>
          <w:szCs w:val="28"/>
        </w:rPr>
        <w:t>万元，实际支付资金</w:t>
      </w:r>
      <w:r>
        <w:rPr>
          <w:rFonts w:hint="eastAsia" w:ascii="仿宋" w:hAnsi="仿宋" w:eastAsia="仿宋"/>
          <w:sz w:val="28"/>
          <w:szCs w:val="28"/>
          <w:lang w:val="en-US" w:eastAsia="zh-CN"/>
        </w:rPr>
        <w:t>484.25</w:t>
      </w:r>
      <w:r>
        <w:rPr>
          <w:rFonts w:hint="eastAsia" w:ascii="仿宋" w:hAnsi="仿宋" w:eastAsia="仿宋"/>
          <w:sz w:val="28"/>
          <w:szCs w:val="28"/>
        </w:rPr>
        <w:t>万元</w:t>
      </w:r>
      <w:r>
        <w:rPr>
          <w:rFonts w:hint="eastAsia" w:ascii="仿宋" w:hAnsi="仿宋" w:eastAsia="仿宋"/>
          <w:sz w:val="28"/>
          <w:szCs w:val="28"/>
          <w:lang w:eastAsia="zh-CN"/>
        </w:rPr>
        <w:t>。</w:t>
      </w:r>
    </w:p>
    <w:p>
      <w:pPr>
        <w:autoSpaceDE w:val="0"/>
        <w:autoSpaceDN w:val="0"/>
        <w:spacing w:line="520" w:lineRule="exact"/>
        <w:ind w:firstLine="562" w:firstLineChars="200"/>
        <w:rPr>
          <w:rFonts w:ascii="仿宋" w:hAnsi="仿宋" w:eastAsia="仿宋" w:cstheme="minorEastAsia"/>
          <w:b/>
          <w:sz w:val="28"/>
          <w:szCs w:val="28"/>
          <w:lang w:val="zh-CN"/>
        </w:rPr>
      </w:pPr>
      <w:r>
        <w:rPr>
          <w:rFonts w:hint="eastAsia" w:ascii="仿宋" w:hAnsi="仿宋" w:eastAsia="仿宋" w:cstheme="minorEastAsia"/>
          <w:b/>
          <w:sz w:val="28"/>
          <w:szCs w:val="28"/>
          <w:lang w:val="zh-CN"/>
        </w:rPr>
        <w:t>三、绩效评价工作情况</w:t>
      </w:r>
    </w:p>
    <w:p>
      <w:pPr>
        <w:pStyle w:val="18"/>
        <w:autoSpaceDE w:val="0"/>
        <w:spacing w:before="0" w:beforeAutospacing="0" w:after="0" w:afterAutospacing="0" w:line="520" w:lineRule="exact"/>
        <w:ind w:firstLine="480" w:firstLineChars="200"/>
        <w:rPr>
          <w:rFonts w:ascii="仿宋" w:hAnsi="仿宋" w:eastAsia="仿宋" w:cs="Times New Roman"/>
          <w:kern w:val="2"/>
          <w:sz w:val="28"/>
          <w:szCs w:val="28"/>
        </w:rPr>
      </w:pPr>
      <w:r>
        <w:rPr>
          <w:rFonts w:hint="eastAsia" w:ascii="仿宋" w:hAnsi="仿宋" w:eastAsia="仿宋"/>
          <w:kern w:val="2"/>
        </w:rPr>
        <w:t>（</w:t>
      </w:r>
      <w:r>
        <w:rPr>
          <w:rFonts w:hint="eastAsia" w:ascii="仿宋" w:hAnsi="仿宋" w:eastAsia="仿宋" w:cs="Times New Roman"/>
          <w:kern w:val="2"/>
          <w:sz w:val="28"/>
          <w:szCs w:val="28"/>
        </w:rPr>
        <w:t>一）绩效评价目的</w:t>
      </w:r>
    </w:p>
    <w:p>
      <w:pPr>
        <w:pStyle w:val="8"/>
        <w:spacing w:before="0" w:beforeAutospacing="0" w:after="0" w:afterAutospacing="0" w:line="520" w:lineRule="exact"/>
        <w:ind w:firstLine="560" w:firstLineChars="200"/>
        <w:jc w:val="both"/>
        <w:rPr>
          <w:rFonts w:ascii="仿宋" w:hAnsi="仿宋" w:eastAsia="仿宋" w:cs="Times New Roman"/>
          <w:kern w:val="2"/>
          <w:sz w:val="28"/>
          <w:szCs w:val="28"/>
        </w:rPr>
      </w:pPr>
      <w:r>
        <w:rPr>
          <w:rFonts w:hint="eastAsia" w:ascii="仿宋" w:hAnsi="仿宋" w:eastAsia="仿宋" w:cs="Times New Roman"/>
          <w:kern w:val="2"/>
          <w:sz w:val="28"/>
          <w:szCs w:val="28"/>
        </w:rPr>
        <w:t>本次绩效评价的目的是为了全面分析和综合评价我单位对财政预算资金的使用和管理情况，通过加强预算收支管理，不断建立健全内部管理制度，梳理内部管理流程，为切实提高财政资金使用效益，强化预算支出的责任和效率提供参考。</w:t>
      </w:r>
    </w:p>
    <w:p>
      <w:pPr>
        <w:pStyle w:val="18"/>
        <w:autoSpaceDE w:val="0"/>
        <w:spacing w:before="0" w:beforeAutospacing="0" w:after="0" w:afterAutospacing="0" w:line="520" w:lineRule="exact"/>
        <w:ind w:firstLine="560" w:firstLineChars="200"/>
        <w:rPr>
          <w:rFonts w:ascii="仿宋" w:hAnsi="仿宋" w:eastAsia="仿宋" w:cs="Times New Roman"/>
          <w:kern w:val="2"/>
          <w:sz w:val="28"/>
          <w:szCs w:val="28"/>
        </w:rPr>
      </w:pPr>
      <w:r>
        <w:rPr>
          <w:rFonts w:hint="eastAsia" w:ascii="仿宋" w:hAnsi="仿宋" w:eastAsia="仿宋" w:cs="Times New Roman"/>
          <w:kern w:val="2"/>
          <w:sz w:val="28"/>
          <w:szCs w:val="28"/>
        </w:rPr>
        <w:t>（二）绩效评价工作过程</w:t>
      </w:r>
    </w:p>
    <w:p>
      <w:pPr>
        <w:spacing w:line="52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1.成立评价小组。成立益阳市交警支队绩效评价工作小组，由支队长任组长，各科室、大队负责人为成员，明确工作职责和分工。评价小组负责本部门绩效自评工作的组织领导和具体实施。</w:t>
      </w:r>
    </w:p>
    <w:p>
      <w:pPr>
        <w:spacing w:line="52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2.实施绩效评价。一是收集资料。根据评价对象、内容和要求收集相关法律法规规章、文件制度、部门职能职责、年度工作计划等各种资料；要求所属部门、单位填报相关数据，提供有关情况；评价人员采取到实地勘察、发放问卷调查、召开座谈会听取汇报等方式收集各种资料。二是审核资料。评价小组对收集到的各种资料进行审核，根据具体情况组织人员到现场进行勘察、询查和核实，确保资料真实可信、准确无误。三是形成评价结论。评价人员通过对资料进行分类、整理和分析，按照确定的评价方法、评价标准和评价指标进行打分，形成自评结论。</w:t>
      </w:r>
    </w:p>
    <w:p>
      <w:pPr>
        <w:autoSpaceDE w:val="0"/>
        <w:autoSpaceDN w:val="0"/>
        <w:spacing w:line="520" w:lineRule="exact"/>
        <w:ind w:firstLine="562" w:firstLineChars="200"/>
        <w:rPr>
          <w:rFonts w:ascii="仿宋" w:hAnsi="仿宋" w:eastAsia="仿宋" w:cstheme="minorEastAsia"/>
          <w:b/>
          <w:sz w:val="28"/>
          <w:szCs w:val="28"/>
          <w:lang w:val="zh-CN"/>
        </w:rPr>
      </w:pPr>
      <w:r>
        <w:rPr>
          <w:rFonts w:hint="eastAsia" w:ascii="仿宋" w:hAnsi="仿宋" w:eastAsia="仿宋" w:cstheme="minorEastAsia"/>
          <w:b/>
          <w:sz w:val="28"/>
          <w:szCs w:val="28"/>
          <w:lang w:val="zh-CN"/>
        </w:rPr>
        <w:t>四、部门整体支出主要绩效</w:t>
      </w:r>
    </w:p>
    <w:p>
      <w:pPr>
        <w:spacing w:line="52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根据部门整体支出绩效评价指标体系和绩效检查情况，我</w:t>
      </w:r>
      <w:r>
        <w:rPr>
          <w:rFonts w:hint="eastAsia" w:ascii="仿宋" w:hAnsi="仿宋" w:eastAsia="仿宋" w:cs="Times New Roman"/>
          <w:sz w:val="28"/>
          <w:szCs w:val="28"/>
          <w:lang w:val="zh-CN"/>
        </w:rPr>
        <w:t>支队</w:t>
      </w:r>
      <w:r>
        <w:rPr>
          <w:rFonts w:hint="eastAsia" w:ascii="仿宋" w:hAnsi="仿宋" w:eastAsia="仿宋" w:cs="Times New Roman"/>
          <w:sz w:val="28"/>
          <w:szCs w:val="28"/>
        </w:rPr>
        <w:t>主要绩效表现在如下几个方面：</w:t>
      </w:r>
    </w:p>
    <w:p>
      <w:pPr>
        <w:spacing w:line="520" w:lineRule="exact"/>
        <w:ind w:firstLine="562" w:firstLineChars="200"/>
        <w:rPr>
          <w:rFonts w:ascii="仿宋" w:hAnsi="仿宋" w:eastAsia="仿宋" w:cs="Times New Roman"/>
          <w:sz w:val="28"/>
          <w:szCs w:val="28"/>
        </w:rPr>
      </w:pPr>
      <w:r>
        <w:rPr>
          <w:rFonts w:hint="eastAsia" w:ascii="楷体" w:hAnsi="楷体" w:eastAsia="楷体" w:cs="楷体"/>
          <w:b/>
          <w:bCs/>
          <w:sz w:val="28"/>
          <w:szCs w:val="28"/>
        </w:rPr>
        <w:t>（一）效率性评价情况</w:t>
      </w:r>
      <w:r>
        <w:rPr>
          <w:rFonts w:hint="eastAsia" w:ascii="仿宋" w:hAnsi="仿宋" w:eastAsia="仿宋" w:cs="Times New Roman"/>
          <w:sz w:val="28"/>
          <w:szCs w:val="28"/>
        </w:rPr>
        <w:t>：</w:t>
      </w:r>
    </w:p>
    <w:p>
      <w:pPr>
        <w:spacing w:line="52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202</w:t>
      </w:r>
      <w:r>
        <w:rPr>
          <w:rFonts w:hint="eastAsia" w:ascii="仿宋" w:hAnsi="仿宋" w:eastAsia="仿宋" w:cs="Times New Roman"/>
          <w:sz w:val="28"/>
          <w:szCs w:val="28"/>
          <w:lang w:val="en-US" w:eastAsia="zh-CN"/>
        </w:rPr>
        <w:t>1</w:t>
      </w:r>
      <w:r>
        <w:rPr>
          <w:rFonts w:hint="eastAsia" w:ascii="仿宋" w:hAnsi="仿宋" w:eastAsia="仿宋" w:cs="Times New Roman"/>
          <w:sz w:val="28"/>
          <w:szCs w:val="28"/>
        </w:rPr>
        <w:t>年，交警支队在市委、市政府和省交警总队、市公安局的坚强领导下，始终坚持“以人民为中心”的理念，紧紧围绕防疫情、降事故、保畅通、优服务的目标，全力保障道路交通有序、安全、畅通。全市</w:t>
      </w:r>
      <w:r>
        <w:rPr>
          <w:rFonts w:hint="eastAsia" w:ascii="仿宋" w:hAnsi="仿宋" w:eastAsia="仿宋" w:cs="Times New Roman"/>
          <w:sz w:val="28"/>
          <w:szCs w:val="28"/>
          <w:lang w:eastAsia="zh-CN"/>
        </w:rPr>
        <w:t>共发生亡人交通事故</w:t>
      </w:r>
      <w:r>
        <w:rPr>
          <w:rFonts w:hint="eastAsia" w:ascii="仿宋" w:hAnsi="仿宋" w:eastAsia="仿宋" w:cs="Times New Roman"/>
          <w:sz w:val="28"/>
          <w:szCs w:val="28"/>
          <w:lang w:val="en-US" w:eastAsia="zh-CN"/>
        </w:rPr>
        <w:t>354起、死亡368人，较2020年分别下降8.29%、8.46%，</w:t>
      </w:r>
      <w:r>
        <w:rPr>
          <w:rFonts w:hint="eastAsia" w:ascii="仿宋" w:hAnsi="仿宋" w:eastAsia="仿宋" w:cs="Times New Roman"/>
          <w:sz w:val="28"/>
          <w:szCs w:val="28"/>
        </w:rPr>
        <w:t>未发生一次死亡</w:t>
      </w:r>
      <w:r>
        <w:rPr>
          <w:rFonts w:hint="eastAsia" w:ascii="仿宋" w:hAnsi="仿宋" w:eastAsia="仿宋" w:cs="Times New Roman"/>
          <w:sz w:val="28"/>
          <w:szCs w:val="28"/>
          <w:lang w:val="en-US" w:eastAsia="zh-CN"/>
        </w:rPr>
        <w:t>5</w:t>
      </w:r>
      <w:r>
        <w:rPr>
          <w:rFonts w:hint="eastAsia" w:ascii="仿宋" w:hAnsi="仿宋" w:eastAsia="仿宋" w:cs="Times New Roman"/>
          <w:sz w:val="28"/>
          <w:szCs w:val="28"/>
        </w:rPr>
        <w:t>人以上的</w:t>
      </w:r>
      <w:r>
        <w:rPr>
          <w:rFonts w:hint="eastAsia" w:ascii="仿宋" w:hAnsi="仿宋" w:eastAsia="仿宋" w:cs="Times New Roman"/>
          <w:sz w:val="28"/>
          <w:szCs w:val="28"/>
          <w:lang w:eastAsia="zh-CN"/>
        </w:rPr>
        <w:t>较大</w:t>
      </w:r>
      <w:r>
        <w:rPr>
          <w:rFonts w:hint="eastAsia" w:ascii="仿宋" w:hAnsi="仿宋" w:eastAsia="仿宋" w:cs="Times New Roman"/>
          <w:sz w:val="28"/>
          <w:szCs w:val="28"/>
        </w:rPr>
        <w:t>交通事故</w:t>
      </w:r>
      <w:r>
        <w:rPr>
          <w:rFonts w:hint="eastAsia" w:ascii="仿宋" w:hAnsi="仿宋" w:eastAsia="仿宋" w:cs="Times New Roman"/>
          <w:sz w:val="28"/>
          <w:szCs w:val="28"/>
          <w:lang w:eastAsia="zh-CN"/>
        </w:rPr>
        <w:t>。</w:t>
      </w:r>
      <w:r>
        <w:rPr>
          <w:rFonts w:hint="eastAsia" w:ascii="仿宋" w:hAnsi="仿宋" w:eastAsia="仿宋" w:cs="Times New Roman"/>
          <w:sz w:val="28"/>
          <w:szCs w:val="28"/>
        </w:rPr>
        <w:t>支队在</w:t>
      </w:r>
      <w:r>
        <w:rPr>
          <w:rFonts w:hint="eastAsia" w:ascii="仿宋" w:hAnsi="仿宋" w:eastAsia="仿宋" w:cs="Times New Roman"/>
          <w:sz w:val="28"/>
          <w:szCs w:val="28"/>
          <w:lang w:eastAsia="zh-CN"/>
        </w:rPr>
        <w:t>省公安厅“事故减量控大”和“顽瘴痼疾整治”两个专项警务考评中获得满分，被评为全省公安交警系统深化优秀警队建设优秀单位、全市文明单位和平安单位</w:t>
      </w:r>
      <w:r>
        <w:rPr>
          <w:rFonts w:hint="eastAsia" w:ascii="仿宋" w:hAnsi="仿宋" w:eastAsia="仿宋" w:cs="Times New Roman"/>
          <w:sz w:val="28"/>
          <w:szCs w:val="28"/>
        </w:rPr>
        <w:t>。202</w:t>
      </w:r>
      <w:r>
        <w:rPr>
          <w:rFonts w:hint="eastAsia" w:ascii="仿宋" w:hAnsi="仿宋" w:eastAsia="仿宋" w:cs="Times New Roman"/>
          <w:sz w:val="28"/>
          <w:szCs w:val="28"/>
          <w:lang w:val="en-US" w:eastAsia="zh-CN"/>
        </w:rPr>
        <w:t>1</w:t>
      </w:r>
      <w:r>
        <w:rPr>
          <w:rFonts w:hint="eastAsia" w:ascii="仿宋" w:hAnsi="仿宋" w:eastAsia="仿宋" w:cs="Times New Roman"/>
          <w:sz w:val="28"/>
          <w:szCs w:val="28"/>
        </w:rPr>
        <w:t>年成绩具体有以下几项：</w:t>
      </w:r>
    </w:p>
    <w:p>
      <w:pPr>
        <w:numPr>
          <w:ilvl w:val="0"/>
          <w:numId w:val="0"/>
        </w:numPr>
        <w:spacing w:line="52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1、聚焦重点，精准施策，事故防控实现新突破。</w:t>
      </w:r>
    </w:p>
    <w:p>
      <w:pPr>
        <w:numPr>
          <w:ilvl w:val="0"/>
          <w:numId w:val="0"/>
        </w:numPr>
        <w:spacing w:line="520" w:lineRule="exact"/>
        <w:rPr>
          <w:rFonts w:hint="default" w:ascii="仿宋" w:hAnsi="仿宋" w:eastAsia="仿宋" w:cs="Times New Roman"/>
          <w:sz w:val="28"/>
          <w:szCs w:val="28"/>
          <w:lang w:val="en-US" w:eastAsia="zh-CN"/>
        </w:rPr>
      </w:pPr>
      <w:r>
        <w:rPr>
          <w:rFonts w:hint="eastAsia" w:ascii="仿宋" w:hAnsi="仿宋" w:eastAsia="仿宋" w:cs="Times New Roman"/>
          <w:sz w:val="28"/>
          <w:szCs w:val="28"/>
          <w:lang w:val="en-US" w:eastAsia="zh-CN"/>
        </w:rPr>
        <w:t xml:space="preserve">     盯死看牢“两客一危”这一突出风险点，扎实推进源头安全隐患清零，重点车辆检验率、报废率、违法处理率提升至99%以上，查处“大吨小标”、非法改装车辆92辆，57座以上大客车、卧铺大客车、“营转非”大客车全部淘汰到位。严格管控重点人员，依法注销吸毒人员和精神病人驾驶证853本。排查事故多发、急弯陡坡、临水临崖、长下坡等隐患路段121处，推动整改责任、措施、资金、时限“四落实”，100%治理到位。全力推进“两站两员”建设，累计建成交管站、劝导站1069个，配备交通安全管理员、劝导员3648人，农村交通安全治理工作进一步巩固。开展交通安全宣传活动3500场，发送宣传资料120万分，发送提示信息550万条，警示曝光违规企业、机动车、驾驶人以及典型案例等1500个。</w:t>
      </w:r>
    </w:p>
    <w:p>
      <w:pPr>
        <w:numPr>
          <w:ilvl w:val="0"/>
          <w:numId w:val="0"/>
        </w:numPr>
        <w:spacing w:line="52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2、重拳出击，铁腕治乱，执法管理取得新战果。</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rPr>
          <w:rFonts w:hint="default" w:ascii="仿宋" w:hAnsi="仿宋" w:eastAsia="仿宋" w:cs="Times New Roman"/>
          <w:sz w:val="28"/>
          <w:szCs w:val="28"/>
          <w:lang w:val="en-US" w:eastAsia="zh-CN"/>
        </w:rPr>
      </w:pPr>
      <w:r>
        <w:rPr>
          <w:rFonts w:hint="eastAsia" w:ascii="仿宋" w:hAnsi="仿宋" w:eastAsia="仿宋" w:cs="Times New Roman"/>
          <w:sz w:val="28"/>
          <w:szCs w:val="28"/>
          <w:lang w:val="en-US" w:eastAsia="zh-CN"/>
        </w:rPr>
        <w:t xml:space="preserve">    最大限度把警力和装备摆上路面，梯次推进交通安全整治“百日会战”、农村地区“百点百队”交通秩序集中整治、“治顽疾、压事故、保平安”百日攻坚、“酒、盔、带”交通违法治理等专项行动，全市查获交通违法行为120万起，其中“百吨王”41起、假牌套牌391起、超载超限6046起、无证驾驶1.8万起、不带安全头盔15.4万起、不系安全带6.5万起，城区头盔佩戴率超过90%，安全带使用率超过95%，暂扣驾驶证3404本，吊销驾驶证1704本，行政拘留581人，查获酒驾醉酒5579起，移送纪检监察部门处理党员、公职人员38人，圆满完成213辆老旧机动车淘汰任务。开展亡人事故深度调查40起，依法处罚企业8家，追究责任43人，有效倒逼了交通安全主体责任落实。</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Times New Roman"/>
          <w:sz w:val="28"/>
          <w:szCs w:val="28"/>
          <w:lang w:eastAsia="zh-CN"/>
        </w:rPr>
      </w:pPr>
      <w:r>
        <w:rPr>
          <w:rFonts w:hint="eastAsia" w:ascii="仿宋" w:hAnsi="仿宋" w:eastAsia="仿宋" w:cs="Times New Roman"/>
          <w:sz w:val="28"/>
          <w:szCs w:val="28"/>
          <w:lang w:val="en-US" w:eastAsia="zh-CN"/>
        </w:rPr>
        <w:t>3、</w:t>
      </w:r>
      <w:r>
        <w:rPr>
          <w:rFonts w:hint="eastAsia" w:ascii="仿宋" w:hAnsi="仿宋" w:eastAsia="仿宋" w:cs="Times New Roman"/>
          <w:sz w:val="28"/>
          <w:szCs w:val="28"/>
          <w:lang w:eastAsia="zh-CN"/>
        </w:rPr>
        <w:t>围绕中心，服务大局，城市治理得到新提升。</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840" w:firstLineChars="300"/>
        <w:textAlignment w:val="auto"/>
        <w:rPr>
          <w:rFonts w:hint="default" w:ascii="仿宋" w:hAnsi="仿宋" w:eastAsia="仿宋" w:cs="Times New Roman"/>
          <w:sz w:val="28"/>
          <w:szCs w:val="28"/>
          <w:lang w:val="en-US" w:eastAsia="zh-CN"/>
        </w:rPr>
      </w:pPr>
      <w:r>
        <w:rPr>
          <w:rFonts w:hint="eastAsia" w:ascii="仿宋" w:hAnsi="仿宋" w:eastAsia="仿宋" w:cs="Times New Roman"/>
          <w:sz w:val="28"/>
          <w:szCs w:val="28"/>
          <w:lang w:eastAsia="zh-CN"/>
        </w:rPr>
        <w:t>联合中南大学、湖南城市学院等高等院校，对</w:t>
      </w:r>
      <w:r>
        <w:rPr>
          <w:rFonts w:hint="eastAsia" w:ascii="仿宋" w:hAnsi="仿宋" w:eastAsia="仿宋" w:cs="Times New Roman"/>
          <w:sz w:val="28"/>
          <w:szCs w:val="28"/>
          <w:lang w:val="en-US" w:eastAsia="zh-CN"/>
        </w:rPr>
        <w:t>31出路口路段优化交通组织，增设行人二次过街设施38处、人行横道信号灯8处，建设公交专用道、非机动车道、人行道等配套标志75套，更新完善交通标志300余处、交通标线5500平方米，中心医院、万海商圈、梓山湖学校、“一园两中心”等地段交通状况不断改善。</w:t>
      </w:r>
      <w:r>
        <w:rPr>
          <w:rFonts w:hint="eastAsia" w:ascii="仿宋" w:hAnsi="仿宋" w:eastAsia="仿宋" w:cs="Times New Roman"/>
          <w:sz w:val="28"/>
          <w:szCs w:val="28"/>
        </w:rPr>
        <w:t>进一步提升了群众的获得感和满意度。</w:t>
      </w:r>
      <w:r>
        <w:rPr>
          <w:rFonts w:hint="eastAsia" w:ascii="仿宋" w:hAnsi="仿宋" w:eastAsia="仿宋" w:cs="Times New Roman"/>
          <w:sz w:val="28"/>
          <w:szCs w:val="28"/>
          <w:lang w:eastAsia="zh-CN"/>
        </w:rPr>
        <w:t>全面深化智能交通建设应用，中心城区监控设备增至</w:t>
      </w:r>
      <w:r>
        <w:rPr>
          <w:rFonts w:hint="eastAsia" w:ascii="仿宋" w:hAnsi="仿宋" w:eastAsia="仿宋" w:cs="Times New Roman"/>
          <w:sz w:val="28"/>
          <w:szCs w:val="28"/>
          <w:lang w:val="en-US" w:eastAsia="zh-CN"/>
        </w:rPr>
        <w:t>1185套，为打击违法、侦破案件、缓解拥堵等提供了技术支撑。</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Times New Roman"/>
          <w:sz w:val="28"/>
          <w:szCs w:val="28"/>
          <w:lang w:eastAsia="zh-CN"/>
        </w:rPr>
      </w:pPr>
      <w:r>
        <w:rPr>
          <w:rFonts w:hint="eastAsia" w:ascii="仿宋" w:hAnsi="仿宋" w:eastAsia="仿宋" w:cs="Times New Roman"/>
          <w:sz w:val="28"/>
          <w:szCs w:val="28"/>
          <w:lang w:val="en-US" w:eastAsia="zh-CN"/>
        </w:rPr>
        <w:t>4、</w:t>
      </w:r>
      <w:r>
        <w:rPr>
          <w:rFonts w:hint="eastAsia" w:ascii="仿宋" w:hAnsi="仿宋" w:eastAsia="仿宋" w:cs="Times New Roman"/>
          <w:sz w:val="28"/>
          <w:szCs w:val="28"/>
          <w:lang w:eastAsia="zh-CN"/>
        </w:rPr>
        <w:t>严优并举，改革创新，交警队伍展现新形象。</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840" w:firstLineChars="300"/>
        <w:textAlignment w:val="auto"/>
        <w:rPr>
          <w:rFonts w:hint="default"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lang w:eastAsia="zh-CN"/>
        </w:rPr>
        <w:t>坚持不懈加强政治建警，深入开展队伍教育整顿，在对标落实</w:t>
      </w:r>
      <w:r>
        <w:rPr>
          <w:rFonts w:hint="eastAsia" w:ascii="仿宋" w:hAnsi="仿宋" w:eastAsia="仿宋" w:cs="Times New Roman"/>
          <w:sz w:val="28"/>
          <w:szCs w:val="28"/>
          <w:highlight w:val="none"/>
          <w:lang w:val="en-US" w:eastAsia="zh-CN"/>
        </w:rPr>
        <w:t>6项规定动作基础上，结合交警实际将“交通标志标线设置不科学、酒驾案件查处不规范、电子警察抄牌不合理、辅警队伍管理不严格、窗口部门服务态度不好”等5项内容纳入整顿范围，共查处问题173个，并立行立改。非现场执法方面，实施“三停六查”措施，坚决杜绝逐利执法行为；酒驾整治方面，制定“六条铁规”，对说情、打招呼、干预执法的一律登记报告，对党员、公职人员酒驾违法的一律移送纪检监察部门处理；交通秩序管理方面，放宽重型载货汽车及挂车、专项作业车、低速货车的夜间通行限制，进一步提供通行便利；交通事故处理方面，落实事故处警双班制、警情信息双推送、轻微事故远程定责、一般事故路面警力先期处置等措施，切实提升了处警速度；车驾管服方面，全面落实公安交警“放管服”改革措施，23项业务集中入驻市民服务中心，全面推广社会机构代办车管业务，广泛开展“流动车管所”上门服务，试点农村派出所办理摩托车牌证，优化了营商环境。特别是车管“一通道查验”“一窗式通办”“一站式服务”经验做法，得到了政法队伍教育整顿省指导组和瞿海书记的高度认可。突出加强典型宣传，大力开展表彰奖励，12个集体、35名个人获市级以上表彰奖励，充分展现了公安交警奋发有为、无私奉献的良好形象。</w:t>
      </w:r>
    </w:p>
    <w:p>
      <w:pPr>
        <w:spacing w:line="520" w:lineRule="exact"/>
        <w:ind w:firstLine="562" w:firstLineChars="200"/>
        <w:rPr>
          <w:rFonts w:ascii="仿宋" w:hAnsi="仿宋" w:eastAsia="仿宋" w:cs="Times New Roman"/>
          <w:sz w:val="28"/>
          <w:szCs w:val="28"/>
          <w:highlight w:val="none"/>
        </w:rPr>
      </w:pPr>
      <w:r>
        <w:rPr>
          <w:rFonts w:hint="eastAsia" w:ascii="楷体" w:hAnsi="楷体" w:eastAsia="楷体" w:cs="楷体"/>
          <w:b/>
          <w:bCs/>
          <w:sz w:val="28"/>
          <w:szCs w:val="28"/>
          <w:highlight w:val="none"/>
        </w:rPr>
        <w:t>（二）有效性评价</w:t>
      </w:r>
      <w:r>
        <w:rPr>
          <w:rFonts w:hint="eastAsia" w:ascii="仿宋" w:hAnsi="仿宋" w:eastAsia="仿宋" w:cs="Times New Roman"/>
          <w:b/>
          <w:bCs/>
          <w:sz w:val="28"/>
          <w:szCs w:val="28"/>
          <w:highlight w:val="none"/>
        </w:rPr>
        <w:t>:</w:t>
      </w:r>
      <w:r>
        <w:rPr>
          <w:rFonts w:hint="eastAsia" w:ascii="仿宋" w:hAnsi="仿宋" w:eastAsia="仿宋" w:cs="Times New Roman"/>
          <w:sz w:val="28"/>
          <w:szCs w:val="28"/>
          <w:highlight w:val="none"/>
        </w:rPr>
        <w:t xml:space="preserve"> </w:t>
      </w:r>
    </w:p>
    <w:p>
      <w:pPr>
        <w:spacing w:line="52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1、在职人员控制率：财政供养人员编制</w:t>
      </w:r>
      <w:r>
        <w:rPr>
          <w:rFonts w:hint="eastAsia" w:ascii="仿宋" w:hAnsi="仿宋" w:eastAsia="仿宋" w:cs="Times New Roman"/>
          <w:sz w:val="28"/>
          <w:szCs w:val="28"/>
          <w:lang w:val="en-US" w:eastAsia="zh-CN"/>
        </w:rPr>
        <w:t>337</w:t>
      </w:r>
      <w:r>
        <w:rPr>
          <w:rFonts w:hint="eastAsia" w:ascii="仿宋" w:hAnsi="仿宋" w:eastAsia="仿宋" w:cs="Times New Roman"/>
          <w:sz w:val="28"/>
          <w:szCs w:val="28"/>
        </w:rPr>
        <w:t>名，截止202</w:t>
      </w:r>
      <w:r>
        <w:rPr>
          <w:rFonts w:hint="eastAsia" w:ascii="仿宋" w:hAnsi="仿宋" w:eastAsia="仿宋" w:cs="Times New Roman"/>
          <w:sz w:val="28"/>
          <w:szCs w:val="28"/>
          <w:lang w:val="en-US" w:eastAsia="zh-CN"/>
        </w:rPr>
        <w:t>1</w:t>
      </w:r>
      <w:r>
        <w:rPr>
          <w:rFonts w:hint="eastAsia" w:ascii="仿宋" w:hAnsi="仿宋" w:eastAsia="仿宋" w:cs="Times New Roman"/>
          <w:sz w:val="28"/>
          <w:szCs w:val="28"/>
        </w:rPr>
        <w:t>年末实有在职</w:t>
      </w:r>
      <w:r>
        <w:rPr>
          <w:rFonts w:hint="eastAsia" w:ascii="仿宋" w:hAnsi="仿宋" w:eastAsia="仿宋" w:cs="Times New Roman"/>
          <w:sz w:val="28"/>
          <w:szCs w:val="28"/>
          <w:lang w:eastAsia="zh-CN"/>
        </w:rPr>
        <w:t>在编</w:t>
      </w:r>
      <w:r>
        <w:rPr>
          <w:rFonts w:hint="eastAsia" w:ascii="仿宋" w:hAnsi="仿宋" w:eastAsia="仿宋" w:cs="Times New Roman"/>
          <w:sz w:val="28"/>
          <w:szCs w:val="28"/>
        </w:rPr>
        <w:t>人员</w:t>
      </w:r>
      <w:r>
        <w:rPr>
          <w:rFonts w:hint="eastAsia" w:ascii="仿宋" w:hAnsi="仿宋" w:eastAsia="仿宋" w:cs="Times New Roman"/>
          <w:sz w:val="28"/>
          <w:szCs w:val="28"/>
          <w:lang w:val="en-US" w:eastAsia="zh-CN"/>
        </w:rPr>
        <w:t>293</w:t>
      </w:r>
      <w:r>
        <w:rPr>
          <w:rFonts w:hint="eastAsia" w:ascii="仿宋" w:hAnsi="仿宋" w:eastAsia="仿宋" w:cs="Times New Roman"/>
          <w:sz w:val="28"/>
          <w:szCs w:val="28"/>
        </w:rPr>
        <w:t>名，控制率为</w:t>
      </w:r>
      <w:r>
        <w:rPr>
          <w:rFonts w:hint="eastAsia" w:ascii="仿宋" w:hAnsi="仿宋" w:eastAsia="仿宋" w:cs="Times New Roman"/>
          <w:sz w:val="28"/>
          <w:szCs w:val="28"/>
          <w:lang w:val="en-US" w:eastAsia="zh-CN"/>
        </w:rPr>
        <w:t>87</w:t>
      </w:r>
      <w:r>
        <w:rPr>
          <w:rFonts w:hint="eastAsia" w:ascii="仿宋" w:hAnsi="仿宋" w:eastAsia="仿宋" w:cs="Times New Roman"/>
          <w:sz w:val="28"/>
          <w:szCs w:val="28"/>
        </w:rPr>
        <w:t>%。</w:t>
      </w:r>
    </w:p>
    <w:p>
      <w:pPr>
        <w:spacing w:line="52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2、预算完成率：年初预算金额（含调整数）</w:t>
      </w:r>
      <w:r>
        <w:rPr>
          <w:rFonts w:hint="eastAsia" w:ascii="仿宋" w:hAnsi="仿宋" w:eastAsia="仿宋" w:cs="Times New Roman"/>
          <w:sz w:val="28"/>
          <w:szCs w:val="28"/>
          <w:lang w:val="en-US" w:eastAsia="zh-CN"/>
        </w:rPr>
        <w:t>19595.42万</w:t>
      </w:r>
      <w:r>
        <w:rPr>
          <w:rFonts w:hint="eastAsia" w:ascii="仿宋" w:hAnsi="仿宋" w:eastAsia="仿宋" w:cs="Times New Roman"/>
          <w:sz w:val="28"/>
          <w:szCs w:val="28"/>
        </w:rPr>
        <w:t>元,实际支出金额为</w:t>
      </w:r>
      <w:r>
        <w:rPr>
          <w:rFonts w:hint="eastAsia" w:ascii="仿宋" w:hAnsi="仿宋" w:eastAsia="仿宋" w:cs="Times New Roman"/>
          <w:sz w:val="28"/>
          <w:szCs w:val="28"/>
          <w:lang w:val="en-US" w:eastAsia="zh-CN"/>
        </w:rPr>
        <w:t>13074.22万</w:t>
      </w:r>
      <w:r>
        <w:rPr>
          <w:rFonts w:hint="eastAsia" w:ascii="仿宋" w:hAnsi="仿宋" w:eastAsia="仿宋" w:cs="Times New Roman"/>
          <w:sz w:val="28"/>
          <w:szCs w:val="28"/>
        </w:rPr>
        <w:t>元,完成率为</w:t>
      </w:r>
      <w:r>
        <w:rPr>
          <w:rFonts w:hint="eastAsia" w:ascii="仿宋" w:hAnsi="仿宋" w:eastAsia="仿宋" w:cs="Times New Roman"/>
          <w:sz w:val="28"/>
          <w:szCs w:val="28"/>
          <w:lang w:val="en-US" w:eastAsia="zh-CN"/>
        </w:rPr>
        <w:t>66.72</w:t>
      </w:r>
      <w:r>
        <w:rPr>
          <w:rFonts w:hint="eastAsia" w:ascii="仿宋" w:hAnsi="仿宋" w:eastAsia="仿宋" w:cs="Times New Roman"/>
          <w:sz w:val="28"/>
          <w:szCs w:val="28"/>
        </w:rPr>
        <w:t>%。</w:t>
      </w:r>
    </w:p>
    <w:p>
      <w:pPr>
        <w:spacing w:line="52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3、预算控制率：本年年初预算为</w:t>
      </w:r>
      <w:r>
        <w:rPr>
          <w:rFonts w:hint="eastAsia" w:ascii="仿宋" w:hAnsi="仿宋" w:eastAsia="仿宋" w:cs="Times New Roman"/>
          <w:sz w:val="28"/>
          <w:szCs w:val="28"/>
          <w:lang w:val="en-US" w:eastAsia="zh-CN"/>
        </w:rPr>
        <w:t>19595.42万</w:t>
      </w:r>
      <w:r>
        <w:rPr>
          <w:rFonts w:hint="eastAsia" w:ascii="仿宋" w:hAnsi="仿宋" w:eastAsia="仿宋" w:cs="Times New Roman"/>
          <w:sz w:val="28"/>
          <w:szCs w:val="28"/>
        </w:rPr>
        <w:t>元,追加及预算调整金额为</w:t>
      </w:r>
      <w:r>
        <w:rPr>
          <w:rFonts w:hint="eastAsia" w:ascii="仿宋" w:hAnsi="仿宋" w:eastAsia="仿宋" w:cs="Times New Roman"/>
          <w:sz w:val="28"/>
          <w:szCs w:val="28"/>
          <w:lang w:val="en-US" w:eastAsia="zh-CN"/>
        </w:rPr>
        <w:t>-6552.48</w:t>
      </w:r>
      <w:r>
        <w:rPr>
          <w:rFonts w:hint="eastAsia" w:ascii="仿宋" w:hAnsi="仿宋" w:eastAsia="仿宋" w:cs="Times New Roman"/>
          <w:sz w:val="28"/>
          <w:szCs w:val="28"/>
        </w:rPr>
        <w:t>元, 预算调整率为</w:t>
      </w:r>
      <w:r>
        <w:rPr>
          <w:rFonts w:hint="eastAsia" w:ascii="仿宋" w:hAnsi="仿宋" w:eastAsia="仿宋" w:cs="Times New Roman"/>
          <w:sz w:val="28"/>
          <w:szCs w:val="28"/>
          <w:lang w:val="en-US" w:eastAsia="zh-CN"/>
        </w:rPr>
        <w:t>-33.44</w:t>
      </w:r>
      <w:r>
        <w:rPr>
          <w:rFonts w:hint="eastAsia" w:ascii="仿宋" w:hAnsi="仿宋" w:eastAsia="仿宋" w:cs="Times New Roman"/>
          <w:sz w:val="28"/>
          <w:szCs w:val="28"/>
        </w:rPr>
        <w:t>%。</w:t>
      </w:r>
    </w:p>
    <w:p>
      <w:pPr>
        <w:spacing w:line="52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4、固定资产利用率：实际在用固定资产总额</w:t>
      </w:r>
      <w:r>
        <w:rPr>
          <w:rFonts w:hint="eastAsia" w:ascii="仿宋" w:hAnsi="仿宋" w:eastAsia="仿宋" w:cs="Times New Roman"/>
          <w:sz w:val="28"/>
          <w:szCs w:val="28"/>
          <w:lang w:val="en-US" w:eastAsia="zh-CN"/>
        </w:rPr>
        <w:t>11937.98万</w:t>
      </w:r>
      <w:r>
        <w:rPr>
          <w:rFonts w:hint="eastAsia" w:ascii="仿宋" w:hAnsi="仿宋" w:eastAsia="仿宋" w:cs="Times New Roman"/>
          <w:sz w:val="28"/>
          <w:szCs w:val="28"/>
        </w:rPr>
        <w:t>元，所有固定资产总额</w:t>
      </w:r>
      <w:r>
        <w:rPr>
          <w:rFonts w:hint="eastAsia" w:ascii="仿宋" w:hAnsi="仿宋" w:eastAsia="仿宋" w:cs="Times New Roman"/>
          <w:sz w:val="28"/>
          <w:szCs w:val="28"/>
          <w:lang w:val="en-US" w:eastAsia="zh-CN"/>
        </w:rPr>
        <w:t>11937.98万</w:t>
      </w:r>
      <w:r>
        <w:rPr>
          <w:rFonts w:hint="eastAsia" w:ascii="仿宋" w:hAnsi="仿宋" w:eastAsia="仿宋" w:cs="Times New Roman"/>
          <w:sz w:val="28"/>
          <w:szCs w:val="28"/>
        </w:rPr>
        <w:t>元，固定资产利用率100%。</w:t>
      </w:r>
    </w:p>
    <w:p>
      <w:pPr>
        <w:spacing w:line="52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5、公用经费控制率：实际支出公用经费总额</w:t>
      </w:r>
      <w:r>
        <w:rPr>
          <w:rFonts w:hint="eastAsia" w:ascii="仿宋" w:hAnsi="仿宋" w:eastAsia="仿宋" w:cs="Times New Roman"/>
          <w:sz w:val="28"/>
          <w:szCs w:val="28"/>
          <w:lang w:val="en-US" w:eastAsia="zh-CN"/>
        </w:rPr>
        <w:t>4655.87万</w:t>
      </w:r>
      <w:r>
        <w:rPr>
          <w:rFonts w:hint="eastAsia" w:ascii="仿宋" w:hAnsi="仿宋" w:eastAsia="仿宋" w:cs="Times New Roman"/>
          <w:sz w:val="28"/>
          <w:szCs w:val="28"/>
        </w:rPr>
        <w:t>元，预算（含调整数）安排公用经费总额为</w:t>
      </w:r>
      <w:r>
        <w:rPr>
          <w:rFonts w:hint="eastAsia" w:ascii="仿宋" w:hAnsi="仿宋" w:eastAsia="仿宋" w:cs="Times New Roman"/>
          <w:sz w:val="28"/>
          <w:szCs w:val="28"/>
          <w:lang w:val="en-US" w:eastAsia="zh-CN"/>
        </w:rPr>
        <w:t>1667.7万</w:t>
      </w:r>
      <w:r>
        <w:rPr>
          <w:rFonts w:hint="eastAsia" w:ascii="仿宋" w:hAnsi="仿宋" w:eastAsia="仿宋" w:cs="Times New Roman"/>
          <w:sz w:val="28"/>
          <w:szCs w:val="28"/>
        </w:rPr>
        <w:t>元,控制率为</w:t>
      </w:r>
      <w:r>
        <w:rPr>
          <w:rFonts w:hint="eastAsia" w:ascii="仿宋" w:hAnsi="仿宋" w:eastAsia="仿宋" w:cs="Times New Roman"/>
          <w:sz w:val="28"/>
          <w:szCs w:val="28"/>
          <w:lang w:val="en-US" w:eastAsia="zh-CN"/>
        </w:rPr>
        <w:t>279.18</w:t>
      </w:r>
      <w:r>
        <w:rPr>
          <w:rFonts w:hint="eastAsia" w:ascii="仿宋" w:hAnsi="仿宋" w:eastAsia="仿宋" w:cs="Times New Roman"/>
          <w:sz w:val="28"/>
          <w:szCs w:val="28"/>
        </w:rPr>
        <w:t>%。</w:t>
      </w:r>
    </w:p>
    <w:p>
      <w:pPr>
        <w:spacing w:line="52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6、“三公经费”控制率：“三公经费”实际支出数</w:t>
      </w:r>
      <w:r>
        <w:rPr>
          <w:rFonts w:hint="eastAsia" w:ascii="仿宋" w:hAnsi="仿宋" w:eastAsia="仿宋" w:cs="Times New Roman"/>
          <w:sz w:val="28"/>
          <w:szCs w:val="28"/>
          <w:lang w:val="en-US" w:eastAsia="zh-CN"/>
        </w:rPr>
        <w:t>153.1万</w:t>
      </w:r>
      <w:r>
        <w:rPr>
          <w:rFonts w:hint="eastAsia" w:ascii="仿宋" w:hAnsi="仿宋" w:eastAsia="仿宋" w:cs="Times New Roman"/>
          <w:sz w:val="28"/>
          <w:szCs w:val="28"/>
        </w:rPr>
        <w:t>元，“三公经费”预算安排数为</w:t>
      </w:r>
      <w:r>
        <w:rPr>
          <w:rFonts w:hint="eastAsia" w:ascii="仿宋" w:hAnsi="仿宋" w:eastAsia="仿宋" w:cs="Times New Roman"/>
          <w:sz w:val="28"/>
          <w:szCs w:val="28"/>
          <w:lang w:val="en-US" w:eastAsia="zh-CN"/>
        </w:rPr>
        <w:t>355.7万</w:t>
      </w:r>
      <w:r>
        <w:rPr>
          <w:rFonts w:hint="eastAsia" w:ascii="仿宋" w:hAnsi="仿宋" w:eastAsia="仿宋" w:cs="Times New Roman"/>
          <w:sz w:val="28"/>
          <w:szCs w:val="28"/>
        </w:rPr>
        <w:t>元，控制率为</w:t>
      </w:r>
      <w:r>
        <w:rPr>
          <w:rFonts w:hint="eastAsia" w:ascii="仿宋" w:hAnsi="仿宋" w:eastAsia="仿宋" w:cs="Times New Roman"/>
          <w:sz w:val="28"/>
          <w:szCs w:val="28"/>
          <w:lang w:val="en-US" w:eastAsia="zh-CN"/>
        </w:rPr>
        <w:t>43.04</w:t>
      </w:r>
      <w:r>
        <w:rPr>
          <w:rFonts w:hint="eastAsia" w:ascii="仿宋" w:hAnsi="仿宋" w:eastAsia="仿宋" w:cs="Times New Roman"/>
          <w:sz w:val="28"/>
          <w:szCs w:val="28"/>
        </w:rPr>
        <w:t>%。</w:t>
      </w:r>
    </w:p>
    <w:p>
      <w:pPr>
        <w:spacing w:line="52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7、政府采购执行率：按规定应进行政府采购的金额为</w:t>
      </w:r>
      <w:r>
        <w:rPr>
          <w:rFonts w:hint="eastAsia" w:ascii="仿宋" w:hAnsi="仿宋" w:eastAsia="仿宋" w:cs="Times New Roman"/>
          <w:sz w:val="28"/>
          <w:szCs w:val="28"/>
          <w:lang w:val="en-US" w:eastAsia="zh-CN"/>
        </w:rPr>
        <w:t>2480.34万</w:t>
      </w:r>
      <w:r>
        <w:rPr>
          <w:rFonts w:hint="eastAsia" w:ascii="仿宋" w:hAnsi="仿宋" w:eastAsia="仿宋" w:cs="Times New Roman"/>
          <w:sz w:val="28"/>
          <w:szCs w:val="28"/>
        </w:rPr>
        <w:t>元,实际采购金额为</w:t>
      </w:r>
      <w:r>
        <w:rPr>
          <w:rFonts w:hint="eastAsia" w:ascii="仿宋" w:hAnsi="仿宋" w:eastAsia="仿宋" w:cs="Times New Roman"/>
          <w:sz w:val="28"/>
          <w:szCs w:val="28"/>
          <w:lang w:val="en-US" w:eastAsia="zh-CN"/>
        </w:rPr>
        <w:t>2480.34万</w:t>
      </w:r>
      <w:r>
        <w:rPr>
          <w:rFonts w:hint="eastAsia" w:ascii="仿宋" w:hAnsi="仿宋" w:eastAsia="仿宋" w:cs="Times New Roman"/>
          <w:sz w:val="28"/>
          <w:szCs w:val="28"/>
        </w:rPr>
        <w:t>元,政府采购执行率为100%。</w:t>
      </w:r>
    </w:p>
    <w:p>
      <w:pPr>
        <w:spacing w:line="520" w:lineRule="exact"/>
        <w:ind w:firstLine="562" w:firstLineChars="200"/>
        <w:rPr>
          <w:rFonts w:ascii="楷体" w:hAnsi="楷体" w:eastAsia="楷体" w:cs="楷体"/>
          <w:b/>
          <w:bCs/>
          <w:sz w:val="28"/>
          <w:szCs w:val="28"/>
        </w:rPr>
      </w:pPr>
      <w:r>
        <w:rPr>
          <w:rFonts w:hint="eastAsia" w:ascii="楷体" w:hAnsi="楷体" w:eastAsia="楷体" w:cs="楷体"/>
          <w:b/>
          <w:bCs/>
          <w:sz w:val="28"/>
          <w:szCs w:val="28"/>
        </w:rPr>
        <w:t>（三）可持续性评价</w:t>
      </w:r>
    </w:p>
    <w:p>
      <w:pPr>
        <w:spacing w:line="52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为了提升部门整体支出及管理水平，我支队在管理制度上，根据《益阳市财政局关于开展202</w:t>
      </w:r>
      <w:r>
        <w:rPr>
          <w:rFonts w:hint="eastAsia" w:ascii="仿宋" w:hAnsi="仿宋" w:eastAsia="仿宋" w:cs="Times New Roman"/>
          <w:sz w:val="28"/>
          <w:szCs w:val="28"/>
          <w:lang w:val="en-US" w:eastAsia="zh-CN"/>
        </w:rPr>
        <w:t>1</w:t>
      </w:r>
      <w:r>
        <w:rPr>
          <w:rFonts w:hint="eastAsia" w:ascii="仿宋" w:hAnsi="仿宋" w:eastAsia="仿宋" w:cs="Times New Roman"/>
          <w:sz w:val="28"/>
          <w:szCs w:val="28"/>
        </w:rPr>
        <w:t>年度部门绩效自评工作的通知》文件专门成立了预算绩效管理工作领导小组，建立健全了公务接待、财务管理、工程项目审计管理等制度；在资金使用合规性上要求按照国家财经法规和财务管理制度规定以及有关专项资金管理办法的规定收支，资金拨付要有完整的审批程序和手续，保证资金使用的合规性。坚持预决算在门户网上公开。通过以上措施的建立，为部门整体支出管理水平的持续提升提供了制度保障。</w:t>
      </w:r>
    </w:p>
    <w:p>
      <w:pPr>
        <w:numPr>
          <w:ilvl w:val="0"/>
          <w:numId w:val="3"/>
        </w:numPr>
        <w:spacing w:line="520" w:lineRule="exact"/>
        <w:ind w:firstLine="562" w:firstLineChars="200"/>
        <w:rPr>
          <w:rFonts w:hint="eastAsia" w:ascii="仿宋" w:hAnsi="仿宋" w:eastAsia="仿宋" w:cs="Times New Roman"/>
          <w:b/>
          <w:bCs/>
          <w:sz w:val="28"/>
          <w:szCs w:val="28"/>
          <w:lang w:eastAsia="zh-CN"/>
        </w:rPr>
      </w:pPr>
      <w:r>
        <w:rPr>
          <w:rFonts w:hint="eastAsia" w:ascii="仿宋" w:hAnsi="仿宋" w:eastAsia="仿宋" w:cs="Times New Roman"/>
          <w:b/>
          <w:bCs/>
          <w:sz w:val="28"/>
          <w:szCs w:val="28"/>
          <w:lang w:eastAsia="zh-CN"/>
        </w:rPr>
        <w:t>经济性评价</w:t>
      </w:r>
    </w:p>
    <w:p>
      <w:pPr>
        <w:numPr>
          <w:ilvl w:val="0"/>
          <w:numId w:val="0"/>
        </w:numPr>
        <w:spacing w:line="520" w:lineRule="exact"/>
        <w:rPr>
          <w:rFonts w:hint="default" w:ascii="仿宋" w:hAnsi="仿宋" w:eastAsia="仿宋" w:cs="Times New Roman"/>
          <w:sz w:val="28"/>
          <w:szCs w:val="28"/>
          <w:lang w:val="en-US" w:eastAsia="zh-CN"/>
        </w:rPr>
      </w:pPr>
      <w:r>
        <w:rPr>
          <w:rFonts w:hint="eastAsia" w:ascii="仿宋" w:hAnsi="仿宋" w:eastAsia="仿宋" w:cs="Times New Roman"/>
          <w:sz w:val="28"/>
          <w:szCs w:val="28"/>
          <w:lang w:val="en-US" w:eastAsia="zh-CN"/>
        </w:rPr>
        <w:t xml:space="preserve">       2021年我交警支队完成非税收入8764万元，其中</w:t>
      </w:r>
      <w:r>
        <w:rPr>
          <w:rFonts w:hint="eastAsia" w:ascii="仿宋" w:hAnsi="仿宋" w:eastAsia="仿宋" w:cs="仿宋"/>
          <w:sz w:val="28"/>
          <w:szCs w:val="28"/>
          <w:lang w:val="en-US" w:eastAsia="zh-CN"/>
        </w:rPr>
        <w:t>①</w:t>
      </w:r>
      <w:r>
        <w:rPr>
          <w:rFonts w:hint="eastAsia" w:ascii="仿宋" w:hAnsi="仿宋" w:eastAsia="仿宋" w:cs="Times New Roman"/>
          <w:sz w:val="28"/>
          <w:szCs w:val="28"/>
          <w:lang w:val="en-US" w:eastAsia="zh-CN"/>
        </w:rPr>
        <w:t>行政性收费收入2609万元，占非税收入总额的29.77%。具体包含机动车号牌工本费918万元，占行政性收费收入的35.19%；机动车行驶证工本费147万元，占行政性收费收入的5.63%；机动车登记证书工本费101</w:t>
      </w:r>
      <w:r>
        <w:rPr>
          <w:rFonts w:hint="eastAsia" w:ascii="仿宋" w:hAnsi="仿宋" w:eastAsia="仿宋" w:cs="Times New Roman"/>
          <w:sz w:val="28"/>
          <w:szCs w:val="28"/>
          <w:highlight w:val="none"/>
          <w:lang w:val="en-US" w:eastAsia="zh-CN"/>
        </w:rPr>
        <w:t>万元，占行政性收费收入的3.87%；驾驶证工本费192万元，占行政性收费收入的7.36%；驾驶证许可考试费1251万元，占行政性收费收入的47.95%；</w:t>
      </w:r>
      <w:r>
        <w:rPr>
          <w:rFonts w:hint="eastAsia" w:ascii="仿宋" w:hAnsi="仿宋" w:eastAsia="仿宋" w:cs="仿宋"/>
          <w:sz w:val="28"/>
          <w:szCs w:val="28"/>
          <w:highlight w:val="none"/>
          <w:lang w:val="en-US" w:eastAsia="zh-CN"/>
        </w:rPr>
        <w:t>②公安罚没收入6155万元，占非税收入总额的70.23%。</w:t>
      </w:r>
    </w:p>
    <w:p>
      <w:pPr>
        <w:spacing w:line="520" w:lineRule="exact"/>
        <w:ind w:firstLine="562" w:firstLineChars="200"/>
        <w:rPr>
          <w:rFonts w:ascii="仿宋" w:hAnsi="仿宋" w:eastAsia="仿宋" w:cs="Times New Roman"/>
          <w:b/>
          <w:bCs/>
          <w:sz w:val="28"/>
          <w:szCs w:val="28"/>
        </w:rPr>
      </w:pPr>
      <w:r>
        <w:rPr>
          <w:rFonts w:hint="eastAsia" w:ascii="楷体" w:hAnsi="楷体" w:eastAsia="楷体" w:cs="楷体"/>
          <w:b/>
          <w:bCs/>
          <w:sz w:val="28"/>
          <w:szCs w:val="28"/>
        </w:rPr>
        <w:t>(</w:t>
      </w:r>
      <w:r>
        <w:rPr>
          <w:rFonts w:hint="eastAsia" w:ascii="楷体" w:hAnsi="楷体" w:eastAsia="楷体" w:cs="楷体"/>
          <w:b/>
          <w:bCs/>
          <w:sz w:val="28"/>
          <w:szCs w:val="28"/>
          <w:lang w:eastAsia="zh-CN"/>
        </w:rPr>
        <w:t>五</w:t>
      </w:r>
      <w:r>
        <w:rPr>
          <w:rFonts w:hint="eastAsia" w:ascii="楷体" w:hAnsi="楷体" w:eastAsia="楷体" w:cs="楷体"/>
          <w:b/>
          <w:bCs/>
          <w:sz w:val="28"/>
          <w:szCs w:val="28"/>
        </w:rPr>
        <w:t>)服务对象满意度方面</w:t>
      </w:r>
      <w:r>
        <w:rPr>
          <w:rFonts w:hint="eastAsia" w:ascii="仿宋" w:hAnsi="仿宋" w:eastAsia="仿宋" w:cs="Times New Roman"/>
          <w:b/>
          <w:bCs/>
          <w:sz w:val="28"/>
          <w:szCs w:val="28"/>
        </w:rPr>
        <w:t>：</w:t>
      </w:r>
    </w:p>
    <w:p>
      <w:pPr>
        <w:spacing w:line="52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我支队在市委、市政府和省交警总队、市公安局的坚强领导下，始终坚持“以人民为中心”的理念，紧紧围绕防疫情、降事故、保畅通、优服务的目标，全力保障道路交通有序、安全、畅通。202</w:t>
      </w:r>
      <w:r>
        <w:rPr>
          <w:rFonts w:hint="eastAsia" w:ascii="仿宋" w:hAnsi="仿宋" w:eastAsia="仿宋" w:cs="Times New Roman"/>
          <w:sz w:val="28"/>
          <w:szCs w:val="28"/>
          <w:lang w:val="en-US" w:eastAsia="zh-CN"/>
        </w:rPr>
        <w:t>1</w:t>
      </w:r>
      <w:r>
        <w:rPr>
          <w:rFonts w:hint="eastAsia" w:ascii="仿宋" w:hAnsi="仿宋" w:eastAsia="仿宋" w:cs="Times New Roman"/>
          <w:sz w:val="28"/>
          <w:szCs w:val="28"/>
        </w:rPr>
        <w:t>年全市未发生一次死亡</w:t>
      </w:r>
      <w:r>
        <w:rPr>
          <w:rFonts w:hint="eastAsia" w:ascii="仿宋" w:hAnsi="仿宋" w:eastAsia="仿宋" w:cs="Times New Roman"/>
          <w:sz w:val="28"/>
          <w:szCs w:val="28"/>
          <w:lang w:val="en-US" w:eastAsia="zh-CN"/>
        </w:rPr>
        <w:t>5</w:t>
      </w:r>
      <w:r>
        <w:rPr>
          <w:rFonts w:hint="eastAsia" w:ascii="仿宋" w:hAnsi="仿宋" w:eastAsia="仿宋" w:cs="Times New Roman"/>
          <w:sz w:val="28"/>
          <w:szCs w:val="28"/>
        </w:rPr>
        <w:t>人以上的道路交通事故，支队在</w:t>
      </w:r>
      <w:r>
        <w:rPr>
          <w:rFonts w:hint="eastAsia" w:ascii="仿宋" w:hAnsi="仿宋" w:eastAsia="仿宋" w:cs="Times New Roman"/>
          <w:sz w:val="28"/>
          <w:szCs w:val="28"/>
          <w:lang w:eastAsia="zh-CN"/>
        </w:rPr>
        <w:t>省公安厅“事故减量控大”和“顽瘴痼疾整治”两个专项警务考评中获得满分，被评为全省公安交警系统深化优秀警队建设优秀单位、全市文明单位和平安单位，</w:t>
      </w:r>
      <w:r>
        <w:rPr>
          <w:rFonts w:hint="eastAsia" w:ascii="仿宋" w:hAnsi="仿宋" w:eastAsia="仿宋" w:cs="Times New Roman"/>
          <w:sz w:val="28"/>
          <w:szCs w:val="28"/>
        </w:rPr>
        <w:t>赢得了人民群众的广泛好评。组织的调查问卷中满意度调查结果在98%以上。</w:t>
      </w:r>
    </w:p>
    <w:p>
      <w:pPr>
        <w:autoSpaceDE w:val="0"/>
        <w:autoSpaceDN w:val="0"/>
        <w:spacing w:line="520" w:lineRule="exact"/>
        <w:ind w:firstLine="562" w:firstLineChars="200"/>
        <w:rPr>
          <w:rFonts w:ascii="仿宋" w:hAnsi="仿宋" w:eastAsia="仿宋" w:cstheme="minorEastAsia"/>
          <w:b/>
          <w:sz w:val="24"/>
          <w:szCs w:val="24"/>
        </w:rPr>
      </w:pPr>
      <w:r>
        <w:rPr>
          <w:rFonts w:hint="eastAsia" w:ascii="仿宋" w:hAnsi="仿宋" w:eastAsia="仿宋" w:cstheme="minorEastAsia"/>
          <w:b/>
          <w:sz w:val="28"/>
          <w:szCs w:val="28"/>
          <w:lang w:eastAsia="zh-CN"/>
        </w:rPr>
        <w:t>五</w:t>
      </w:r>
      <w:r>
        <w:rPr>
          <w:rFonts w:hint="eastAsia" w:ascii="仿宋" w:hAnsi="仿宋" w:eastAsia="仿宋" w:cstheme="minorEastAsia"/>
          <w:b/>
          <w:sz w:val="28"/>
          <w:szCs w:val="28"/>
        </w:rPr>
        <w:t>、存在的主要问题</w:t>
      </w:r>
    </w:p>
    <w:p>
      <w:pPr>
        <w:spacing w:line="52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由于部分财政预算指标</w:t>
      </w:r>
      <w:r>
        <w:rPr>
          <w:rFonts w:hint="eastAsia" w:ascii="仿宋" w:hAnsi="仿宋" w:eastAsia="仿宋" w:cs="Times New Roman"/>
          <w:sz w:val="28"/>
          <w:szCs w:val="28"/>
          <w:lang w:eastAsia="zh-CN"/>
        </w:rPr>
        <w:t>逐年减少</w:t>
      </w:r>
      <w:r>
        <w:rPr>
          <w:rFonts w:hint="eastAsia" w:ascii="仿宋" w:hAnsi="仿宋" w:eastAsia="仿宋" w:cs="Times New Roman"/>
          <w:sz w:val="28"/>
          <w:szCs w:val="28"/>
        </w:rPr>
        <w:t>，造成资金紧张，有部分项目资金未能支付到位。</w:t>
      </w:r>
    </w:p>
    <w:p>
      <w:pPr>
        <w:spacing w:line="520" w:lineRule="exact"/>
        <w:ind w:firstLine="562" w:firstLineChars="200"/>
        <w:rPr>
          <w:rFonts w:ascii="仿宋" w:hAnsi="仿宋" w:eastAsia="仿宋" w:cstheme="minorEastAsia"/>
          <w:b/>
          <w:sz w:val="28"/>
          <w:szCs w:val="28"/>
        </w:rPr>
      </w:pPr>
      <w:r>
        <w:rPr>
          <w:rFonts w:hint="eastAsia" w:ascii="仿宋" w:hAnsi="仿宋" w:eastAsia="仿宋" w:cstheme="minorEastAsia"/>
          <w:b/>
          <w:sz w:val="28"/>
          <w:szCs w:val="28"/>
          <w:lang w:eastAsia="zh-CN"/>
        </w:rPr>
        <w:t>六</w:t>
      </w:r>
      <w:r>
        <w:rPr>
          <w:rFonts w:hint="eastAsia" w:ascii="仿宋" w:hAnsi="仿宋" w:eastAsia="仿宋" w:cstheme="minorEastAsia"/>
          <w:b/>
          <w:sz w:val="28"/>
          <w:szCs w:val="28"/>
        </w:rPr>
        <w:t>、建议</w:t>
      </w:r>
    </w:p>
    <w:p>
      <w:pPr>
        <w:spacing w:line="52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希望财政充分考虑我支队经费紧张，加大拨付力度，保障支队的日常经费与项目资金能正常支付。</w:t>
      </w:r>
    </w:p>
    <w:p>
      <w:pPr>
        <w:autoSpaceDE w:val="0"/>
        <w:autoSpaceDN w:val="0"/>
        <w:spacing w:line="520" w:lineRule="exact"/>
        <w:ind w:firstLine="562" w:firstLineChars="200"/>
        <w:rPr>
          <w:rFonts w:ascii="仿宋" w:hAnsi="仿宋" w:eastAsia="仿宋" w:cstheme="minorEastAsia"/>
          <w:b/>
          <w:sz w:val="28"/>
          <w:szCs w:val="28"/>
          <w:lang w:val="zh-CN"/>
        </w:rPr>
      </w:pPr>
      <w:r>
        <w:rPr>
          <w:rFonts w:hint="eastAsia" w:ascii="仿宋" w:hAnsi="仿宋" w:eastAsia="仿宋" w:cstheme="minorEastAsia"/>
          <w:b/>
          <w:sz w:val="28"/>
          <w:szCs w:val="28"/>
          <w:lang w:val="zh-CN"/>
        </w:rPr>
        <w:t>七、部门整体支出绩效评价结果</w:t>
      </w:r>
    </w:p>
    <w:p>
      <w:pPr>
        <w:pStyle w:val="25"/>
        <w:widowControl w:val="0"/>
        <w:spacing w:line="520" w:lineRule="exact"/>
        <w:ind w:firstLine="560" w:firstLineChars="200"/>
        <w:rPr>
          <w:rFonts w:ascii="Times New Roman" w:hAnsi="Times New Roman" w:eastAsia="仿宋_GB2312" w:cs="Times New Roman"/>
          <w:sz w:val="32"/>
          <w:szCs w:val="32"/>
        </w:rPr>
      </w:pPr>
      <w:r>
        <w:rPr>
          <w:rFonts w:hint="eastAsia" w:ascii="仿宋" w:hAnsi="仿宋" w:eastAsia="仿宋" w:cs="Times New Roman"/>
          <w:kern w:val="2"/>
          <w:sz w:val="28"/>
          <w:szCs w:val="28"/>
        </w:rPr>
        <w:t>通过本次自评分析，我支队在 2020</w:t>
      </w:r>
      <w:r>
        <w:rPr>
          <w:rFonts w:hint="eastAsia" w:ascii="仿宋" w:hAnsi="仿宋" w:eastAsia="仿宋" w:cs="Times New Roman"/>
          <w:kern w:val="2"/>
          <w:sz w:val="28"/>
          <w:szCs w:val="28"/>
          <w:lang w:val="en-US" w:eastAsia="zh-CN"/>
        </w:rPr>
        <w:t>1</w:t>
      </w:r>
      <w:r>
        <w:rPr>
          <w:rFonts w:hint="eastAsia" w:ascii="仿宋" w:hAnsi="仿宋" w:eastAsia="仿宋" w:cs="Times New Roman"/>
          <w:kern w:val="2"/>
          <w:sz w:val="28"/>
          <w:szCs w:val="28"/>
        </w:rPr>
        <w:t>年度预算执行过程中严谨规范，项目产出效果明显，很好地达到了预期的绩效目标，按部门整体支出绩效评价指标体系统一标准，自评综合得分为9</w:t>
      </w:r>
      <w:r>
        <w:rPr>
          <w:rFonts w:hint="eastAsia" w:ascii="仿宋" w:hAnsi="仿宋" w:eastAsia="仿宋" w:cs="Times New Roman"/>
          <w:kern w:val="2"/>
          <w:sz w:val="28"/>
          <w:szCs w:val="28"/>
          <w:lang w:val="en-US" w:eastAsia="zh-CN"/>
        </w:rPr>
        <w:t>8</w:t>
      </w:r>
      <w:r>
        <w:rPr>
          <w:rFonts w:hint="eastAsia" w:ascii="仿宋" w:hAnsi="仿宋" w:eastAsia="仿宋" w:cs="Times New Roman"/>
          <w:kern w:val="2"/>
          <w:sz w:val="28"/>
          <w:szCs w:val="28"/>
        </w:rPr>
        <w:t>分，自评结论为优秀。本次</w:t>
      </w:r>
      <w:r>
        <w:rPr>
          <w:rFonts w:hint="eastAsia" w:ascii="仿宋" w:hAnsi="仿宋" w:eastAsia="仿宋" w:cs="Times New Roman"/>
          <w:kern w:val="2"/>
          <w:sz w:val="28"/>
          <w:szCs w:val="28"/>
          <w:lang w:val="zh-CN"/>
        </w:rPr>
        <w:t>绩效评价结果已在门户网站上公示。</w:t>
      </w:r>
    </w:p>
    <w:p>
      <w:pPr>
        <w:spacing w:line="560" w:lineRule="exact"/>
        <w:ind w:firstLine="3840" w:firstLineChars="1200"/>
        <w:rPr>
          <w:rFonts w:ascii="Times New Roman" w:hAnsi="Times New Roman" w:eastAsia="仿宋_GB2312" w:cs="Times New Roman"/>
          <w:sz w:val="32"/>
          <w:szCs w:val="32"/>
        </w:rPr>
      </w:pPr>
    </w:p>
    <w:p>
      <w:pPr>
        <w:spacing w:line="560" w:lineRule="exact"/>
        <w:ind w:firstLine="5120" w:firstLineChars="1600"/>
        <w:rPr>
          <w:rFonts w:hint="eastAsia" w:ascii="Times New Roman" w:hAnsi="Times New Roman" w:eastAsia="仿宋_GB2312" w:cs="Times New Roman"/>
          <w:sz w:val="32"/>
          <w:szCs w:val="32"/>
        </w:rPr>
      </w:pPr>
    </w:p>
    <w:p>
      <w:pPr>
        <w:spacing w:line="360" w:lineRule="auto"/>
        <w:rPr>
          <w:rFonts w:hint="eastAsia" w:ascii="仿宋" w:hAnsi="仿宋" w:eastAsia="仿宋"/>
          <w:b/>
          <w:color w:val="000000"/>
          <w:sz w:val="24"/>
        </w:rPr>
      </w:pPr>
    </w:p>
    <w:p>
      <w:pPr>
        <w:spacing w:line="360" w:lineRule="auto"/>
        <w:ind w:firstLine="482" w:firstLineChars="200"/>
        <w:rPr>
          <w:rFonts w:hint="eastAsia" w:ascii="仿宋" w:hAnsi="仿宋" w:eastAsia="仿宋" w:cs="Times New Roman"/>
          <w:kern w:val="2"/>
          <w:sz w:val="28"/>
          <w:szCs w:val="28"/>
          <w:lang w:val="en-US" w:eastAsia="zh-CN" w:bidi="ar-SA"/>
        </w:rPr>
      </w:pPr>
      <w:r>
        <w:rPr>
          <w:rFonts w:hint="eastAsia" w:ascii="仿宋" w:hAnsi="仿宋" w:eastAsia="仿宋"/>
          <w:b/>
          <w:color w:val="000000"/>
          <w:sz w:val="24"/>
        </w:rPr>
        <w:t xml:space="preserve">                                          </w:t>
      </w:r>
      <w:r>
        <w:rPr>
          <w:rFonts w:hint="eastAsia" w:ascii="仿宋" w:hAnsi="仿宋" w:eastAsia="仿宋" w:cs="Times New Roman"/>
          <w:kern w:val="2"/>
          <w:sz w:val="28"/>
          <w:szCs w:val="28"/>
          <w:lang w:val="en-US" w:eastAsia="zh-CN" w:bidi="ar-SA"/>
        </w:rPr>
        <w:t xml:space="preserve"> </w:t>
      </w:r>
    </w:p>
    <w:p>
      <w:pPr>
        <w:spacing w:line="360" w:lineRule="auto"/>
        <w:ind w:firstLine="6160" w:firstLineChars="2200"/>
        <w:rPr>
          <w:rFonts w:hint="eastAsia" w:ascii="仿宋" w:hAnsi="仿宋" w:eastAsia="仿宋" w:cs="Times New Roman"/>
          <w:kern w:val="2"/>
          <w:sz w:val="28"/>
          <w:szCs w:val="28"/>
          <w:lang w:val="en-US" w:eastAsia="zh-CN" w:bidi="ar-SA"/>
        </w:rPr>
      </w:pPr>
    </w:p>
    <w:p>
      <w:pPr>
        <w:spacing w:line="360" w:lineRule="auto"/>
        <w:ind w:firstLine="6160" w:firstLineChars="2200"/>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2022年4月20日</w:t>
      </w:r>
    </w:p>
    <w:p>
      <w:pPr>
        <w:widowControl/>
        <w:spacing w:line="500" w:lineRule="exact"/>
        <w:jc w:val="left"/>
        <w:rPr>
          <w:rFonts w:hint="eastAsia" w:ascii="仿宋" w:hAnsi="仿宋" w:eastAsia="仿宋" w:cs="宋体"/>
          <w:kern w:val="0"/>
          <w:szCs w:val="21"/>
        </w:rPr>
      </w:pPr>
    </w:p>
    <w:p>
      <w:pPr>
        <w:widowControl/>
        <w:spacing w:line="500" w:lineRule="exact"/>
        <w:jc w:val="left"/>
        <w:rPr>
          <w:rFonts w:hint="eastAsia" w:ascii="仿宋" w:hAnsi="仿宋" w:eastAsia="仿宋" w:cs="宋体"/>
          <w:kern w:val="0"/>
          <w:szCs w:val="21"/>
        </w:rPr>
      </w:pPr>
    </w:p>
    <w:p>
      <w:pPr>
        <w:widowControl/>
        <w:spacing w:line="500" w:lineRule="exact"/>
        <w:jc w:val="left"/>
        <w:rPr>
          <w:rFonts w:hint="eastAsia" w:ascii="仿宋" w:hAnsi="仿宋" w:eastAsia="仿宋" w:cs="宋体"/>
          <w:kern w:val="0"/>
          <w:szCs w:val="21"/>
        </w:rPr>
      </w:pPr>
    </w:p>
    <w:p>
      <w:pPr>
        <w:widowControl/>
        <w:spacing w:line="500" w:lineRule="exact"/>
        <w:jc w:val="left"/>
        <w:rPr>
          <w:rFonts w:hint="eastAsia" w:ascii="仿宋" w:hAnsi="仿宋" w:eastAsia="仿宋" w:cs="宋体"/>
          <w:kern w:val="0"/>
          <w:szCs w:val="21"/>
        </w:rPr>
      </w:pPr>
    </w:p>
    <w:p>
      <w:pPr>
        <w:widowControl/>
        <w:spacing w:line="500" w:lineRule="exact"/>
        <w:jc w:val="left"/>
        <w:rPr>
          <w:rFonts w:hint="eastAsia" w:ascii="仿宋" w:hAnsi="仿宋" w:eastAsia="仿宋" w:cs="宋体"/>
          <w:kern w:val="0"/>
          <w:szCs w:val="21"/>
        </w:rPr>
      </w:pPr>
    </w:p>
    <w:p>
      <w:pPr>
        <w:widowControl/>
        <w:spacing w:line="500" w:lineRule="exact"/>
        <w:jc w:val="left"/>
        <w:rPr>
          <w:rFonts w:hint="eastAsia" w:ascii="仿宋" w:hAnsi="仿宋" w:eastAsia="仿宋" w:cs="宋体"/>
          <w:kern w:val="0"/>
          <w:szCs w:val="21"/>
        </w:rPr>
      </w:pPr>
    </w:p>
    <w:p>
      <w:pPr>
        <w:widowControl/>
        <w:spacing w:line="500" w:lineRule="exact"/>
        <w:jc w:val="left"/>
        <w:rPr>
          <w:rFonts w:hint="eastAsia" w:ascii="仿宋" w:hAnsi="仿宋" w:eastAsia="仿宋" w:cs="宋体"/>
          <w:kern w:val="0"/>
          <w:szCs w:val="21"/>
        </w:rPr>
      </w:pPr>
    </w:p>
    <w:p>
      <w:pPr>
        <w:widowControl/>
        <w:spacing w:line="500" w:lineRule="exact"/>
        <w:jc w:val="left"/>
        <w:rPr>
          <w:rFonts w:hint="eastAsia" w:ascii="仿宋" w:hAnsi="仿宋" w:eastAsia="仿宋" w:cs="宋体"/>
          <w:kern w:val="0"/>
          <w:szCs w:val="21"/>
        </w:rPr>
      </w:pPr>
    </w:p>
    <w:p>
      <w:pPr>
        <w:widowControl/>
        <w:spacing w:line="500" w:lineRule="exact"/>
        <w:jc w:val="left"/>
        <w:rPr>
          <w:rFonts w:ascii="仿宋" w:hAnsi="仿宋" w:eastAsia="仿宋"/>
          <w:szCs w:val="21"/>
        </w:rPr>
      </w:pPr>
      <w:r>
        <w:rPr>
          <w:rFonts w:hint="eastAsia" w:ascii="仿宋" w:hAnsi="仿宋" w:eastAsia="仿宋" w:cs="宋体"/>
          <w:kern w:val="0"/>
          <w:szCs w:val="21"/>
        </w:rPr>
        <w:t>附件：</w:t>
      </w:r>
    </w:p>
    <w:p>
      <w:pPr>
        <w:spacing w:line="60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202</w:t>
      </w:r>
      <w:r>
        <w:rPr>
          <w:rFonts w:hint="eastAsia" w:ascii="仿宋" w:hAnsi="仿宋" w:eastAsia="仿宋" w:cs="仿宋"/>
          <w:kern w:val="0"/>
          <w:sz w:val="28"/>
          <w:szCs w:val="28"/>
          <w:lang w:val="en-US" w:eastAsia="zh-CN"/>
        </w:rPr>
        <w:t>1</w:t>
      </w:r>
      <w:r>
        <w:rPr>
          <w:rFonts w:hint="eastAsia" w:ascii="仿宋" w:hAnsi="仿宋" w:eastAsia="仿宋" w:cs="仿宋"/>
          <w:kern w:val="0"/>
          <w:sz w:val="28"/>
          <w:szCs w:val="28"/>
        </w:rPr>
        <w:t>年度部门整体支出绩效自评表</w:t>
      </w:r>
    </w:p>
    <w:tbl>
      <w:tblPr>
        <w:tblStyle w:val="9"/>
        <w:tblW w:w="9993" w:type="dxa"/>
        <w:jc w:val="center"/>
        <w:tblLayout w:type="fixed"/>
        <w:tblCellMar>
          <w:top w:w="0" w:type="dxa"/>
          <w:left w:w="108" w:type="dxa"/>
          <w:bottom w:w="0" w:type="dxa"/>
          <w:right w:w="108" w:type="dxa"/>
        </w:tblCellMar>
      </w:tblPr>
      <w:tblGrid>
        <w:gridCol w:w="945"/>
        <w:gridCol w:w="945"/>
        <w:gridCol w:w="655"/>
        <w:gridCol w:w="1667"/>
        <w:gridCol w:w="89"/>
        <w:gridCol w:w="1453"/>
        <w:gridCol w:w="1529"/>
        <w:gridCol w:w="655"/>
        <w:gridCol w:w="986"/>
        <w:gridCol w:w="1069"/>
      </w:tblGrid>
      <w:tr>
        <w:tblPrEx>
          <w:tblCellMar>
            <w:top w:w="0" w:type="dxa"/>
            <w:left w:w="108" w:type="dxa"/>
            <w:bottom w:w="0" w:type="dxa"/>
            <w:right w:w="108" w:type="dxa"/>
          </w:tblCellMar>
        </w:tblPrEx>
        <w:trPr>
          <w:trHeight w:val="325" w:hRule="atLeast"/>
          <w:jc w:val="center"/>
        </w:trPr>
        <w:tc>
          <w:tcPr>
            <w:tcW w:w="94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预算部门</w:t>
            </w:r>
          </w:p>
        </w:tc>
        <w:tc>
          <w:tcPr>
            <w:tcW w:w="9048" w:type="dxa"/>
            <w:gridSpan w:val="9"/>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益阳市公安局交警支队　</w:t>
            </w:r>
          </w:p>
        </w:tc>
      </w:tr>
      <w:tr>
        <w:tblPrEx>
          <w:tblCellMar>
            <w:top w:w="0" w:type="dxa"/>
            <w:left w:w="108" w:type="dxa"/>
            <w:bottom w:w="0" w:type="dxa"/>
            <w:right w:w="108" w:type="dxa"/>
          </w:tblCellMar>
        </w:tblPrEx>
        <w:trPr>
          <w:jc w:val="center"/>
        </w:trPr>
        <w:tc>
          <w:tcPr>
            <w:tcW w:w="945" w:type="dxa"/>
            <w:vMerge w:val="restart"/>
            <w:tcBorders>
              <w:top w:val="nil"/>
              <w:left w:val="single" w:color="auto" w:sz="4" w:space="0"/>
              <w:right w:val="single" w:color="auto" w:sz="4" w:space="0"/>
            </w:tcBorders>
            <w:vAlign w:val="center"/>
          </w:tcPr>
          <w:p>
            <w:pPr>
              <w:widowControl/>
              <w:spacing w:line="240" w:lineRule="exact"/>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年度预</w:t>
            </w:r>
          </w:p>
          <w:p>
            <w:pPr>
              <w:widowControl/>
              <w:spacing w:line="240" w:lineRule="exact"/>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算申请</w:t>
            </w:r>
            <w:r>
              <w:rPr>
                <w:rFonts w:hint="eastAsia" w:ascii="仿宋" w:hAnsi="仿宋" w:eastAsia="仿宋" w:cs="仿宋"/>
                <w:color w:val="000000"/>
                <w:kern w:val="0"/>
                <w:sz w:val="18"/>
                <w:szCs w:val="18"/>
              </w:rPr>
              <w:br w:type="textWrapping"/>
            </w:r>
            <w:r>
              <w:rPr>
                <w:rFonts w:hint="eastAsia" w:ascii="仿宋" w:hAnsi="仿宋" w:eastAsia="仿宋" w:cs="仿宋"/>
                <w:color w:val="000000"/>
                <w:kern w:val="0"/>
                <w:sz w:val="18"/>
                <w:szCs w:val="18"/>
              </w:rPr>
              <w:t>（万元）</w:t>
            </w:r>
          </w:p>
        </w:tc>
        <w:tc>
          <w:tcPr>
            <w:tcW w:w="1600" w:type="dxa"/>
            <w:gridSpan w:val="2"/>
            <w:tcBorders>
              <w:top w:val="nil"/>
              <w:left w:val="nil"/>
              <w:bottom w:val="single" w:color="auto" w:sz="4" w:space="0"/>
              <w:right w:val="single" w:color="auto" w:sz="4" w:space="0"/>
            </w:tcBorders>
            <w:vAlign w:val="center"/>
          </w:tcPr>
          <w:p>
            <w:pPr>
              <w:spacing w:line="240" w:lineRule="exact"/>
              <w:jc w:val="center"/>
              <w:rPr>
                <w:rFonts w:hint="eastAsia" w:ascii="仿宋" w:hAnsi="仿宋" w:eastAsia="仿宋" w:cs="仿宋"/>
                <w:sz w:val="18"/>
                <w:szCs w:val="18"/>
              </w:rPr>
            </w:pPr>
          </w:p>
        </w:tc>
        <w:tc>
          <w:tcPr>
            <w:tcW w:w="1667" w:type="dxa"/>
            <w:tcBorders>
              <w:top w:val="nil"/>
              <w:left w:val="nil"/>
              <w:bottom w:val="single" w:color="auto" w:sz="4" w:space="0"/>
              <w:right w:val="single" w:color="auto" w:sz="4" w:space="0"/>
            </w:tcBorders>
            <w:vAlign w:val="center"/>
          </w:tcPr>
          <w:p>
            <w:pPr>
              <w:spacing w:line="240" w:lineRule="exact"/>
              <w:jc w:val="center"/>
              <w:rPr>
                <w:rFonts w:hint="eastAsia" w:ascii="仿宋" w:hAnsi="仿宋" w:eastAsia="仿宋" w:cs="仿宋"/>
                <w:sz w:val="18"/>
                <w:szCs w:val="18"/>
              </w:rPr>
            </w:pPr>
            <w:r>
              <w:rPr>
                <w:rFonts w:hint="eastAsia" w:ascii="仿宋" w:hAnsi="仿宋" w:eastAsia="仿宋" w:cs="仿宋"/>
                <w:sz w:val="18"/>
                <w:szCs w:val="18"/>
              </w:rPr>
              <w:t>年初</w:t>
            </w:r>
          </w:p>
          <w:p>
            <w:pPr>
              <w:spacing w:line="240" w:lineRule="exact"/>
              <w:jc w:val="center"/>
              <w:rPr>
                <w:rFonts w:hint="eastAsia" w:ascii="仿宋" w:hAnsi="仿宋" w:eastAsia="仿宋" w:cs="仿宋"/>
                <w:sz w:val="18"/>
                <w:szCs w:val="18"/>
              </w:rPr>
            </w:pPr>
            <w:r>
              <w:rPr>
                <w:rFonts w:hint="eastAsia" w:ascii="仿宋" w:hAnsi="仿宋" w:eastAsia="仿宋" w:cs="仿宋"/>
                <w:sz w:val="18"/>
                <w:szCs w:val="18"/>
              </w:rPr>
              <w:t>预算数</w:t>
            </w:r>
          </w:p>
        </w:tc>
        <w:tc>
          <w:tcPr>
            <w:tcW w:w="1542" w:type="dxa"/>
            <w:gridSpan w:val="2"/>
            <w:tcBorders>
              <w:top w:val="nil"/>
              <w:left w:val="nil"/>
              <w:bottom w:val="single" w:color="auto" w:sz="4" w:space="0"/>
              <w:right w:val="single" w:color="auto" w:sz="4" w:space="0"/>
            </w:tcBorders>
            <w:vAlign w:val="center"/>
          </w:tcPr>
          <w:p>
            <w:pPr>
              <w:spacing w:line="240" w:lineRule="exact"/>
              <w:jc w:val="center"/>
              <w:rPr>
                <w:rFonts w:hint="eastAsia" w:ascii="仿宋" w:hAnsi="仿宋" w:eastAsia="仿宋" w:cs="仿宋"/>
                <w:sz w:val="18"/>
                <w:szCs w:val="18"/>
              </w:rPr>
            </w:pPr>
            <w:r>
              <w:rPr>
                <w:rFonts w:hint="eastAsia" w:ascii="仿宋" w:hAnsi="仿宋" w:eastAsia="仿宋" w:cs="仿宋"/>
                <w:sz w:val="18"/>
                <w:szCs w:val="18"/>
              </w:rPr>
              <w:t>全年预算数</w:t>
            </w:r>
          </w:p>
        </w:tc>
        <w:tc>
          <w:tcPr>
            <w:tcW w:w="1529" w:type="dxa"/>
            <w:tcBorders>
              <w:top w:val="nil"/>
              <w:left w:val="nil"/>
              <w:bottom w:val="single" w:color="auto" w:sz="4" w:space="0"/>
              <w:right w:val="single" w:color="auto" w:sz="4" w:space="0"/>
            </w:tcBorders>
            <w:vAlign w:val="center"/>
          </w:tcPr>
          <w:p>
            <w:pPr>
              <w:spacing w:line="240" w:lineRule="exact"/>
              <w:jc w:val="center"/>
              <w:rPr>
                <w:rFonts w:hint="eastAsia" w:ascii="仿宋" w:hAnsi="仿宋" w:eastAsia="仿宋" w:cs="仿宋"/>
                <w:sz w:val="18"/>
                <w:szCs w:val="18"/>
              </w:rPr>
            </w:pPr>
            <w:r>
              <w:rPr>
                <w:rFonts w:hint="eastAsia" w:ascii="仿宋" w:hAnsi="仿宋" w:eastAsia="仿宋" w:cs="仿宋"/>
                <w:sz w:val="18"/>
                <w:szCs w:val="18"/>
              </w:rPr>
              <w:t>全年执行数</w:t>
            </w:r>
          </w:p>
        </w:tc>
        <w:tc>
          <w:tcPr>
            <w:tcW w:w="655" w:type="dxa"/>
            <w:tcBorders>
              <w:top w:val="nil"/>
              <w:left w:val="nil"/>
              <w:bottom w:val="single" w:color="auto" w:sz="4" w:space="0"/>
              <w:right w:val="single" w:color="auto" w:sz="4" w:space="0"/>
            </w:tcBorders>
            <w:vAlign w:val="center"/>
          </w:tcPr>
          <w:p>
            <w:pPr>
              <w:spacing w:line="240" w:lineRule="exact"/>
              <w:jc w:val="center"/>
              <w:rPr>
                <w:rFonts w:hint="eastAsia" w:ascii="仿宋" w:hAnsi="仿宋" w:eastAsia="仿宋" w:cs="仿宋"/>
                <w:sz w:val="18"/>
                <w:szCs w:val="18"/>
              </w:rPr>
            </w:pPr>
            <w:r>
              <w:rPr>
                <w:rFonts w:hint="eastAsia" w:ascii="仿宋" w:hAnsi="仿宋" w:eastAsia="仿宋" w:cs="仿宋"/>
                <w:sz w:val="18"/>
                <w:szCs w:val="18"/>
              </w:rPr>
              <w:t>分值</w:t>
            </w:r>
          </w:p>
        </w:tc>
        <w:tc>
          <w:tcPr>
            <w:tcW w:w="986" w:type="dxa"/>
            <w:tcBorders>
              <w:top w:val="nil"/>
              <w:left w:val="nil"/>
              <w:bottom w:val="single" w:color="auto" w:sz="4" w:space="0"/>
              <w:right w:val="single" w:color="auto" w:sz="4" w:space="0"/>
            </w:tcBorders>
            <w:vAlign w:val="center"/>
          </w:tcPr>
          <w:p>
            <w:pPr>
              <w:spacing w:line="240" w:lineRule="exact"/>
              <w:jc w:val="center"/>
              <w:rPr>
                <w:rFonts w:hint="eastAsia" w:ascii="仿宋" w:hAnsi="仿宋" w:eastAsia="仿宋" w:cs="仿宋"/>
                <w:sz w:val="18"/>
                <w:szCs w:val="18"/>
              </w:rPr>
            </w:pPr>
            <w:r>
              <w:rPr>
                <w:rFonts w:hint="eastAsia" w:ascii="仿宋" w:hAnsi="仿宋" w:eastAsia="仿宋" w:cs="仿宋"/>
                <w:sz w:val="18"/>
                <w:szCs w:val="18"/>
              </w:rPr>
              <w:t>执行率</w:t>
            </w:r>
          </w:p>
        </w:tc>
        <w:tc>
          <w:tcPr>
            <w:tcW w:w="1069" w:type="dxa"/>
            <w:tcBorders>
              <w:top w:val="nil"/>
              <w:left w:val="nil"/>
              <w:bottom w:val="single" w:color="auto" w:sz="4" w:space="0"/>
              <w:right w:val="single" w:color="auto" w:sz="4" w:space="0"/>
            </w:tcBorders>
            <w:vAlign w:val="center"/>
          </w:tcPr>
          <w:p>
            <w:pPr>
              <w:spacing w:line="240" w:lineRule="exact"/>
              <w:jc w:val="center"/>
              <w:rPr>
                <w:rFonts w:hint="eastAsia" w:ascii="仿宋" w:hAnsi="仿宋" w:eastAsia="仿宋" w:cs="仿宋"/>
                <w:sz w:val="18"/>
                <w:szCs w:val="18"/>
              </w:rPr>
            </w:pPr>
            <w:r>
              <w:rPr>
                <w:rFonts w:hint="eastAsia" w:ascii="仿宋" w:hAnsi="仿宋" w:eastAsia="仿宋" w:cs="仿宋"/>
                <w:sz w:val="18"/>
                <w:szCs w:val="18"/>
              </w:rPr>
              <w:t>得分</w:t>
            </w:r>
          </w:p>
        </w:tc>
      </w:tr>
      <w:tr>
        <w:tblPrEx>
          <w:tblCellMar>
            <w:top w:w="0" w:type="dxa"/>
            <w:left w:w="108" w:type="dxa"/>
            <w:bottom w:w="0" w:type="dxa"/>
            <w:right w:w="108" w:type="dxa"/>
          </w:tblCellMar>
        </w:tblPrEx>
        <w:trPr>
          <w:jc w:val="center"/>
        </w:trPr>
        <w:tc>
          <w:tcPr>
            <w:tcW w:w="945" w:type="dxa"/>
            <w:vMerge w:val="continue"/>
            <w:tcBorders>
              <w:top w:val="nil"/>
              <w:left w:val="single" w:color="auto" w:sz="4" w:space="0"/>
              <w:right w:val="single" w:color="auto" w:sz="4" w:space="0"/>
            </w:tcBorders>
            <w:vAlign w:val="center"/>
          </w:tcPr>
          <w:p>
            <w:pPr>
              <w:widowControl/>
              <w:spacing w:line="240" w:lineRule="exact"/>
              <w:jc w:val="center"/>
              <w:rPr>
                <w:rFonts w:hint="eastAsia" w:ascii="仿宋" w:hAnsi="仿宋" w:eastAsia="仿宋" w:cs="仿宋"/>
                <w:color w:val="000000"/>
                <w:kern w:val="0"/>
                <w:sz w:val="18"/>
                <w:szCs w:val="18"/>
              </w:rPr>
            </w:pPr>
          </w:p>
        </w:tc>
        <w:tc>
          <w:tcPr>
            <w:tcW w:w="1600" w:type="dxa"/>
            <w:gridSpan w:val="2"/>
            <w:tcBorders>
              <w:top w:val="nil"/>
              <w:left w:val="nil"/>
              <w:bottom w:val="single" w:color="auto" w:sz="4" w:space="0"/>
              <w:right w:val="single" w:color="auto" w:sz="4" w:space="0"/>
            </w:tcBorders>
            <w:vAlign w:val="center"/>
          </w:tcPr>
          <w:p>
            <w:pPr>
              <w:spacing w:line="240" w:lineRule="exact"/>
              <w:jc w:val="center"/>
              <w:rPr>
                <w:rFonts w:hint="eastAsia" w:ascii="仿宋" w:hAnsi="仿宋" w:eastAsia="仿宋" w:cs="仿宋"/>
                <w:sz w:val="18"/>
                <w:szCs w:val="18"/>
              </w:rPr>
            </w:pPr>
            <w:r>
              <w:rPr>
                <w:rFonts w:hint="eastAsia" w:ascii="仿宋" w:hAnsi="仿宋" w:eastAsia="仿宋" w:cs="仿宋"/>
                <w:color w:val="000000"/>
                <w:kern w:val="0"/>
                <w:sz w:val="18"/>
                <w:szCs w:val="18"/>
              </w:rPr>
              <w:t>年度资金总额</w:t>
            </w:r>
          </w:p>
        </w:tc>
        <w:tc>
          <w:tcPr>
            <w:tcW w:w="1667" w:type="dxa"/>
            <w:tcBorders>
              <w:top w:val="nil"/>
              <w:left w:val="nil"/>
              <w:bottom w:val="single" w:color="auto" w:sz="4" w:space="0"/>
              <w:right w:val="single" w:color="auto" w:sz="4" w:space="0"/>
            </w:tcBorders>
            <w:vAlign w:val="center"/>
          </w:tcPr>
          <w:p>
            <w:pPr>
              <w:spacing w:line="240" w:lineRule="exact"/>
              <w:jc w:val="center"/>
              <w:rPr>
                <w:rFonts w:hint="eastAsia" w:ascii="仿宋" w:hAnsi="仿宋" w:eastAsia="仿宋" w:cs="仿宋"/>
                <w:sz w:val="18"/>
                <w:szCs w:val="18"/>
                <w:lang w:val="en-US" w:eastAsia="zh-CN"/>
              </w:rPr>
            </w:pPr>
            <w:r>
              <w:rPr>
                <w:rFonts w:hint="eastAsia" w:ascii="仿宋" w:hAnsi="仿宋" w:eastAsia="仿宋" w:cs="仿宋"/>
                <w:color w:val="000000"/>
                <w:kern w:val="0"/>
                <w:sz w:val="18"/>
                <w:szCs w:val="18"/>
                <w:lang w:val="en-US" w:eastAsia="zh-CN"/>
              </w:rPr>
              <w:t>19595.42</w:t>
            </w:r>
          </w:p>
        </w:tc>
        <w:tc>
          <w:tcPr>
            <w:tcW w:w="1542" w:type="dxa"/>
            <w:gridSpan w:val="2"/>
            <w:tcBorders>
              <w:top w:val="nil"/>
              <w:left w:val="nil"/>
              <w:bottom w:val="single" w:color="auto" w:sz="4" w:space="0"/>
              <w:right w:val="single" w:color="auto" w:sz="4" w:space="0"/>
            </w:tcBorders>
            <w:vAlign w:val="center"/>
          </w:tcPr>
          <w:p>
            <w:pPr>
              <w:spacing w:line="240" w:lineRule="exact"/>
              <w:jc w:val="center"/>
              <w:rPr>
                <w:rFonts w:hint="eastAsia" w:ascii="仿宋" w:hAnsi="仿宋" w:eastAsia="仿宋" w:cs="仿宋"/>
                <w:color w:val="000000"/>
                <w:kern w:val="0"/>
                <w:sz w:val="18"/>
                <w:szCs w:val="18"/>
              </w:rPr>
            </w:pPr>
          </w:p>
        </w:tc>
        <w:tc>
          <w:tcPr>
            <w:tcW w:w="1529" w:type="dxa"/>
            <w:tcBorders>
              <w:top w:val="nil"/>
              <w:left w:val="nil"/>
              <w:bottom w:val="single" w:color="auto" w:sz="4" w:space="0"/>
              <w:right w:val="single" w:color="auto" w:sz="4" w:space="0"/>
            </w:tcBorders>
            <w:vAlign w:val="center"/>
          </w:tcPr>
          <w:p>
            <w:pPr>
              <w:spacing w:line="240" w:lineRule="exact"/>
              <w:jc w:val="center"/>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13074.22</w:t>
            </w:r>
          </w:p>
        </w:tc>
        <w:tc>
          <w:tcPr>
            <w:tcW w:w="655" w:type="dxa"/>
            <w:tcBorders>
              <w:top w:val="nil"/>
              <w:left w:val="nil"/>
              <w:bottom w:val="single" w:color="auto" w:sz="4" w:space="0"/>
              <w:right w:val="single" w:color="auto" w:sz="4" w:space="0"/>
            </w:tcBorders>
            <w:vAlign w:val="center"/>
          </w:tcPr>
          <w:p>
            <w:pPr>
              <w:spacing w:line="240" w:lineRule="exact"/>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10</w:t>
            </w:r>
          </w:p>
        </w:tc>
        <w:tc>
          <w:tcPr>
            <w:tcW w:w="986" w:type="dxa"/>
            <w:tcBorders>
              <w:top w:val="nil"/>
              <w:left w:val="nil"/>
              <w:bottom w:val="single" w:color="auto" w:sz="4" w:space="0"/>
              <w:right w:val="single" w:color="auto" w:sz="4" w:space="0"/>
            </w:tcBorders>
            <w:vAlign w:val="center"/>
          </w:tcPr>
          <w:p>
            <w:pPr>
              <w:spacing w:line="240" w:lineRule="exact"/>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val="en-US" w:eastAsia="zh-CN"/>
              </w:rPr>
              <w:t>66.72</w:t>
            </w:r>
            <w:r>
              <w:rPr>
                <w:rFonts w:hint="eastAsia" w:ascii="仿宋" w:hAnsi="仿宋" w:eastAsia="仿宋" w:cs="仿宋"/>
                <w:color w:val="000000"/>
                <w:kern w:val="0"/>
                <w:sz w:val="18"/>
                <w:szCs w:val="18"/>
              </w:rPr>
              <w:t>%</w:t>
            </w:r>
          </w:p>
        </w:tc>
        <w:tc>
          <w:tcPr>
            <w:tcW w:w="1069" w:type="dxa"/>
            <w:tcBorders>
              <w:top w:val="nil"/>
              <w:left w:val="nil"/>
              <w:bottom w:val="single" w:color="auto" w:sz="4" w:space="0"/>
              <w:right w:val="single" w:color="auto" w:sz="4" w:space="0"/>
            </w:tcBorders>
            <w:vAlign w:val="center"/>
          </w:tcPr>
          <w:p>
            <w:pPr>
              <w:spacing w:line="240" w:lineRule="exact"/>
              <w:jc w:val="center"/>
              <w:rPr>
                <w:rFonts w:hint="eastAsia" w:ascii="仿宋" w:hAnsi="仿宋" w:eastAsia="仿宋" w:cs="仿宋"/>
                <w:color w:val="000000"/>
                <w:kern w:val="0"/>
                <w:sz w:val="18"/>
                <w:szCs w:val="18"/>
                <w:lang w:eastAsia="zh-CN"/>
              </w:rPr>
            </w:pPr>
            <w:r>
              <w:rPr>
                <w:rFonts w:hint="eastAsia" w:ascii="仿宋" w:hAnsi="仿宋" w:eastAsia="仿宋" w:cs="仿宋"/>
                <w:color w:val="000000"/>
                <w:kern w:val="0"/>
                <w:sz w:val="18"/>
                <w:szCs w:val="18"/>
                <w:lang w:val="en-US" w:eastAsia="zh-CN"/>
              </w:rPr>
              <w:t>8</w:t>
            </w:r>
          </w:p>
        </w:tc>
      </w:tr>
      <w:tr>
        <w:tblPrEx>
          <w:tblCellMar>
            <w:top w:w="0" w:type="dxa"/>
            <w:left w:w="108" w:type="dxa"/>
            <w:bottom w:w="0" w:type="dxa"/>
            <w:right w:w="108" w:type="dxa"/>
          </w:tblCellMar>
        </w:tblPrEx>
        <w:trPr>
          <w:jc w:val="center"/>
        </w:trPr>
        <w:tc>
          <w:tcPr>
            <w:tcW w:w="945" w:type="dxa"/>
            <w:vMerge w:val="continue"/>
            <w:tcBorders>
              <w:left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18"/>
                <w:szCs w:val="18"/>
              </w:rPr>
            </w:pPr>
          </w:p>
        </w:tc>
        <w:tc>
          <w:tcPr>
            <w:tcW w:w="4809" w:type="dxa"/>
            <w:gridSpan w:val="5"/>
            <w:tcBorders>
              <w:top w:val="nil"/>
              <w:left w:val="nil"/>
              <w:bottom w:val="single" w:color="auto" w:sz="4" w:space="0"/>
              <w:right w:val="single" w:color="auto" w:sz="4" w:space="0"/>
            </w:tcBorders>
            <w:vAlign w:val="center"/>
          </w:tcPr>
          <w:p>
            <w:pPr>
              <w:spacing w:line="240" w:lineRule="exact"/>
              <w:jc w:val="center"/>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按收入性质分：</w:t>
            </w:r>
            <w:r>
              <w:rPr>
                <w:rFonts w:hint="eastAsia" w:ascii="仿宋" w:hAnsi="仿宋" w:eastAsia="仿宋" w:cs="仿宋"/>
                <w:color w:val="000000"/>
                <w:kern w:val="0"/>
                <w:sz w:val="18"/>
                <w:szCs w:val="18"/>
                <w:lang w:val="en-US" w:eastAsia="zh-CN"/>
              </w:rPr>
              <w:t>19595.42</w:t>
            </w:r>
          </w:p>
        </w:tc>
        <w:tc>
          <w:tcPr>
            <w:tcW w:w="4239" w:type="dxa"/>
            <w:gridSpan w:val="4"/>
            <w:tcBorders>
              <w:top w:val="nil"/>
              <w:left w:val="nil"/>
              <w:bottom w:val="single" w:color="auto" w:sz="4" w:space="0"/>
              <w:right w:val="single" w:color="auto" w:sz="4" w:space="0"/>
            </w:tcBorders>
            <w:vAlign w:val="center"/>
          </w:tcPr>
          <w:p>
            <w:pPr>
              <w:spacing w:line="240" w:lineRule="exact"/>
              <w:jc w:val="center"/>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按支出性质分：</w:t>
            </w:r>
            <w:r>
              <w:rPr>
                <w:rFonts w:hint="eastAsia" w:ascii="仿宋" w:hAnsi="仿宋" w:eastAsia="仿宋" w:cs="仿宋"/>
                <w:color w:val="000000"/>
                <w:kern w:val="0"/>
                <w:sz w:val="18"/>
                <w:szCs w:val="18"/>
                <w:lang w:val="en-US" w:eastAsia="zh-CN"/>
              </w:rPr>
              <w:t>13074.22</w:t>
            </w:r>
          </w:p>
        </w:tc>
      </w:tr>
      <w:tr>
        <w:tblPrEx>
          <w:tblCellMar>
            <w:top w:w="0" w:type="dxa"/>
            <w:left w:w="108" w:type="dxa"/>
            <w:bottom w:w="0" w:type="dxa"/>
            <w:right w:w="108" w:type="dxa"/>
          </w:tblCellMar>
        </w:tblPrEx>
        <w:trPr>
          <w:jc w:val="center"/>
        </w:trPr>
        <w:tc>
          <w:tcPr>
            <w:tcW w:w="945" w:type="dxa"/>
            <w:vMerge w:val="continue"/>
            <w:tcBorders>
              <w:left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18"/>
                <w:szCs w:val="18"/>
              </w:rPr>
            </w:pPr>
          </w:p>
        </w:tc>
        <w:tc>
          <w:tcPr>
            <w:tcW w:w="4809" w:type="dxa"/>
            <w:gridSpan w:val="5"/>
            <w:tcBorders>
              <w:top w:val="nil"/>
              <w:left w:val="nil"/>
              <w:bottom w:val="single" w:color="auto" w:sz="4" w:space="0"/>
              <w:right w:val="single" w:color="auto" w:sz="4" w:space="0"/>
            </w:tcBorders>
            <w:vAlign w:val="center"/>
          </w:tcPr>
          <w:p>
            <w:pPr>
              <w:widowControl/>
              <w:spacing w:line="240" w:lineRule="exact"/>
              <w:jc w:val="left"/>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 xml:space="preserve">  其中：  一般公共预算：</w:t>
            </w:r>
            <w:r>
              <w:rPr>
                <w:rFonts w:hint="eastAsia" w:ascii="仿宋" w:hAnsi="仿宋" w:eastAsia="仿宋" w:cs="仿宋"/>
                <w:color w:val="000000"/>
                <w:kern w:val="0"/>
                <w:sz w:val="18"/>
                <w:szCs w:val="18"/>
                <w:lang w:val="en-US" w:eastAsia="zh-CN"/>
              </w:rPr>
              <w:t>19595.42</w:t>
            </w:r>
          </w:p>
        </w:tc>
        <w:tc>
          <w:tcPr>
            <w:tcW w:w="4239" w:type="dxa"/>
            <w:gridSpan w:val="4"/>
            <w:tcBorders>
              <w:top w:val="nil"/>
              <w:left w:val="nil"/>
              <w:bottom w:val="single" w:color="auto" w:sz="4" w:space="0"/>
              <w:right w:val="single" w:color="auto" w:sz="4" w:space="0"/>
            </w:tcBorders>
            <w:vAlign w:val="center"/>
          </w:tcPr>
          <w:p>
            <w:pPr>
              <w:widowControl/>
              <w:spacing w:line="240" w:lineRule="exact"/>
              <w:jc w:val="left"/>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其中：基本支出：</w:t>
            </w:r>
            <w:r>
              <w:rPr>
                <w:rFonts w:hint="eastAsia" w:ascii="仿宋" w:hAnsi="仿宋" w:eastAsia="仿宋" w:cs="仿宋"/>
                <w:color w:val="000000"/>
                <w:kern w:val="0"/>
                <w:sz w:val="18"/>
                <w:szCs w:val="18"/>
                <w:lang w:val="en-US" w:eastAsia="zh-CN"/>
              </w:rPr>
              <w:t>8376.86</w:t>
            </w:r>
          </w:p>
        </w:tc>
      </w:tr>
      <w:tr>
        <w:tblPrEx>
          <w:tblCellMar>
            <w:top w:w="0" w:type="dxa"/>
            <w:left w:w="108" w:type="dxa"/>
            <w:bottom w:w="0" w:type="dxa"/>
            <w:right w:w="108" w:type="dxa"/>
          </w:tblCellMar>
        </w:tblPrEx>
        <w:trPr>
          <w:jc w:val="center"/>
        </w:trPr>
        <w:tc>
          <w:tcPr>
            <w:tcW w:w="945" w:type="dxa"/>
            <w:vMerge w:val="continue"/>
            <w:tcBorders>
              <w:left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18"/>
                <w:szCs w:val="18"/>
              </w:rPr>
            </w:pPr>
          </w:p>
        </w:tc>
        <w:tc>
          <w:tcPr>
            <w:tcW w:w="4809" w:type="dxa"/>
            <w:gridSpan w:val="5"/>
            <w:tcBorders>
              <w:top w:val="nil"/>
              <w:left w:val="nil"/>
              <w:bottom w:val="single" w:color="auto" w:sz="4" w:space="0"/>
              <w:right w:val="single" w:color="auto" w:sz="4" w:space="0"/>
            </w:tcBorders>
            <w:vAlign w:val="center"/>
          </w:tcPr>
          <w:p>
            <w:pPr>
              <w:widowControl/>
              <w:spacing w:line="240" w:lineRule="exact"/>
              <w:ind w:firstLine="720" w:firstLineChars="40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政府性基金拨款：</w:t>
            </w:r>
          </w:p>
        </w:tc>
        <w:tc>
          <w:tcPr>
            <w:tcW w:w="4239" w:type="dxa"/>
            <w:gridSpan w:val="4"/>
            <w:tcBorders>
              <w:top w:val="nil"/>
              <w:left w:val="nil"/>
              <w:bottom w:val="single" w:color="auto" w:sz="4" w:space="0"/>
              <w:right w:val="single" w:color="auto" w:sz="4" w:space="0"/>
            </w:tcBorders>
            <w:vAlign w:val="center"/>
          </w:tcPr>
          <w:p>
            <w:pPr>
              <w:widowControl/>
              <w:spacing w:line="240" w:lineRule="exact"/>
              <w:ind w:firstLine="540" w:firstLineChars="300"/>
              <w:jc w:val="left"/>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项目支出：</w:t>
            </w:r>
            <w:r>
              <w:rPr>
                <w:rFonts w:hint="eastAsia" w:ascii="仿宋" w:hAnsi="仿宋" w:eastAsia="仿宋" w:cs="仿宋"/>
                <w:color w:val="000000"/>
                <w:kern w:val="0"/>
                <w:sz w:val="18"/>
                <w:szCs w:val="18"/>
                <w:lang w:val="en-US" w:eastAsia="zh-CN"/>
              </w:rPr>
              <w:t>4697.36</w:t>
            </w:r>
          </w:p>
        </w:tc>
      </w:tr>
      <w:tr>
        <w:tblPrEx>
          <w:tblCellMar>
            <w:top w:w="0" w:type="dxa"/>
            <w:left w:w="108" w:type="dxa"/>
            <w:bottom w:w="0" w:type="dxa"/>
            <w:right w:w="108" w:type="dxa"/>
          </w:tblCellMar>
        </w:tblPrEx>
        <w:trPr>
          <w:jc w:val="center"/>
        </w:trPr>
        <w:tc>
          <w:tcPr>
            <w:tcW w:w="945" w:type="dxa"/>
            <w:vMerge w:val="continue"/>
            <w:tcBorders>
              <w:left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18"/>
                <w:szCs w:val="18"/>
              </w:rPr>
            </w:pPr>
          </w:p>
        </w:tc>
        <w:tc>
          <w:tcPr>
            <w:tcW w:w="4809" w:type="dxa"/>
            <w:gridSpan w:val="5"/>
            <w:tcBorders>
              <w:top w:val="nil"/>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纳入专户管理的非税收入拨款：</w:t>
            </w:r>
          </w:p>
        </w:tc>
        <w:tc>
          <w:tcPr>
            <w:tcW w:w="4239" w:type="dxa"/>
            <w:gridSpan w:val="4"/>
            <w:tcBorders>
              <w:top w:val="nil"/>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jc w:val="center"/>
        </w:trPr>
        <w:tc>
          <w:tcPr>
            <w:tcW w:w="945" w:type="dxa"/>
            <w:vMerge w:val="continue"/>
            <w:tcBorders>
              <w:left w:val="single" w:color="auto" w:sz="4" w:space="0"/>
              <w:bottom w:val="single" w:color="000000" w:sz="4" w:space="0"/>
              <w:right w:val="single" w:color="auto" w:sz="4" w:space="0"/>
            </w:tcBorders>
            <w:vAlign w:val="center"/>
          </w:tcPr>
          <w:p>
            <w:pPr>
              <w:widowControl/>
              <w:spacing w:line="240" w:lineRule="exact"/>
              <w:jc w:val="left"/>
              <w:rPr>
                <w:rFonts w:hint="eastAsia" w:ascii="仿宋" w:hAnsi="仿宋" w:eastAsia="仿宋" w:cs="仿宋"/>
                <w:color w:val="000000"/>
                <w:kern w:val="0"/>
                <w:sz w:val="18"/>
                <w:szCs w:val="18"/>
              </w:rPr>
            </w:pPr>
          </w:p>
        </w:tc>
        <w:tc>
          <w:tcPr>
            <w:tcW w:w="4809" w:type="dxa"/>
            <w:gridSpan w:val="5"/>
            <w:tcBorders>
              <w:top w:val="nil"/>
              <w:left w:val="nil"/>
              <w:bottom w:val="single" w:color="auto" w:sz="4" w:space="0"/>
              <w:right w:val="single" w:color="auto" w:sz="4" w:space="0"/>
            </w:tcBorders>
            <w:vAlign w:val="center"/>
          </w:tcPr>
          <w:p>
            <w:pPr>
              <w:widowControl/>
              <w:spacing w:line="240" w:lineRule="exact"/>
              <w:ind w:firstLine="1260" w:firstLineChars="70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其他资金：</w:t>
            </w:r>
          </w:p>
        </w:tc>
        <w:tc>
          <w:tcPr>
            <w:tcW w:w="4239" w:type="dxa"/>
            <w:gridSpan w:val="4"/>
            <w:tcBorders>
              <w:top w:val="nil"/>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jc w:val="center"/>
        </w:trPr>
        <w:tc>
          <w:tcPr>
            <w:tcW w:w="945" w:type="dxa"/>
            <w:vMerge w:val="restart"/>
            <w:tcBorders>
              <w:top w:val="nil"/>
              <w:left w:val="single" w:color="auto" w:sz="4" w:space="0"/>
              <w:bottom w:val="single" w:color="000000" w:sz="4" w:space="0"/>
              <w:right w:val="single" w:color="auto" w:sz="4" w:space="0"/>
            </w:tcBorders>
            <w:vAlign w:val="center"/>
          </w:tcPr>
          <w:p>
            <w:pPr>
              <w:widowControl/>
              <w:spacing w:line="240" w:lineRule="exact"/>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年度总体目标</w:t>
            </w:r>
          </w:p>
        </w:tc>
        <w:tc>
          <w:tcPr>
            <w:tcW w:w="4809" w:type="dxa"/>
            <w:gridSpan w:val="5"/>
            <w:tcBorders>
              <w:top w:val="single" w:color="auto" w:sz="4" w:space="0"/>
              <w:left w:val="nil"/>
              <w:bottom w:val="single" w:color="auto" w:sz="4" w:space="0"/>
              <w:right w:val="single" w:color="000000" w:sz="4" w:space="0"/>
            </w:tcBorders>
            <w:vAlign w:val="center"/>
          </w:tcPr>
          <w:p>
            <w:pPr>
              <w:widowControl/>
              <w:spacing w:line="240" w:lineRule="exact"/>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预期目标</w:t>
            </w:r>
          </w:p>
        </w:tc>
        <w:tc>
          <w:tcPr>
            <w:tcW w:w="4239"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实际完成情况　</w:t>
            </w:r>
          </w:p>
        </w:tc>
      </w:tr>
      <w:tr>
        <w:tblPrEx>
          <w:tblCellMar>
            <w:top w:w="0" w:type="dxa"/>
            <w:left w:w="108" w:type="dxa"/>
            <w:bottom w:w="0" w:type="dxa"/>
            <w:right w:w="108" w:type="dxa"/>
          </w:tblCellMar>
        </w:tblPrEx>
        <w:trPr>
          <w:jc w:val="center"/>
        </w:trPr>
        <w:tc>
          <w:tcPr>
            <w:tcW w:w="945" w:type="dxa"/>
            <w:vMerge w:val="continue"/>
            <w:tcBorders>
              <w:top w:val="nil"/>
              <w:left w:val="single" w:color="auto" w:sz="4" w:space="0"/>
              <w:bottom w:val="single" w:color="000000" w:sz="4" w:space="0"/>
              <w:right w:val="single" w:color="auto" w:sz="4" w:space="0"/>
            </w:tcBorders>
            <w:vAlign w:val="center"/>
          </w:tcPr>
          <w:p>
            <w:pPr>
              <w:widowControl/>
              <w:spacing w:line="240" w:lineRule="exact"/>
              <w:jc w:val="left"/>
              <w:rPr>
                <w:rFonts w:hint="eastAsia" w:ascii="仿宋" w:hAnsi="仿宋" w:eastAsia="仿宋" w:cs="仿宋"/>
                <w:color w:val="000000"/>
                <w:kern w:val="0"/>
                <w:sz w:val="18"/>
                <w:szCs w:val="18"/>
              </w:rPr>
            </w:pPr>
          </w:p>
        </w:tc>
        <w:tc>
          <w:tcPr>
            <w:tcW w:w="4809" w:type="dxa"/>
            <w:gridSpan w:val="5"/>
            <w:tcBorders>
              <w:top w:val="single" w:color="auto" w:sz="4" w:space="0"/>
              <w:left w:val="nil"/>
              <w:bottom w:val="single" w:color="auto" w:sz="4" w:space="0"/>
              <w:right w:val="single" w:color="000000" w:sz="4" w:space="0"/>
            </w:tcBorders>
            <w:vAlign w:val="center"/>
          </w:tcPr>
          <w:p>
            <w:pPr>
              <w:numPr>
                <w:ilvl w:val="0"/>
                <w:numId w:val="0"/>
              </w:numPr>
              <w:tabs>
                <w:tab w:val="left" w:pos="284"/>
              </w:tabs>
              <w:spacing w:line="360" w:lineRule="exact"/>
              <w:ind w:right="-483" w:rightChars="-230"/>
              <w:rPr>
                <w:rFonts w:hint="eastAsia" w:ascii="仿宋" w:hAnsi="仿宋" w:eastAsia="仿宋" w:cs="仿宋"/>
                <w:b/>
                <w:bCs/>
                <w:sz w:val="18"/>
                <w:szCs w:val="18"/>
              </w:rPr>
            </w:pPr>
            <w:r>
              <w:rPr>
                <w:rFonts w:hint="eastAsia" w:ascii="仿宋" w:hAnsi="仿宋" w:eastAsia="仿宋" w:cs="仿宋"/>
                <w:b/>
                <w:bCs/>
                <w:sz w:val="18"/>
                <w:szCs w:val="18"/>
                <w:lang w:eastAsia="zh-CN"/>
              </w:rPr>
              <w:t>目标一、</w:t>
            </w:r>
            <w:r>
              <w:rPr>
                <w:rFonts w:hint="eastAsia" w:ascii="仿宋" w:hAnsi="仿宋" w:eastAsia="仿宋" w:cs="仿宋"/>
                <w:b/>
                <w:bCs/>
                <w:sz w:val="18"/>
                <w:szCs w:val="18"/>
              </w:rPr>
              <w:t>推进基础信息化建设</w:t>
            </w:r>
          </w:p>
          <w:p>
            <w:pPr>
              <w:keepNext w:val="0"/>
              <w:keepLines w:val="0"/>
              <w:pageBreakBefore w:val="0"/>
              <w:widowControl w:val="0"/>
              <w:numPr>
                <w:ilvl w:val="0"/>
                <w:numId w:val="0"/>
              </w:numPr>
              <w:tabs>
                <w:tab w:val="left" w:pos="284"/>
              </w:tabs>
              <w:kinsoku/>
              <w:wordWrap/>
              <w:overflowPunct/>
              <w:topLinePunct w:val="0"/>
              <w:bidi w:val="0"/>
              <w:adjustRightInd/>
              <w:snapToGrid/>
              <w:spacing w:line="520" w:lineRule="exact"/>
              <w:ind w:right="-483" w:rightChars="-230" w:firstLine="360" w:firstLineChars="200"/>
              <w:textAlignment w:val="auto"/>
              <w:rPr>
                <w:rFonts w:hint="eastAsia" w:ascii="仿宋" w:hAnsi="仿宋" w:eastAsia="仿宋" w:cs="仿宋"/>
                <w:sz w:val="18"/>
                <w:szCs w:val="18"/>
              </w:rPr>
            </w:pPr>
            <w:r>
              <w:rPr>
                <w:rFonts w:hint="eastAsia" w:ascii="仿宋" w:hAnsi="仿宋" w:eastAsia="仿宋" w:cs="仿宋"/>
                <w:sz w:val="18"/>
                <w:szCs w:val="18"/>
              </w:rPr>
              <w:t>1、开展互联网综合服务平台建设。</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360" w:firstLineChars="200"/>
              <w:textAlignment w:val="auto"/>
              <w:rPr>
                <w:rFonts w:hint="eastAsia" w:ascii="仿宋" w:hAnsi="仿宋" w:eastAsia="仿宋" w:cs="仿宋"/>
                <w:sz w:val="18"/>
                <w:szCs w:val="18"/>
              </w:rPr>
            </w:pPr>
            <w:r>
              <w:rPr>
                <w:rFonts w:hint="eastAsia" w:ascii="仿宋" w:hAnsi="仿宋" w:eastAsia="仿宋" w:cs="仿宋"/>
                <w:sz w:val="18"/>
                <w:szCs w:val="18"/>
              </w:rPr>
              <w:t>2、开展违法监管系统建设。</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360" w:firstLineChars="200"/>
              <w:textAlignment w:val="auto"/>
              <w:rPr>
                <w:rFonts w:hint="eastAsia" w:ascii="仿宋" w:hAnsi="仿宋" w:eastAsia="仿宋" w:cs="仿宋"/>
                <w:sz w:val="18"/>
                <w:szCs w:val="18"/>
              </w:rPr>
            </w:pPr>
            <w:r>
              <w:rPr>
                <w:rFonts w:hint="eastAsia" w:ascii="仿宋" w:hAnsi="仿宋" w:eastAsia="仿宋" w:cs="仿宋"/>
                <w:sz w:val="18"/>
                <w:szCs w:val="18"/>
              </w:rPr>
              <w:t>3、建设交通违法自助网上处理服务平台,微信、支付宝、银行卡收费平台。</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360" w:firstLineChars="200"/>
              <w:textAlignment w:val="auto"/>
              <w:rPr>
                <w:rFonts w:hint="eastAsia" w:ascii="仿宋" w:hAnsi="仿宋" w:eastAsia="仿宋" w:cs="仿宋"/>
                <w:sz w:val="18"/>
                <w:szCs w:val="18"/>
              </w:rPr>
            </w:pPr>
            <w:r>
              <w:rPr>
                <w:rFonts w:hint="eastAsia" w:ascii="仿宋" w:hAnsi="仿宋" w:eastAsia="仿宋" w:cs="仿宋"/>
                <w:sz w:val="18"/>
                <w:szCs w:val="18"/>
              </w:rPr>
              <w:t>4、确保信息系统安全。</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360" w:firstLineChars="200"/>
              <w:textAlignment w:val="auto"/>
              <w:rPr>
                <w:rFonts w:hint="eastAsia" w:ascii="仿宋" w:hAnsi="仿宋" w:eastAsia="仿宋" w:cs="仿宋"/>
                <w:sz w:val="18"/>
                <w:szCs w:val="18"/>
              </w:rPr>
            </w:pPr>
            <w:r>
              <w:rPr>
                <w:rFonts w:hint="eastAsia" w:ascii="仿宋" w:hAnsi="仿宋" w:eastAsia="仿宋" w:cs="仿宋"/>
                <w:sz w:val="18"/>
                <w:szCs w:val="18"/>
              </w:rPr>
              <w:t>5、开展“文明交通行动计划”工作。</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360" w:firstLineChars="200"/>
              <w:textAlignment w:val="auto"/>
              <w:rPr>
                <w:rFonts w:hint="eastAsia" w:ascii="仿宋" w:hAnsi="仿宋" w:eastAsia="仿宋" w:cs="仿宋"/>
                <w:sz w:val="18"/>
                <w:szCs w:val="18"/>
              </w:rPr>
            </w:pPr>
            <w:r>
              <w:rPr>
                <w:rFonts w:hint="eastAsia" w:ascii="仿宋" w:hAnsi="仿宋" w:eastAsia="仿宋" w:cs="仿宋"/>
                <w:sz w:val="18"/>
                <w:szCs w:val="18"/>
              </w:rPr>
              <w:t>6、开展新闻宣传阵地建设。不定期在中央主要新闻媒体（人民日报、中央电视台、中央人民广播电台、法制日报、新华社通稿或内参）发表正面宣传报道；省市联动，加强湖南交警“三微”、QQ群、《车路人》杂志等自制媒体宣传阵地建设。</w:t>
            </w:r>
          </w:p>
          <w:p>
            <w:pPr>
              <w:keepNext w:val="0"/>
              <w:keepLines w:val="0"/>
              <w:pageBreakBefore w:val="0"/>
              <w:widowControl w:val="0"/>
              <w:kinsoku/>
              <w:wordWrap/>
              <w:overflowPunct/>
              <w:topLinePunct w:val="0"/>
              <w:autoSpaceDE w:val="0"/>
              <w:autoSpaceDN w:val="0"/>
              <w:bidi w:val="0"/>
              <w:adjustRightInd/>
              <w:snapToGrid/>
              <w:spacing w:line="520" w:lineRule="exact"/>
              <w:ind w:firstLine="360" w:firstLineChars="200"/>
              <w:textAlignment w:val="auto"/>
              <w:rPr>
                <w:rFonts w:hint="eastAsia" w:ascii="仿宋" w:hAnsi="仿宋" w:eastAsia="仿宋" w:cs="仿宋"/>
                <w:sz w:val="18"/>
                <w:szCs w:val="18"/>
              </w:rPr>
            </w:pPr>
            <w:r>
              <w:rPr>
                <w:rFonts w:hint="eastAsia" w:ascii="仿宋" w:hAnsi="仿宋" w:eastAsia="仿宋" w:cs="仿宋"/>
                <w:sz w:val="18"/>
                <w:szCs w:val="18"/>
              </w:rPr>
              <w:t>7、开发道路交通事故一路通系统，成立快处快赔中心。</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textAlignment w:val="auto"/>
              <w:rPr>
                <w:rFonts w:hint="eastAsia" w:ascii="仿宋" w:hAnsi="仿宋" w:eastAsia="仿宋" w:cs="仿宋"/>
                <w:sz w:val="18"/>
                <w:szCs w:val="18"/>
              </w:rPr>
            </w:pPr>
            <w:r>
              <w:rPr>
                <w:rFonts w:hint="eastAsia" w:ascii="仿宋" w:hAnsi="仿宋" w:eastAsia="仿宋" w:cs="仿宋"/>
                <w:b/>
                <w:bCs/>
                <w:sz w:val="18"/>
                <w:szCs w:val="18"/>
                <w:lang w:eastAsia="zh-CN"/>
              </w:rPr>
              <w:t>目标二、</w:t>
            </w:r>
            <w:r>
              <w:rPr>
                <w:rFonts w:hint="eastAsia" w:ascii="仿宋" w:hAnsi="仿宋" w:eastAsia="仿宋" w:cs="仿宋"/>
                <w:b/>
                <w:bCs/>
                <w:sz w:val="18"/>
                <w:szCs w:val="18"/>
              </w:rPr>
              <w:t>推进县域警务实战化建设</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360" w:firstLineChars="200"/>
              <w:textAlignment w:val="auto"/>
              <w:rPr>
                <w:rFonts w:hint="eastAsia" w:ascii="仿宋" w:hAnsi="仿宋" w:eastAsia="仿宋" w:cs="仿宋"/>
                <w:sz w:val="18"/>
                <w:szCs w:val="18"/>
              </w:rPr>
            </w:pPr>
            <w:r>
              <w:rPr>
                <w:rFonts w:hint="eastAsia" w:ascii="仿宋" w:hAnsi="仿宋" w:eastAsia="仿宋" w:cs="仿宋"/>
                <w:sz w:val="18"/>
                <w:szCs w:val="18"/>
              </w:rPr>
              <w:t>1、推进交通安全执法服务站建设。</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360" w:firstLineChars="200"/>
              <w:textAlignment w:val="auto"/>
              <w:rPr>
                <w:rFonts w:hint="eastAsia" w:ascii="仿宋" w:hAnsi="仿宋" w:eastAsia="仿宋" w:cs="仿宋"/>
                <w:sz w:val="18"/>
                <w:szCs w:val="18"/>
              </w:rPr>
            </w:pPr>
            <w:r>
              <w:rPr>
                <w:rFonts w:hint="eastAsia" w:ascii="仿宋" w:hAnsi="仿宋" w:eastAsia="仿宋" w:cs="仿宋"/>
                <w:sz w:val="18"/>
                <w:szCs w:val="18"/>
              </w:rPr>
              <w:t>2、推进以卡口建设为主要内容的缉查布控系统建设与应用。</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360" w:firstLineChars="200"/>
              <w:textAlignment w:val="auto"/>
              <w:rPr>
                <w:rFonts w:hint="eastAsia" w:ascii="仿宋" w:hAnsi="仿宋" w:eastAsia="仿宋" w:cs="仿宋"/>
                <w:sz w:val="18"/>
                <w:szCs w:val="18"/>
              </w:rPr>
            </w:pPr>
            <w:r>
              <w:rPr>
                <w:rFonts w:hint="eastAsia" w:ascii="仿宋" w:hAnsi="仿宋" w:eastAsia="仿宋" w:cs="仿宋"/>
                <w:sz w:val="18"/>
                <w:szCs w:val="18"/>
              </w:rPr>
              <w:t>3、推进交通执法取证系统建设与应用。</w:t>
            </w:r>
          </w:p>
          <w:p>
            <w:pPr>
              <w:keepNext w:val="0"/>
              <w:keepLines w:val="0"/>
              <w:pageBreakBefore w:val="0"/>
              <w:widowControl w:val="0"/>
              <w:numPr>
                <w:ilvl w:val="0"/>
                <w:numId w:val="0"/>
              </w:numPr>
              <w:tabs>
                <w:tab w:val="left" w:pos="284"/>
              </w:tabs>
              <w:kinsoku/>
              <w:wordWrap/>
              <w:overflowPunct/>
              <w:topLinePunct w:val="0"/>
              <w:bidi w:val="0"/>
              <w:adjustRightInd/>
              <w:snapToGrid/>
              <w:spacing w:line="520" w:lineRule="exact"/>
              <w:ind w:right="-483" w:rightChars="-230" w:firstLine="180" w:firstLineChars="100"/>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 xml:space="preserve">  4、</w:t>
            </w:r>
            <w:r>
              <w:rPr>
                <w:rFonts w:hint="eastAsia" w:ascii="仿宋" w:hAnsi="仿宋" w:eastAsia="仿宋" w:cs="仿宋"/>
                <w:sz w:val="18"/>
                <w:szCs w:val="18"/>
              </w:rPr>
              <w:t>推进公路视频监控系统建设与应用。</w:t>
            </w:r>
          </w:p>
          <w:p>
            <w:pPr>
              <w:keepNext w:val="0"/>
              <w:keepLines w:val="0"/>
              <w:pageBreakBefore w:val="0"/>
              <w:widowControl w:val="0"/>
              <w:numPr>
                <w:ilvl w:val="0"/>
                <w:numId w:val="0"/>
              </w:numPr>
              <w:tabs>
                <w:tab w:val="left" w:pos="284"/>
              </w:tabs>
              <w:kinsoku/>
              <w:wordWrap/>
              <w:overflowPunct/>
              <w:topLinePunct w:val="0"/>
              <w:bidi w:val="0"/>
              <w:adjustRightInd/>
              <w:snapToGrid/>
              <w:spacing w:line="520" w:lineRule="exact"/>
              <w:ind w:right="-483" w:rightChars="-230" w:firstLine="360" w:firstLineChars="200"/>
              <w:textAlignment w:val="auto"/>
              <w:rPr>
                <w:rFonts w:hint="eastAsia" w:ascii="仿宋" w:hAnsi="仿宋" w:eastAsia="仿宋" w:cs="仿宋"/>
                <w:sz w:val="18"/>
                <w:szCs w:val="18"/>
              </w:rPr>
            </w:pPr>
            <w:r>
              <w:rPr>
                <w:rFonts w:hint="eastAsia" w:ascii="仿宋" w:hAnsi="仿宋" w:eastAsia="仿宋" w:cs="仿宋"/>
                <w:sz w:val="18"/>
                <w:szCs w:val="18"/>
              </w:rPr>
              <w:t>5、推进交通指挥扁平化、信息化建设。</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360" w:firstLineChars="200"/>
              <w:textAlignment w:val="auto"/>
              <w:rPr>
                <w:rFonts w:hint="eastAsia" w:ascii="仿宋" w:hAnsi="仿宋" w:eastAsia="仿宋" w:cs="仿宋"/>
                <w:sz w:val="18"/>
                <w:szCs w:val="18"/>
              </w:rPr>
            </w:pPr>
            <w:r>
              <w:rPr>
                <w:rFonts w:hint="eastAsia" w:ascii="仿宋" w:hAnsi="仿宋" w:eastAsia="仿宋" w:cs="仿宋"/>
                <w:sz w:val="18"/>
                <w:szCs w:val="18"/>
              </w:rPr>
              <w:t>6、建立重点车辆管控平台,淘汰黄标车，七种重点车辆免计分违章清零。</w:t>
            </w:r>
          </w:p>
          <w:p>
            <w:pPr>
              <w:keepNext w:val="0"/>
              <w:keepLines w:val="0"/>
              <w:pageBreakBefore w:val="0"/>
              <w:widowControl w:val="0"/>
              <w:kinsoku/>
              <w:wordWrap/>
              <w:overflowPunct/>
              <w:topLinePunct w:val="0"/>
              <w:autoSpaceDE w:val="0"/>
              <w:autoSpaceDN w:val="0"/>
              <w:bidi w:val="0"/>
              <w:adjustRightInd/>
              <w:snapToGrid/>
              <w:spacing w:line="520" w:lineRule="exact"/>
              <w:ind w:firstLine="360" w:firstLineChars="200"/>
              <w:textAlignment w:val="auto"/>
              <w:rPr>
                <w:rFonts w:hint="eastAsia" w:ascii="仿宋" w:hAnsi="仿宋" w:eastAsia="仿宋" w:cs="仿宋"/>
                <w:sz w:val="18"/>
                <w:szCs w:val="18"/>
              </w:rPr>
            </w:pPr>
            <w:r>
              <w:rPr>
                <w:rFonts w:hint="eastAsia" w:ascii="仿宋" w:hAnsi="仿宋" w:eastAsia="仿宋" w:cs="仿宋"/>
                <w:sz w:val="18"/>
                <w:szCs w:val="18"/>
              </w:rPr>
              <w:t>7、大力推动农村派出所管理道路交通安全机制建设。</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textAlignment w:val="auto"/>
              <w:rPr>
                <w:rFonts w:hint="eastAsia" w:ascii="仿宋" w:hAnsi="仿宋" w:eastAsia="仿宋" w:cs="仿宋"/>
                <w:b/>
                <w:bCs/>
                <w:sz w:val="18"/>
                <w:szCs w:val="18"/>
              </w:rPr>
            </w:pPr>
            <w:r>
              <w:rPr>
                <w:rFonts w:hint="eastAsia" w:ascii="仿宋" w:hAnsi="仿宋" w:eastAsia="仿宋" w:cs="仿宋"/>
                <w:b/>
                <w:bCs/>
                <w:sz w:val="18"/>
                <w:szCs w:val="18"/>
                <w:lang w:eastAsia="zh-CN"/>
              </w:rPr>
              <w:t>目标三、</w:t>
            </w:r>
            <w:r>
              <w:rPr>
                <w:rFonts w:hint="eastAsia" w:ascii="仿宋" w:hAnsi="仿宋" w:eastAsia="仿宋" w:cs="仿宋"/>
                <w:b/>
                <w:bCs/>
                <w:sz w:val="18"/>
                <w:szCs w:val="18"/>
              </w:rPr>
              <w:t>推进执法规范化建设</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360" w:firstLineChars="200"/>
              <w:textAlignment w:val="auto"/>
              <w:rPr>
                <w:rFonts w:hint="eastAsia" w:ascii="仿宋" w:hAnsi="仿宋" w:eastAsia="仿宋" w:cs="仿宋"/>
                <w:sz w:val="18"/>
                <w:szCs w:val="18"/>
              </w:rPr>
            </w:pPr>
            <w:r>
              <w:rPr>
                <w:rFonts w:hint="eastAsia" w:ascii="仿宋" w:hAnsi="仿宋" w:eastAsia="仿宋" w:cs="仿宋"/>
                <w:sz w:val="18"/>
                <w:szCs w:val="18"/>
              </w:rPr>
              <w:t>1、开展执法问题专项整治及执法质量巡查。</w:t>
            </w:r>
          </w:p>
          <w:p>
            <w:pPr>
              <w:keepNext w:val="0"/>
              <w:keepLines w:val="0"/>
              <w:pageBreakBefore w:val="0"/>
              <w:widowControl w:val="0"/>
              <w:numPr>
                <w:ilvl w:val="0"/>
                <w:numId w:val="0"/>
              </w:numPr>
              <w:tabs>
                <w:tab w:val="left" w:pos="284"/>
              </w:tabs>
              <w:kinsoku/>
              <w:wordWrap/>
              <w:overflowPunct/>
              <w:topLinePunct w:val="0"/>
              <w:bidi w:val="0"/>
              <w:adjustRightInd/>
              <w:snapToGrid/>
              <w:spacing w:line="520" w:lineRule="exact"/>
              <w:ind w:right="-483" w:rightChars="-230" w:firstLine="360" w:firstLineChars="200"/>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2、</w:t>
            </w:r>
            <w:r>
              <w:rPr>
                <w:rFonts w:hint="eastAsia" w:ascii="仿宋" w:hAnsi="仿宋" w:eastAsia="仿宋" w:cs="仿宋"/>
                <w:sz w:val="18"/>
                <w:szCs w:val="18"/>
              </w:rPr>
              <w:t>开展中级执法资格考试结果运用。</w:t>
            </w:r>
          </w:p>
          <w:p>
            <w:pPr>
              <w:keepNext w:val="0"/>
              <w:keepLines w:val="0"/>
              <w:pageBreakBefore w:val="0"/>
              <w:widowControl w:val="0"/>
              <w:numPr>
                <w:ilvl w:val="0"/>
                <w:numId w:val="0"/>
              </w:numPr>
              <w:tabs>
                <w:tab w:val="left" w:pos="284"/>
              </w:tabs>
              <w:kinsoku/>
              <w:wordWrap/>
              <w:overflowPunct/>
              <w:topLinePunct w:val="0"/>
              <w:bidi w:val="0"/>
              <w:adjustRightInd/>
              <w:snapToGrid/>
              <w:spacing w:line="520" w:lineRule="exact"/>
              <w:ind w:right="-483" w:rightChars="-230" w:firstLine="360" w:firstLineChars="200"/>
              <w:textAlignment w:val="auto"/>
              <w:rPr>
                <w:rFonts w:hint="eastAsia" w:ascii="仿宋" w:hAnsi="仿宋" w:eastAsia="仿宋" w:cs="仿宋"/>
                <w:sz w:val="18"/>
                <w:szCs w:val="18"/>
              </w:rPr>
            </w:pPr>
            <w:r>
              <w:rPr>
                <w:rFonts w:hint="eastAsia" w:ascii="仿宋" w:hAnsi="仿宋" w:eastAsia="仿宋" w:cs="仿宋"/>
                <w:sz w:val="18"/>
                <w:szCs w:val="18"/>
              </w:rPr>
              <w:t>3、全面实行讯问犯罪嫌疑人录音录像、推广执法记录仪。</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360" w:firstLineChars="200"/>
              <w:textAlignment w:val="auto"/>
              <w:rPr>
                <w:rFonts w:hint="eastAsia" w:ascii="仿宋" w:hAnsi="仿宋" w:eastAsia="仿宋" w:cs="仿宋"/>
                <w:sz w:val="18"/>
                <w:szCs w:val="18"/>
              </w:rPr>
            </w:pPr>
            <w:r>
              <w:rPr>
                <w:rFonts w:hint="eastAsia" w:ascii="仿宋" w:hAnsi="仿宋" w:eastAsia="仿宋" w:cs="仿宋"/>
                <w:sz w:val="18"/>
                <w:szCs w:val="18"/>
              </w:rPr>
              <w:t>4、加强涉案财物规范管理及信息公开、行政处罚决定书公开工作。</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textAlignment w:val="auto"/>
              <w:rPr>
                <w:rFonts w:hint="eastAsia" w:ascii="仿宋" w:hAnsi="仿宋" w:eastAsia="仿宋" w:cs="仿宋"/>
                <w:sz w:val="18"/>
                <w:szCs w:val="18"/>
              </w:rPr>
            </w:pPr>
            <w:r>
              <w:rPr>
                <w:rFonts w:hint="eastAsia" w:ascii="仿宋" w:hAnsi="仿宋" w:eastAsia="仿宋" w:cs="仿宋"/>
                <w:b/>
                <w:bCs/>
                <w:sz w:val="18"/>
                <w:szCs w:val="18"/>
                <w:lang w:eastAsia="zh-CN"/>
              </w:rPr>
              <w:t>目标四、</w:t>
            </w:r>
            <w:r>
              <w:rPr>
                <w:rFonts w:hint="eastAsia" w:ascii="仿宋" w:hAnsi="仿宋" w:eastAsia="仿宋" w:cs="仿宋"/>
                <w:b/>
                <w:bCs/>
                <w:sz w:val="18"/>
                <w:szCs w:val="18"/>
              </w:rPr>
              <w:t>推进队伍正规化建设</w:t>
            </w:r>
            <w:r>
              <w:rPr>
                <w:rFonts w:hint="eastAsia" w:ascii="仿宋" w:hAnsi="仿宋" w:eastAsia="仿宋" w:cs="仿宋"/>
                <w:sz w:val="18"/>
                <w:szCs w:val="18"/>
              </w:rPr>
              <w:t>：</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360" w:firstLineChars="200"/>
              <w:textAlignment w:val="auto"/>
              <w:rPr>
                <w:rFonts w:hint="eastAsia" w:ascii="仿宋" w:hAnsi="仿宋" w:eastAsia="仿宋" w:cs="仿宋"/>
                <w:sz w:val="18"/>
                <w:szCs w:val="18"/>
              </w:rPr>
            </w:pPr>
            <w:r>
              <w:rPr>
                <w:rFonts w:hint="eastAsia" w:ascii="仿宋" w:hAnsi="仿宋" w:eastAsia="仿宋" w:cs="仿宋"/>
                <w:sz w:val="18"/>
                <w:szCs w:val="18"/>
              </w:rPr>
              <w:t>1、开展教育训练实战专题比武、业务技能比武。</w:t>
            </w:r>
          </w:p>
          <w:p>
            <w:pPr>
              <w:keepNext w:val="0"/>
              <w:keepLines w:val="0"/>
              <w:pageBreakBefore w:val="0"/>
              <w:widowControl w:val="0"/>
              <w:numPr>
                <w:ilvl w:val="0"/>
                <w:numId w:val="0"/>
              </w:numPr>
              <w:tabs>
                <w:tab w:val="left" w:pos="284"/>
              </w:tabs>
              <w:kinsoku/>
              <w:wordWrap/>
              <w:overflowPunct/>
              <w:topLinePunct w:val="0"/>
              <w:bidi w:val="0"/>
              <w:adjustRightInd/>
              <w:snapToGrid/>
              <w:spacing w:line="520" w:lineRule="exact"/>
              <w:ind w:right="-483" w:rightChars="-230"/>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 xml:space="preserve">    2、</w:t>
            </w:r>
            <w:r>
              <w:rPr>
                <w:rFonts w:hint="eastAsia" w:ascii="仿宋" w:hAnsi="仿宋" w:eastAsia="仿宋" w:cs="仿宋"/>
                <w:sz w:val="18"/>
                <w:szCs w:val="18"/>
              </w:rPr>
              <w:t>推进市级交警网校平台建设与运用。</w:t>
            </w:r>
          </w:p>
          <w:p>
            <w:pPr>
              <w:keepNext w:val="0"/>
              <w:keepLines w:val="0"/>
              <w:pageBreakBefore w:val="0"/>
              <w:widowControl w:val="0"/>
              <w:numPr>
                <w:ilvl w:val="0"/>
                <w:numId w:val="0"/>
              </w:numPr>
              <w:tabs>
                <w:tab w:val="left" w:pos="284"/>
              </w:tabs>
              <w:kinsoku/>
              <w:wordWrap/>
              <w:overflowPunct/>
              <w:topLinePunct w:val="0"/>
              <w:bidi w:val="0"/>
              <w:adjustRightInd/>
              <w:snapToGrid/>
              <w:spacing w:line="520" w:lineRule="exact"/>
              <w:ind w:right="-483" w:rightChars="-230" w:firstLine="360" w:firstLineChars="200"/>
              <w:textAlignment w:val="auto"/>
              <w:rPr>
                <w:rFonts w:hint="eastAsia" w:ascii="仿宋" w:hAnsi="仿宋" w:eastAsia="仿宋" w:cs="仿宋"/>
                <w:sz w:val="18"/>
                <w:szCs w:val="18"/>
              </w:rPr>
            </w:pPr>
            <w:r>
              <w:rPr>
                <w:rFonts w:hint="eastAsia" w:ascii="仿宋" w:hAnsi="仿宋" w:eastAsia="仿宋" w:cs="仿宋"/>
                <w:sz w:val="18"/>
                <w:szCs w:val="18"/>
              </w:rPr>
              <w:t>3、加强政治建警，创新队伍建设与管理，创建各种优秀团队，树立一批先进典型</w:t>
            </w:r>
            <w:r>
              <w:rPr>
                <w:rFonts w:hint="eastAsia" w:ascii="仿宋" w:hAnsi="仿宋" w:eastAsia="仿宋" w:cs="仿宋"/>
                <w:sz w:val="18"/>
                <w:szCs w:val="18"/>
                <w:lang w:eastAsia="zh-CN"/>
              </w:rPr>
              <w:t>。</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360" w:firstLineChars="200"/>
              <w:textAlignment w:val="auto"/>
              <w:rPr>
                <w:rFonts w:hint="eastAsia" w:ascii="仿宋" w:hAnsi="仿宋" w:eastAsia="仿宋" w:cs="仿宋"/>
                <w:sz w:val="18"/>
                <w:szCs w:val="18"/>
              </w:rPr>
            </w:pPr>
            <w:r>
              <w:rPr>
                <w:rFonts w:hint="eastAsia" w:ascii="仿宋" w:hAnsi="仿宋" w:eastAsia="仿宋" w:cs="仿宋"/>
                <w:sz w:val="18"/>
                <w:szCs w:val="18"/>
              </w:rPr>
              <w:t>4、加强会计人员配备及培训工作,完善财务管理制度，健全内部控制制度。</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360" w:firstLineChars="200"/>
              <w:textAlignment w:val="auto"/>
              <w:rPr>
                <w:rFonts w:hint="eastAsia" w:ascii="仿宋" w:hAnsi="仿宋" w:eastAsia="仿宋" w:cs="仿宋"/>
                <w:sz w:val="18"/>
                <w:szCs w:val="18"/>
              </w:rPr>
            </w:pPr>
            <w:r>
              <w:rPr>
                <w:rFonts w:hint="eastAsia" w:ascii="仿宋" w:hAnsi="仿宋" w:eastAsia="仿宋" w:cs="仿宋"/>
                <w:sz w:val="18"/>
                <w:szCs w:val="18"/>
              </w:rPr>
              <w:t>5、落实吃皇粮政策。</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textAlignment w:val="auto"/>
              <w:rPr>
                <w:rFonts w:hint="eastAsia" w:ascii="仿宋" w:hAnsi="仿宋" w:eastAsia="仿宋" w:cs="仿宋"/>
                <w:b/>
                <w:bCs/>
                <w:sz w:val="18"/>
                <w:szCs w:val="18"/>
                <w:lang w:eastAsia="zh-CN"/>
              </w:rPr>
            </w:pPr>
            <w:r>
              <w:rPr>
                <w:rFonts w:hint="eastAsia" w:ascii="仿宋" w:hAnsi="仿宋" w:eastAsia="仿宋" w:cs="仿宋"/>
                <w:b/>
                <w:bCs/>
                <w:sz w:val="18"/>
                <w:szCs w:val="18"/>
                <w:lang w:eastAsia="zh-CN"/>
              </w:rPr>
              <w:t>目标五、严格控制各项支出比例及进度。</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360" w:firstLineChars="200"/>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1、</w:t>
            </w:r>
            <w:r>
              <w:rPr>
                <w:rFonts w:hint="eastAsia" w:ascii="仿宋" w:hAnsi="仿宋" w:eastAsia="仿宋" w:cs="仿宋"/>
                <w:sz w:val="18"/>
                <w:szCs w:val="18"/>
              </w:rPr>
              <w:t>部门重点支出占部门整体支出的比例</w:t>
            </w:r>
            <w:r>
              <w:rPr>
                <w:rFonts w:hint="eastAsia" w:ascii="仿宋" w:hAnsi="仿宋" w:eastAsia="仿宋" w:cs="仿宋"/>
                <w:sz w:val="18"/>
                <w:szCs w:val="18"/>
                <w:lang w:eastAsia="zh-CN"/>
              </w:rPr>
              <w:t>控制在</w:t>
            </w:r>
            <w:r>
              <w:rPr>
                <w:rFonts w:hint="eastAsia" w:ascii="仿宋" w:hAnsi="仿宋" w:eastAsia="仿宋" w:cs="仿宋"/>
                <w:sz w:val="18"/>
                <w:szCs w:val="18"/>
              </w:rPr>
              <w:t>69%</w:t>
            </w:r>
            <w:r>
              <w:rPr>
                <w:rFonts w:hint="eastAsia" w:ascii="仿宋" w:hAnsi="仿宋" w:eastAsia="仿宋" w:cs="仿宋"/>
                <w:sz w:val="18"/>
                <w:szCs w:val="18"/>
                <w:lang w:eastAsia="zh-CN"/>
              </w:rPr>
              <w:t>左右</w:t>
            </w:r>
            <w:r>
              <w:rPr>
                <w:rFonts w:hint="eastAsia" w:ascii="仿宋" w:hAnsi="仿宋" w:eastAsia="仿宋" w:cs="仿宋"/>
                <w:sz w:val="18"/>
                <w:szCs w:val="18"/>
              </w:rPr>
              <w:t>;</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360" w:firstLineChars="200"/>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2、</w:t>
            </w:r>
            <w:r>
              <w:rPr>
                <w:rFonts w:hint="eastAsia" w:ascii="仿宋" w:hAnsi="仿宋" w:eastAsia="仿宋" w:cs="仿宋"/>
                <w:sz w:val="18"/>
                <w:szCs w:val="18"/>
              </w:rPr>
              <w:t>三公经费增减率</w:t>
            </w:r>
            <w:r>
              <w:rPr>
                <w:rFonts w:hint="eastAsia" w:ascii="仿宋" w:hAnsi="仿宋" w:eastAsia="仿宋" w:cs="仿宋"/>
                <w:sz w:val="18"/>
                <w:szCs w:val="18"/>
                <w:lang w:eastAsia="zh-CN"/>
              </w:rPr>
              <w:t>控制在</w:t>
            </w:r>
            <w:r>
              <w:rPr>
                <w:rFonts w:hint="eastAsia" w:ascii="仿宋" w:hAnsi="仿宋" w:eastAsia="仿宋" w:cs="仿宋"/>
                <w:sz w:val="18"/>
                <w:szCs w:val="18"/>
              </w:rPr>
              <w:t>-20%以上;</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360" w:firstLineChars="200"/>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3、</w:t>
            </w:r>
            <w:r>
              <w:rPr>
                <w:rFonts w:hint="eastAsia" w:ascii="仿宋" w:hAnsi="仿宋" w:eastAsia="仿宋" w:cs="仿宋"/>
                <w:sz w:val="18"/>
                <w:szCs w:val="18"/>
              </w:rPr>
              <w:t>部门整体支出支付进度:基本支出按月付款，项目支出10月底完成80%;</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360" w:firstLineChars="200"/>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4、</w:t>
            </w:r>
            <w:r>
              <w:rPr>
                <w:rFonts w:hint="eastAsia" w:ascii="仿宋" w:hAnsi="仿宋" w:eastAsia="仿宋" w:cs="仿宋"/>
                <w:sz w:val="18"/>
                <w:szCs w:val="18"/>
              </w:rPr>
              <w:t>部门预决算和三公经费预决算定期外网公开,透明度100%;</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360" w:firstLineChars="200"/>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5、</w:t>
            </w:r>
            <w:r>
              <w:rPr>
                <w:rFonts w:hint="eastAsia" w:ascii="仿宋" w:hAnsi="仿宋" w:eastAsia="仿宋" w:cs="仿宋"/>
                <w:sz w:val="18"/>
                <w:szCs w:val="18"/>
              </w:rPr>
              <w:t>政府采购执行率：100</w:t>
            </w:r>
            <w:r>
              <w:rPr>
                <w:rFonts w:hint="eastAsia" w:ascii="仿宋" w:hAnsi="仿宋" w:eastAsia="仿宋" w:cs="仿宋"/>
                <w:sz w:val="18"/>
                <w:szCs w:val="18"/>
                <w:lang w:val="en-US" w:eastAsia="zh-CN"/>
              </w:rPr>
              <w:t>%</w:t>
            </w:r>
            <w:r>
              <w:rPr>
                <w:rFonts w:hint="eastAsia" w:ascii="仿宋" w:hAnsi="仿宋" w:eastAsia="仿宋" w:cs="仿宋"/>
                <w:sz w:val="18"/>
                <w:szCs w:val="18"/>
              </w:rPr>
              <w:t>;</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360" w:firstLineChars="200"/>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6、</w:t>
            </w:r>
            <w:r>
              <w:rPr>
                <w:rFonts w:hint="eastAsia" w:ascii="仿宋" w:hAnsi="仿宋" w:eastAsia="仿宋" w:cs="仿宋"/>
                <w:sz w:val="18"/>
                <w:szCs w:val="18"/>
              </w:rPr>
              <w:t>重点工作办结率：100%;</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360" w:firstLineChars="200"/>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7、</w:t>
            </w:r>
            <w:r>
              <w:rPr>
                <w:rFonts w:hint="eastAsia" w:ascii="仿宋" w:hAnsi="仿宋" w:eastAsia="仿宋" w:cs="仿宋"/>
                <w:sz w:val="18"/>
                <w:szCs w:val="18"/>
              </w:rPr>
              <w:t>交通事故结案率:90%;</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360" w:firstLineChars="200"/>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8、</w:t>
            </w:r>
            <w:r>
              <w:rPr>
                <w:rFonts w:hint="eastAsia" w:ascii="仿宋" w:hAnsi="仿宋" w:eastAsia="仿宋" w:cs="仿宋"/>
                <w:sz w:val="18"/>
                <w:szCs w:val="18"/>
              </w:rPr>
              <w:t>车驾管业务窗口“一站式”服务，群众满意度100%;</w:t>
            </w:r>
          </w:p>
          <w:p>
            <w:pPr>
              <w:keepNext w:val="0"/>
              <w:keepLines w:val="0"/>
              <w:pageBreakBefore w:val="0"/>
              <w:widowControl w:val="0"/>
              <w:tabs>
                <w:tab w:val="left" w:pos="284"/>
              </w:tabs>
              <w:kinsoku/>
              <w:wordWrap/>
              <w:overflowPunct/>
              <w:topLinePunct w:val="0"/>
              <w:bidi w:val="0"/>
              <w:adjustRightInd/>
              <w:snapToGrid/>
              <w:spacing w:line="520" w:lineRule="exact"/>
              <w:ind w:right="-483" w:rightChars="-230" w:firstLine="360" w:firstLineChars="200"/>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9、</w:t>
            </w:r>
            <w:r>
              <w:rPr>
                <w:rFonts w:hint="eastAsia" w:ascii="仿宋" w:hAnsi="仿宋" w:eastAsia="仿宋" w:cs="仿宋"/>
                <w:sz w:val="18"/>
                <w:szCs w:val="18"/>
              </w:rPr>
              <w:t>成本节约率20%。</w:t>
            </w:r>
          </w:p>
          <w:p>
            <w:pPr>
              <w:widowControl/>
              <w:spacing w:line="240" w:lineRule="exact"/>
              <w:jc w:val="center"/>
              <w:rPr>
                <w:rFonts w:hint="eastAsia" w:ascii="仿宋" w:hAnsi="仿宋" w:eastAsia="仿宋" w:cs="仿宋"/>
                <w:color w:val="000000"/>
                <w:kern w:val="0"/>
                <w:sz w:val="18"/>
                <w:szCs w:val="18"/>
              </w:rPr>
            </w:pPr>
          </w:p>
        </w:tc>
        <w:tc>
          <w:tcPr>
            <w:tcW w:w="4239" w:type="dxa"/>
            <w:gridSpan w:val="4"/>
            <w:tcBorders>
              <w:top w:val="single" w:color="auto" w:sz="4" w:space="0"/>
              <w:left w:val="nil"/>
              <w:bottom w:val="single" w:color="auto" w:sz="4" w:space="0"/>
              <w:right w:val="single" w:color="auto" w:sz="4" w:space="0"/>
            </w:tcBorders>
            <w:vAlign w:val="center"/>
          </w:tcPr>
          <w:p>
            <w:pPr>
              <w:numPr>
                <w:ilvl w:val="0"/>
                <w:numId w:val="0"/>
              </w:numPr>
              <w:spacing w:line="520" w:lineRule="exact"/>
              <w:rPr>
                <w:rFonts w:hint="eastAsia" w:ascii="仿宋" w:hAnsi="仿宋" w:eastAsia="仿宋" w:cs="仿宋"/>
                <w:b/>
                <w:bCs/>
                <w:sz w:val="18"/>
                <w:szCs w:val="18"/>
              </w:rPr>
            </w:pPr>
            <w:r>
              <w:rPr>
                <w:rFonts w:hint="eastAsia" w:ascii="仿宋" w:hAnsi="仿宋" w:eastAsia="仿宋" w:cs="仿宋"/>
                <w:b/>
                <w:bCs/>
                <w:sz w:val="18"/>
                <w:szCs w:val="18"/>
                <w:lang w:eastAsia="zh-CN"/>
              </w:rPr>
              <w:t>一、聚焦重点，精准施策，事故防控实现新突破</w:t>
            </w:r>
            <w:r>
              <w:rPr>
                <w:rFonts w:hint="eastAsia" w:ascii="仿宋" w:hAnsi="仿宋" w:eastAsia="仿宋" w:cs="仿宋"/>
                <w:b/>
                <w:bCs/>
                <w:sz w:val="18"/>
                <w:szCs w:val="18"/>
              </w:rPr>
              <w:t>。</w:t>
            </w:r>
          </w:p>
          <w:p>
            <w:pPr>
              <w:numPr>
                <w:ilvl w:val="0"/>
                <w:numId w:val="0"/>
              </w:numPr>
              <w:spacing w:line="520" w:lineRule="exac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盯死看牢“两客一危”这一突出风险点，扎实推进源头安全隐患清零，重点车辆检验率、报废率、违法处理率提升至99%以上，查处“大吨小标”、非法改装车辆92辆，57座以上大客车、卧铺大客车、“营转非”大客车全部淘汰到位。严格管控重点人员，依法注销吸毒人员和精神病人驾驶证853本。排查事故多发、急弯陡坡、临水临崖、长下坡等隐患路段121处，推动整改责任、措施、资金、时限“四落实”，100%治理到位。全力推进“两站两员”建设，累计建成交管站、劝导站1069个，配备交通安全管理员、劝导员3648人，农村交通安全治理工作进一步巩固。开展交通安全宣传活动3500场，发送宣传资料120万分，发送提示信息550万条，警示曝光违规企业、机动车、驾驶人以及典型案例等1500个。二、</w:t>
            </w:r>
            <w:r>
              <w:rPr>
                <w:rFonts w:hint="eastAsia" w:ascii="仿宋" w:hAnsi="仿宋" w:eastAsia="仿宋" w:cs="仿宋"/>
                <w:b/>
                <w:bCs/>
                <w:sz w:val="18"/>
                <w:szCs w:val="18"/>
                <w:lang w:eastAsia="zh-CN"/>
              </w:rPr>
              <w:t>重拳出击，铁腕治乱，执法管理取得新战果</w:t>
            </w:r>
            <w:r>
              <w:rPr>
                <w:rFonts w:hint="eastAsia" w:ascii="仿宋" w:hAnsi="仿宋" w:eastAsia="仿宋" w:cs="仿宋"/>
                <w:b/>
                <w:bCs/>
                <w:sz w:val="18"/>
                <w:szCs w:val="18"/>
              </w:rPr>
              <w:t>。</w:t>
            </w:r>
            <w:r>
              <w:rPr>
                <w:rFonts w:hint="eastAsia" w:ascii="仿宋" w:hAnsi="仿宋" w:eastAsia="仿宋" w:cs="仿宋"/>
                <w:sz w:val="18"/>
                <w:szCs w:val="18"/>
                <w:lang w:val="en-US" w:eastAsia="zh-CN"/>
              </w:rPr>
              <w:t>最大限度把警力和装备摆上路面，梯次推进交通安全整治“百日会战”、农村地区“百点百队”交通秩序集中整治、“治顽疾、压事故、保平安”百日攻坚、“酒、盔、带”交通违法治理等专项行动，全市查获交通违法行为120万起，其中“百吨王”41起、假牌套牌391起、超载超限6046起、无证驾驶1.8万起、不带安全头盔15.4万起、不系安全带6.5万起，城区头盔佩戴率超过90%，安全带使用率超过95%，暂扣驾驶证3404本，吊销驾驶证1704本，行政拘留581人，查获酒驾醉酒5579起，移送纪检监察部门处理党员、公职人员38人，圆满完成213辆老旧机动车淘汰任务。开展亡人事故深度调查40起，依法处罚企业8家，追究责任43人，有效倒逼了交通安全主体责任落实。</w:t>
            </w:r>
          </w:p>
          <w:p>
            <w:pPr>
              <w:numPr>
                <w:ilvl w:val="0"/>
                <w:numId w:val="0"/>
              </w:numPr>
              <w:spacing w:line="520" w:lineRule="exact"/>
              <w:rPr>
                <w:rFonts w:hint="eastAsia" w:ascii="仿宋" w:hAnsi="仿宋" w:eastAsia="仿宋" w:cs="仿宋"/>
                <w:b/>
                <w:bCs/>
                <w:sz w:val="18"/>
                <w:szCs w:val="18"/>
              </w:rPr>
            </w:pPr>
            <w:r>
              <w:rPr>
                <w:rFonts w:hint="eastAsia" w:ascii="仿宋" w:hAnsi="仿宋" w:eastAsia="仿宋" w:cs="仿宋"/>
                <w:b/>
                <w:bCs/>
                <w:sz w:val="18"/>
                <w:szCs w:val="18"/>
                <w:lang w:eastAsia="zh-CN"/>
              </w:rPr>
              <w:t>三、围绕中心，服务大局，城市治理得到新提升</w:t>
            </w:r>
            <w:r>
              <w:rPr>
                <w:rFonts w:hint="eastAsia" w:ascii="仿宋" w:hAnsi="仿宋" w:eastAsia="仿宋" w:cs="仿宋"/>
                <w:b/>
                <w:bCs/>
                <w:sz w:val="18"/>
                <w:szCs w:val="18"/>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360" w:firstLineChars="200"/>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eastAsia="zh-CN"/>
              </w:rPr>
              <w:t>联合中南大学、湖南城市学院等高等院校，对</w:t>
            </w:r>
            <w:r>
              <w:rPr>
                <w:rFonts w:hint="eastAsia" w:ascii="仿宋" w:hAnsi="仿宋" w:eastAsia="仿宋" w:cs="仿宋"/>
                <w:sz w:val="18"/>
                <w:szCs w:val="18"/>
                <w:lang w:val="en-US" w:eastAsia="zh-CN"/>
              </w:rPr>
              <w:t>31出路口路段优化交通组织，增设行人二次过街设施38处、人行横道信号灯8处，建设公交专用道、非机动车道、人行道等配套标志75套，更新完善交通标志300余处、交通标线5500平方米，中心医院、万海商圈、梓山湖学校、“一园两中心”等地段交通状况不断改善。</w:t>
            </w:r>
            <w:r>
              <w:rPr>
                <w:rFonts w:hint="eastAsia" w:ascii="仿宋" w:hAnsi="仿宋" w:eastAsia="仿宋" w:cs="仿宋"/>
                <w:sz w:val="18"/>
                <w:szCs w:val="18"/>
              </w:rPr>
              <w:t>进一步提升了群众的获得感和满意度。</w:t>
            </w:r>
            <w:r>
              <w:rPr>
                <w:rFonts w:hint="eastAsia" w:ascii="仿宋" w:hAnsi="仿宋" w:eastAsia="仿宋" w:cs="仿宋"/>
                <w:sz w:val="18"/>
                <w:szCs w:val="18"/>
                <w:lang w:eastAsia="zh-CN"/>
              </w:rPr>
              <w:t>全面深化智能交通建设应用，中心城区监控设备增至</w:t>
            </w:r>
            <w:r>
              <w:rPr>
                <w:rFonts w:hint="eastAsia" w:ascii="仿宋" w:hAnsi="仿宋" w:eastAsia="仿宋" w:cs="仿宋"/>
                <w:sz w:val="18"/>
                <w:szCs w:val="18"/>
                <w:lang w:val="en-US" w:eastAsia="zh-CN"/>
              </w:rPr>
              <w:t>1185套，为打击违法、侦破案件、缓解拥堵等提供了技术支撑。</w:t>
            </w:r>
          </w:p>
          <w:p>
            <w:pPr>
              <w:numPr>
                <w:ilvl w:val="0"/>
                <w:numId w:val="0"/>
              </w:numPr>
              <w:spacing w:line="520" w:lineRule="exact"/>
              <w:rPr>
                <w:rFonts w:hint="eastAsia" w:ascii="仿宋" w:hAnsi="仿宋" w:eastAsia="仿宋" w:cs="仿宋"/>
                <w:sz w:val="18"/>
                <w:szCs w:val="18"/>
                <w:highlight w:val="none"/>
                <w:lang w:eastAsia="zh-CN"/>
              </w:rPr>
            </w:pPr>
            <w:r>
              <w:rPr>
                <w:rFonts w:hint="eastAsia" w:ascii="仿宋" w:hAnsi="仿宋" w:eastAsia="仿宋" w:cs="仿宋"/>
                <w:b/>
                <w:bCs/>
                <w:sz w:val="18"/>
                <w:szCs w:val="18"/>
                <w:highlight w:val="none"/>
                <w:lang w:eastAsia="zh-CN"/>
              </w:rPr>
              <w:t>四、严优并举，改革创新，交警队伍展现新形象</w:t>
            </w:r>
            <w:r>
              <w:rPr>
                <w:rFonts w:hint="eastAsia" w:ascii="仿宋" w:hAnsi="仿宋" w:eastAsia="仿宋" w:cs="仿宋"/>
                <w:sz w:val="18"/>
                <w:szCs w:val="18"/>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360" w:firstLineChars="200"/>
              <w:textAlignment w:val="auto"/>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eastAsia="zh-CN"/>
              </w:rPr>
              <w:t>坚持不懈加强政治建警，深入开展队伍教育整顿，在对标落实</w:t>
            </w:r>
            <w:r>
              <w:rPr>
                <w:rFonts w:hint="eastAsia" w:ascii="仿宋" w:hAnsi="仿宋" w:eastAsia="仿宋" w:cs="仿宋"/>
                <w:sz w:val="18"/>
                <w:szCs w:val="18"/>
                <w:highlight w:val="none"/>
                <w:lang w:val="en-US" w:eastAsia="zh-CN"/>
              </w:rPr>
              <w:t>6项规定动作基础上，结合交警实际将“交通标志标线设置不科学、酒驾案件查处不规范、电子警察抄牌不合理、辅警队伍管理不严格、窗口部门服务态度不好”等5项内容纳入整顿范围，共查处问题173个，并立行立改。非现场执法方面，实施“三停六查”措施，坚决杜绝逐利执法行为；酒驾整治方面，制定“六条铁规”，对说情、打招呼、干预执法的一律登记报告，对党员、公职人员酒驾违法的一律移送纪检监察部门处理；交通秩序管理方面，放宽重型载货汽车及挂车、专项作业车、低速货车的夜间通行限制，进一步提供通行便利；交通事故处理方面，落实事故处警双班制、警情信息双推送、轻微事故远程定责、一般事故路面警力先期处置等措施，切实提升了处警速度；车驾管服方面，全面落实公安交警“放管服”改革措施，23项业务集中入驻市民服务中心，全面推广社会机构代办车管业务，广泛开展“流动车管所”上门服务，试点农村派出所办理摩托车牌证，优化了营商环境。特别是车管“一通道查验”“一窗式通办”“一站式服务”经验做法，得到了政法队伍教育整顿省指导组和瞿海书记的高度认可。突出加强典型宣传，大力开展表彰奖励，12个集体、35名个人获市级以上表彰奖励，充分展现了公安交警奋发有为、无私奉献的良好形象。</w:t>
            </w:r>
          </w:p>
          <w:p>
            <w:pPr>
              <w:widowControl/>
              <w:spacing w:line="240" w:lineRule="exact"/>
              <w:ind w:firstLine="308" w:firstLineChars="0"/>
              <w:jc w:val="left"/>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jc w:val="center"/>
        </w:trPr>
        <w:tc>
          <w:tcPr>
            <w:tcW w:w="94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绩</w:t>
            </w:r>
          </w:p>
          <w:p>
            <w:pPr>
              <w:widowControl/>
              <w:spacing w:line="240" w:lineRule="exact"/>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效</w:t>
            </w:r>
          </w:p>
          <w:p>
            <w:pPr>
              <w:widowControl/>
              <w:spacing w:line="240" w:lineRule="exact"/>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指</w:t>
            </w:r>
          </w:p>
          <w:p>
            <w:pPr>
              <w:widowControl/>
              <w:spacing w:line="240" w:lineRule="exact"/>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标</w:t>
            </w: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一级指标</w:t>
            </w:r>
          </w:p>
        </w:tc>
        <w:tc>
          <w:tcPr>
            <w:tcW w:w="655" w:type="dxa"/>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二级指标</w:t>
            </w:r>
          </w:p>
        </w:tc>
        <w:tc>
          <w:tcPr>
            <w:tcW w:w="1756"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三级指标</w:t>
            </w:r>
          </w:p>
        </w:tc>
        <w:tc>
          <w:tcPr>
            <w:tcW w:w="1453" w:type="dxa"/>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w:t>
            </w:r>
          </w:p>
          <w:p>
            <w:pPr>
              <w:widowControl/>
              <w:spacing w:line="240" w:lineRule="exact"/>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指标值</w:t>
            </w:r>
          </w:p>
        </w:tc>
        <w:tc>
          <w:tcPr>
            <w:tcW w:w="1529" w:type="dxa"/>
            <w:tcBorders>
              <w:top w:val="nil"/>
              <w:left w:val="nil"/>
              <w:bottom w:val="single" w:color="auto" w:sz="4" w:space="0"/>
              <w:right w:val="single" w:color="auto" w:sz="4" w:space="0"/>
            </w:tcBorders>
            <w:vAlign w:val="center"/>
          </w:tcPr>
          <w:p>
            <w:pPr>
              <w:widowControl/>
              <w:spacing w:line="240" w:lineRule="exac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实际完成值</w:t>
            </w:r>
          </w:p>
        </w:tc>
        <w:tc>
          <w:tcPr>
            <w:tcW w:w="655" w:type="dxa"/>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分值</w:t>
            </w:r>
          </w:p>
        </w:tc>
        <w:tc>
          <w:tcPr>
            <w:tcW w:w="986" w:type="dxa"/>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得分</w:t>
            </w:r>
          </w:p>
        </w:tc>
        <w:tc>
          <w:tcPr>
            <w:tcW w:w="1069" w:type="dxa"/>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偏差原因</w:t>
            </w:r>
          </w:p>
          <w:p>
            <w:pPr>
              <w:widowControl/>
              <w:spacing w:line="240" w:lineRule="exact"/>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分析及</w:t>
            </w:r>
          </w:p>
          <w:p>
            <w:pPr>
              <w:widowControl/>
              <w:spacing w:line="240" w:lineRule="exact"/>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改进措施</w:t>
            </w:r>
          </w:p>
        </w:tc>
      </w:tr>
      <w:tr>
        <w:tblPrEx>
          <w:tblCellMar>
            <w:top w:w="0" w:type="dxa"/>
            <w:left w:w="108" w:type="dxa"/>
            <w:bottom w:w="0" w:type="dxa"/>
            <w:right w:w="108" w:type="dxa"/>
          </w:tblCellMar>
        </w:tblPrEx>
        <w:trPr>
          <w:jc w:val="center"/>
        </w:trPr>
        <w:tc>
          <w:tcPr>
            <w:tcW w:w="945"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仿宋" w:hAnsi="仿宋" w:eastAsia="仿宋" w:cs="仿宋"/>
                <w:color w:val="000000"/>
                <w:kern w:val="0"/>
                <w:sz w:val="18"/>
                <w:szCs w:val="18"/>
              </w:rPr>
            </w:pPr>
          </w:p>
        </w:tc>
        <w:tc>
          <w:tcPr>
            <w:tcW w:w="94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产出指标</w:t>
            </w:r>
          </w:p>
          <w:p>
            <w:pPr>
              <w:widowControl/>
              <w:spacing w:line="240" w:lineRule="exact"/>
              <w:jc w:val="center"/>
              <w:rPr>
                <w:rFonts w:hint="eastAsia" w:ascii="仿宋" w:hAnsi="仿宋" w:eastAsia="仿宋" w:cs="仿宋"/>
                <w:color w:val="000000"/>
                <w:kern w:val="0"/>
                <w:sz w:val="18"/>
                <w:szCs w:val="18"/>
              </w:rPr>
            </w:pPr>
          </w:p>
          <w:p>
            <w:pPr>
              <w:widowControl/>
              <w:spacing w:line="240" w:lineRule="exact"/>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(50分)</w:t>
            </w:r>
          </w:p>
        </w:tc>
        <w:tc>
          <w:tcPr>
            <w:tcW w:w="65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数量指标</w:t>
            </w:r>
          </w:p>
        </w:tc>
        <w:tc>
          <w:tcPr>
            <w:tcW w:w="175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指标1：</w:t>
            </w:r>
          </w:p>
        </w:tc>
        <w:tc>
          <w:tcPr>
            <w:tcW w:w="145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制定的5个年初目标</w:t>
            </w:r>
          </w:p>
        </w:tc>
        <w:tc>
          <w:tcPr>
            <w:tcW w:w="152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5个年初目标已完成</w:t>
            </w:r>
          </w:p>
        </w:tc>
        <w:tc>
          <w:tcPr>
            <w:tcW w:w="65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15　</w:t>
            </w:r>
          </w:p>
        </w:tc>
        <w:tc>
          <w:tcPr>
            <w:tcW w:w="98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15</w:t>
            </w:r>
          </w:p>
        </w:tc>
        <w:tc>
          <w:tcPr>
            <w:tcW w:w="10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jc w:val="center"/>
        </w:trPr>
        <w:tc>
          <w:tcPr>
            <w:tcW w:w="945" w:type="dxa"/>
            <w:vMerge w:val="continue"/>
            <w:tcBorders>
              <w:top w:val="single" w:color="auto" w:sz="4" w:space="0"/>
              <w:left w:val="single" w:color="auto" w:sz="4" w:space="0"/>
              <w:right w:val="single" w:color="auto" w:sz="4" w:space="0"/>
            </w:tcBorders>
            <w:vAlign w:val="center"/>
          </w:tcPr>
          <w:p>
            <w:pPr>
              <w:spacing w:line="240" w:lineRule="exact"/>
              <w:jc w:val="left"/>
              <w:rPr>
                <w:rFonts w:hint="eastAsia" w:ascii="仿宋" w:hAnsi="仿宋" w:eastAsia="仿宋" w:cs="仿宋"/>
                <w:color w:val="000000"/>
                <w:kern w:val="0"/>
                <w:sz w:val="18"/>
                <w:szCs w:val="18"/>
              </w:rPr>
            </w:pPr>
          </w:p>
        </w:tc>
        <w:tc>
          <w:tcPr>
            <w:tcW w:w="945"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仿宋" w:hAnsi="仿宋" w:eastAsia="仿宋" w:cs="仿宋"/>
                <w:color w:val="000000"/>
                <w:kern w:val="0"/>
                <w:sz w:val="18"/>
                <w:szCs w:val="18"/>
              </w:rPr>
            </w:pPr>
          </w:p>
        </w:tc>
        <w:tc>
          <w:tcPr>
            <w:tcW w:w="65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质量指标</w:t>
            </w:r>
          </w:p>
        </w:tc>
        <w:tc>
          <w:tcPr>
            <w:tcW w:w="175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指标1：</w:t>
            </w:r>
          </w:p>
        </w:tc>
        <w:tc>
          <w:tcPr>
            <w:tcW w:w="1453"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实现年初目标　</w:t>
            </w:r>
          </w:p>
        </w:tc>
        <w:tc>
          <w:tcPr>
            <w:tcW w:w="1529"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5个年初目标已完成，全力保障了道路交通有序、安全、畅通。202</w:t>
            </w:r>
            <w:r>
              <w:rPr>
                <w:rFonts w:hint="eastAsia" w:ascii="仿宋" w:hAnsi="仿宋" w:eastAsia="仿宋" w:cs="仿宋"/>
                <w:color w:val="000000"/>
                <w:kern w:val="0"/>
                <w:sz w:val="18"/>
                <w:szCs w:val="18"/>
                <w:lang w:val="en-US" w:eastAsia="zh-CN"/>
              </w:rPr>
              <w:t>1</w:t>
            </w:r>
            <w:r>
              <w:rPr>
                <w:rFonts w:hint="eastAsia" w:ascii="仿宋" w:hAnsi="仿宋" w:eastAsia="仿宋" w:cs="仿宋"/>
                <w:color w:val="000000"/>
                <w:kern w:val="0"/>
                <w:sz w:val="18"/>
                <w:szCs w:val="18"/>
              </w:rPr>
              <w:t>年全市未发生一次死亡</w:t>
            </w:r>
            <w:r>
              <w:rPr>
                <w:rFonts w:hint="eastAsia" w:ascii="仿宋" w:hAnsi="仿宋" w:eastAsia="仿宋" w:cs="仿宋"/>
                <w:color w:val="000000"/>
                <w:kern w:val="0"/>
                <w:sz w:val="18"/>
                <w:szCs w:val="18"/>
                <w:lang w:val="en-US" w:eastAsia="zh-CN"/>
              </w:rPr>
              <w:t>5</w:t>
            </w:r>
            <w:r>
              <w:rPr>
                <w:rFonts w:hint="eastAsia" w:ascii="仿宋" w:hAnsi="仿宋" w:eastAsia="仿宋" w:cs="仿宋"/>
                <w:color w:val="000000"/>
                <w:kern w:val="0"/>
                <w:sz w:val="18"/>
                <w:szCs w:val="18"/>
              </w:rPr>
              <w:t>人以上的道路交通事故，</w:t>
            </w:r>
            <w:r>
              <w:rPr>
                <w:rFonts w:hint="eastAsia" w:ascii="仿宋" w:hAnsi="仿宋" w:eastAsia="仿宋" w:cs="Times New Roman"/>
                <w:sz w:val="18"/>
                <w:szCs w:val="18"/>
              </w:rPr>
              <w:t>支队在</w:t>
            </w:r>
            <w:r>
              <w:rPr>
                <w:rFonts w:hint="eastAsia" w:ascii="仿宋" w:hAnsi="仿宋" w:eastAsia="仿宋" w:cs="Times New Roman"/>
                <w:sz w:val="18"/>
                <w:szCs w:val="18"/>
                <w:lang w:eastAsia="zh-CN"/>
              </w:rPr>
              <w:t>省公安厅“事故减量控大”和“顽瘴痼疾整治”两个专项警务考评中获得满分，被评为全省公安交警系统深化优秀警队建设优秀单位、全市文明单位和平安单位</w:t>
            </w:r>
            <w:r>
              <w:rPr>
                <w:rFonts w:hint="eastAsia" w:ascii="仿宋" w:hAnsi="仿宋" w:eastAsia="仿宋" w:cs="仿宋"/>
                <w:color w:val="000000"/>
                <w:kern w:val="0"/>
                <w:sz w:val="18"/>
                <w:szCs w:val="18"/>
              </w:rPr>
              <w:t>。</w:t>
            </w:r>
          </w:p>
        </w:tc>
        <w:tc>
          <w:tcPr>
            <w:tcW w:w="655"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15</w:t>
            </w:r>
          </w:p>
        </w:tc>
        <w:tc>
          <w:tcPr>
            <w:tcW w:w="986"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15</w:t>
            </w:r>
          </w:p>
        </w:tc>
        <w:tc>
          <w:tcPr>
            <w:tcW w:w="1069"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jc w:val="center"/>
        </w:trPr>
        <w:tc>
          <w:tcPr>
            <w:tcW w:w="945" w:type="dxa"/>
            <w:vMerge w:val="continue"/>
            <w:tcBorders>
              <w:left w:val="single" w:color="auto" w:sz="4" w:space="0"/>
              <w:right w:val="single" w:color="auto" w:sz="4" w:space="0"/>
            </w:tcBorders>
            <w:vAlign w:val="center"/>
          </w:tcPr>
          <w:p>
            <w:pPr>
              <w:spacing w:line="240" w:lineRule="exact"/>
              <w:jc w:val="left"/>
              <w:rPr>
                <w:rFonts w:hint="eastAsia" w:ascii="仿宋" w:hAnsi="仿宋" w:eastAsia="仿宋" w:cs="仿宋"/>
                <w:color w:val="000000"/>
                <w:kern w:val="0"/>
                <w:sz w:val="18"/>
                <w:szCs w:val="18"/>
              </w:rPr>
            </w:pPr>
          </w:p>
        </w:tc>
        <w:tc>
          <w:tcPr>
            <w:tcW w:w="945"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hint="eastAsia" w:ascii="仿宋" w:hAnsi="仿宋" w:eastAsia="仿宋" w:cs="仿宋"/>
                <w:color w:val="000000"/>
                <w:kern w:val="0"/>
                <w:sz w:val="18"/>
                <w:szCs w:val="18"/>
              </w:rPr>
            </w:pPr>
          </w:p>
        </w:tc>
        <w:tc>
          <w:tcPr>
            <w:tcW w:w="65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时效指标</w:t>
            </w:r>
          </w:p>
        </w:tc>
        <w:tc>
          <w:tcPr>
            <w:tcW w:w="1756" w:type="dxa"/>
            <w:gridSpan w:val="2"/>
            <w:tcBorders>
              <w:top w:val="nil"/>
              <w:left w:val="single" w:color="auto" w:sz="4" w:space="0"/>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指标1：</w:t>
            </w:r>
          </w:p>
        </w:tc>
        <w:tc>
          <w:tcPr>
            <w:tcW w:w="1453" w:type="dxa"/>
            <w:tcBorders>
              <w:top w:val="nil"/>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年底前完成年初目标</w:t>
            </w:r>
          </w:p>
        </w:tc>
        <w:tc>
          <w:tcPr>
            <w:tcW w:w="1529" w:type="dxa"/>
            <w:tcBorders>
              <w:top w:val="nil"/>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全年目标已在年底前完成</w:t>
            </w:r>
          </w:p>
        </w:tc>
        <w:tc>
          <w:tcPr>
            <w:tcW w:w="655" w:type="dxa"/>
            <w:tcBorders>
              <w:top w:val="nil"/>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10</w:t>
            </w:r>
          </w:p>
        </w:tc>
        <w:tc>
          <w:tcPr>
            <w:tcW w:w="986" w:type="dxa"/>
            <w:tcBorders>
              <w:top w:val="nil"/>
              <w:left w:val="nil"/>
              <w:bottom w:val="single" w:color="auto" w:sz="4" w:space="0"/>
              <w:right w:val="single" w:color="auto" w:sz="4" w:space="0"/>
            </w:tcBorders>
            <w:vAlign w:val="center"/>
          </w:tcPr>
          <w:p>
            <w:pPr>
              <w:widowControl/>
              <w:spacing w:line="240" w:lineRule="exact"/>
              <w:jc w:val="left"/>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val="en-US" w:eastAsia="zh-CN"/>
              </w:rPr>
              <w:t>10</w:t>
            </w:r>
          </w:p>
        </w:tc>
        <w:tc>
          <w:tcPr>
            <w:tcW w:w="1069" w:type="dxa"/>
            <w:tcBorders>
              <w:top w:val="nil"/>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jc w:val="center"/>
        </w:trPr>
        <w:tc>
          <w:tcPr>
            <w:tcW w:w="945" w:type="dxa"/>
            <w:vMerge w:val="continue"/>
            <w:tcBorders>
              <w:left w:val="single" w:color="auto" w:sz="4" w:space="0"/>
              <w:right w:val="single" w:color="auto" w:sz="4" w:space="0"/>
            </w:tcBorders>
            <w:vAlign w:val="center"/>
          </w:tcPr>
          <w:p>
            <w:pPr>
              <w:spacing w:line="240" w:lineRule="exact"/>
              <w:jc w:val="left"/>
              <w:rPr>
                <w:rFonts w:ascii="仿宋" w:hAnsi="仿宋" w:eastAsia="仿宋"/>
                <w:color w:val="000000"/>
                <w:kern w:val="0"/>
                <w:sz w:val="18"/>
                <w:szCs w:val="18"/>
              </w:rPr>
            </w:pPr>
          </w:p>
        </w:tc>
        <w:tc>
          <w:tcPr>
            <w:tcW w:w="945"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仿宋" w:hAnsi="仿宋" w:eastAsia="仿宋"/>
                <w:color w:val="000000"/>
                <w:kern w:val="0"/>
                <w:sz w:val="18"/>
                <w:szCs w:val="18"/>
              </w:rPr>
            </w:pPr>
          </w:p>
        </w:tc>
        <w:tc>
          <w:tcPr>
            <w:tcW w:w="65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olor w:val="000000"/>
                <w:kern w:val="0"/>
                <w:sz w:val="18"/>
                <w:szCs w:val="18"/>
              </w:rPr>
            </w:pPr>
            <w:r>
              <w:rPr>
                <w:rFonts w:ascii="仿宋" w:hAnsi="仿宋" w:eastAsia="仿宋"/>
                <w:color w:val="000000"/>
                <w:kern w:val="0"/>
                <w:sz w:val="18"/>
                <w:szCs w:val="18"/>
              </w:rPr>
              <w:t>成本指标</w:t>
            </w:r>
          </w:p>
        </w:tc>
        <w:tc>
          <w:tcPr>
            <w:tcW w:w="1756" w:type="dxa"/>
            <w:gridSpan w:val="2"/>
            <w:tcBorders>
              <w:top w:val="nil"/>
              <w:left w:val="nil"/>
              <w:bottom w:val="single" w:color="auto" w:sz="4" w:space="0"/>
              <w:right w:val="single" w:color="auto" w:sz="4" w:space="0"/>
            </w:tcBorders>
            <w:vAlign w:val="center"/>
          </w:tcPr>
          <w:p>
            <w:pPr>
              <w:widowControl/>
              <w:spacing w:line="240" w:lineRule="exact"/>
              <w:jc w:val="left"/>
              <w:rPr>
                <w:rFonts w:ascii="仿宋" w:hAnsi="仿宋" w:eastAsia="仿宋"/>
                <w:color w:val="000000"/>
                <w:kern w:val="0"/>
                <w:sz w:val="18"/>
                <w:szCs w:val="18"/>
              </w:rPr>
            </w:pPr>
            <w:r>
              <w:rPr>
                <w:rFonts w:ascii="仿宋" w:hAnsi="仿宋" w:eastAsia="仿宋"/>
                <w:color w:val="000000"/>
                <w:kern w:val="0"/>
                <w:sz w:val="18"/>
                <w:szCs w:val="18"/>
              </w:rPr>
              <w:t>指标1：</w:t>
            </w:r>
          </w:p>
        </w:tc>
        <w:tc>
          <w:tcPr>
            <w:tcW w:w="1453" w:type="dxa"/>
            <w:tcBorders>
              <w:top w:val="nil"/>
              <w:left w:val="nil"/>
              <w:bottom w:val="single" w:color="auto" w:sz="4" w:space="0"/>
              <w:right w:val="single" w:color="auto" w:sz="4" w:space="0"/>
            </w:tcBorders>
            <w:vAlign w:val="center"/>
          </w:tcPr>
          <w:p>
            <w:pPr>
              <w:widowControl/>
              <w:spacing w:line="240" w:lineRule="exact"/>
              <w:jc w:val="left"/>
              <w:rPr>
                <w:rFonts w:ascii="仿宋" w:hAnsi="仿宋" w:eastAsia="仿宋"/>
                <w:color w:val="000000"/>
                <w:kern w:val="0"/>
                <w:sz w:val="18"/>
                <w:szCs w:val="18"/>
              </w:rPr>
            </w:pPr>
            <w:r>
              <w:rPr>
                <w:rFonts w:ascii="仿宋" w:hAnsi="仿宋" w:eastAsia="仿宋"/>
                <w:color w:val="000000"/>
                <w:kern w:val="0"/>
                <w:sz w:val="18"/>
                <w:szCs w:val="18"/>
              </w:rPr>
              <w:t>　</w:t>
            </w:r>
            <w:r>
              <w:rPr>
                <w:rFonts w:hint="eastAsia" w:ascii="仿宋" w:hAnsi="仿宋" w:eastAsia="仿宋"/>
                <w:color w:val="000000"/>
                <w:kern w:val="0"/>
                <w:sz w:val="18"/>
                <w:szCs w:val="18"/>
              </w:rPr>
              <w:t>厉行节约，不超过预算</w:t>
            </w:r>
          </w:p>
        </w:tc>
        <w:tc>
          <w:tcPr>
            <w:tcW w:w="1529" w:type="dxa"/>
            <w:tcBorders>
              <w:top w:val="nil"/>
              <w:left w:val="nil"/>
              <w:bottom w:val="single" w:color="auto" w:sz="4" w:space="0"/>
              <w:right w:val="single" w:color="auto" w:sz="4" w:space="0"/>
            </w:tcBorders>
            <w:vAlign w:val="center"/>
          </w:tcPr>
          <w:p>
            <w:pPr>
              <w:widowControl/>
              <w:spacing w:line="240" w:lineRule="exact"/>
              <w:jc w:val="left"/>
              <w:rPr>
                <w:rFonts w:ascii="仿宋" w:hAnsi="仿宋" w:eastAsia="仿宋"/>
                <w:color w:val="000000"/>
                <w:kern w:val="0"/>
                <w:sz w:val="18"/>
                <w:szCs w:val="18"/>
              </w:rPr>
            </w:pPr>
            <w:r>
              <w:rPr>
                <w:rFonts w:hint="eastAsia" w:ascii="仿宋" w:hAnsi="仿宋" w:eastAsia="仿宋"/>
                <w:color w:val="000000"/>
                <w:kern w:val="0"/>
                <w:sz w:val="18"/>
                <w:szCs w:val="18"/>
              </w:rPr>
              <w:t>未超过预算</w:t>
            </w:r>
          </w:p>
        </w:tc>
        <w:tc>
          <w:tcPr>
            <w:tcW w:w="655" w:type="dxa"/>
            <w:tcBorders>
              <w:top w:val="nil"/>
              <w:left w:val="nil"/>
              <w:bottom w:val="single" w:color="auto" w:sz="4" w:space="0"/>
              <w:right w:val="single" w:color="auto" w:sz="4" w:space="0"/>
            </w:tcBorders>
            <w:vAlign w:val="center"/>
          </w:tcPr>
          <w:p>
            <w:pPr>
              <w:widowControl/>
              <w:spacing w:line="240" w:lineRule="exact"/>
              <w:jc w:val="left"/>
              <w:rPr>
                <w:rFonts w:ascii="仿宋" w:hAnsi="仿宋" w:eastAsia="仿宋"/>
                <w:color w:val="000000"/>
                <w:kern w:val="0"/>
                <w:sz w:val="18"/>
                <w:szCs w:val="18"/>
              </w:rPr>
            </w:pPr>
            <w:r>
              <w:rPr>
                <w:rFonts w:ascii="仿宋" w:hAnsi="仿宋" w:eastAsia="仿宋"/>
                <w:color w:val="000000"/>
                <w:kern w:val="0"/>
                <w:sz w:val="18"/>
                <w:szCs w:val="18"/>
              </w:rPr>
              <w:t>　</w:t>
            </w:r>
            <w:r>
              <w:rPr>
                <w:rFonts w:hint="eastAsia" w:ascii="仿宋" w:hAnsi="仿宋" w:eastAsia="仿宋"/>
                <w:color w:val="000000"/>
                <w:kern w:val="0"/>
                <w:sz w:val="18"/>
                <w:szCs w:val="18"/>
              </w:rPr>
              <w:t>10</w:t>
            </w:r>
          </w:p>
        </w:tc>
        <w:tc>
          <w:tcPr>
            <w:tcW w:w="986" w:type="dxa"/>
            <w:tcBorders>
              <w:top w:val="nil"/>
              <w:left w:val="nil"/>
              <w:bottom w:val="single" w:color="auto" w:sz="4" w:space="0"/>
              <w:right w:val="single" w:color="auto" w:sz="4" w:space="0"/>
            </w:tcBorders>
            <w:vAlign w:val="center"/>
          </w:tcPr>
          <w:p>
            <w:pPr>
              <w:widowControl/>
              <w:spacing w:line="240" w:lineRule="exact"/>
              <w:jc w:val="left"/>
              <w:rPr>
                <w:rFonts w:hint="default" w:ascii="仿宋" w:hAnsi="仿宋" w:eastAsia="仿宋"/>
                <w:color w:val="000000"/>
                <w:kern w:val="0"/>
                <w:sz w:val="18"/>
                <w:szCs w:val="18"/>
                <w:lang w:val="en-US" w:eastAsia="zh-CN"/>
              </w:rPr>
            </w:pPr>
            <w:r>
              <w:rPr>
                <w:rFonts w:ascii="仿宋" w:hAnsi="仿宋" w:eastAsia="仿宋"/>
                <w:color w:val="000000"/>
                <w:kern w:val="0"/>
                <w:sz w:val="18"/>
                <w:szCs w:val="18"/>
              </w:rPr>
              <w:t>　</w:t>
            </w:r>
            <w:r>
              <w:rPr>
                <w:rFonts w:hint="eastAsia" w:ascii="仿宋" w:hAnsi="仿宋" w:eastAsia="仿宋"/>
                <w:color w:val="000000"/>
                <w:kern w:val="0"/>
                <w:sz w:val="18"/>
                <w:szCs w:val="18"/>
                <w:lang w:val="en-US" w:eastAsia="zh-CN"/>
              </w:rPr>
              <w:t>10</w:t>
            </w:r>
          </w:p>
        </w:tc>
        <w:tc>
          <w:tcPr>
            <w:tcW w:w="1069" w:type="dxa"/>
            <w:tcBorders>
              <w:top w:val="nil"/>
              <w:left w:val="nil"/>
              <w:bottom w:val="single" w:color="auto" w:sz="4" w:space="0"/>
              <w:right w:val="single" w:color="auto" w:sz="4" w:space="0"/>
            </w:tcBorders>
            <w:vAlign w:val="center"/>
          </w:tcPr>
          <w:p>
            <w:pPr>
              <w:widowControl/>
              <w:spacing w:line="240" w:lineRule="exact"/>
              <w:jc w:val="left"/>
              <w:rPr>
                <w:rFonts w:ascii="仿宋" w:hAnsi="仿宋" w:eastAsia="仿宋"/>
                <w:color w:val="000000"/>
                <w:kern w:val="0"/>
                <w:sz w:val="18"/>
                <w:szCs w:val="18"/>
              </w:rPr>
            </w:pPr>
          </w:p>
        </w:tc>
      </w:tr>
      <w:tr>
        <w:tblPrEx>
          <w:tblCellMar>
            <w:top w:w="0" w:type="dxa"/>
            <w:left w:w="108" w:type="dxa"/>
            <w:bottom w:w="0" w:type="dxa"/>
            <w:right w:w="108" w:type="dxa"/>
          </w:tblCellMar>
        </w:tblPrEx>
        <w:trPr>
          <w:jc w:val="center"/>
        </w:trPr>
        <w:tc>
          <w:tcPr>
            <w:tcW w:w="945" w:type="dxa"/>
            <w:vMerge w:val="continue"/>
            <w:tcBorders>
              <w:left w:val="single" w:color="auto" w:sz="4" w:space="0"/>
              <w:right w:val="single" w:color="auto" w:sz="4" w:space="0"/>
            </w:tcBorders>
            <w:vAlign w:val="center"/>
          </w:tcPr>
          <w:p>
            <w:pPr>
              <w:spacing w:line="240" w:lineRule="exact"/>
              <w:jc w:val="left"/>
              <w:rPr>
                <w:rFonts w:ascii="仿宋" w:hAnsi="仿宋" w:eastAsia="仿宋"/>
                <w:color w:val="000000"/>
                <w:kern w:val="0"/>
                <w:sz w:val="18"/>
                <w:szCs w:val="18"/>
              </w:rPr>
            </w:pPr>
          </w:p>
        </w:tc>
        <w:tc>
          <w:tcPr>
            <w:tcW w:w="945" w:type="dxa"/>
            <w:vMerge w:val="restart"/>
            <w:tcBorders>
              <w:top w:val="single" w:color="auto" w:sz="4" w:space="0"/>
              <w:left w:val="nil"/>
              <w:right w:val="single" w:color="auto" w:sz="4" w:space="0"/>
            </w:tcBorders>
            <w:vAlign w:val="center"/>
          </w:tcPr>
          <w:p>
            <w:pPr>
              <w:widowControl/>
              <w:spacing w:line="240" w:lineRule="exact"/>
              <w:jc w:val="left"/>
              <w:rPr>
                <w:rFonts w:ascii="仿宋" w:hAnsi="仿宋" w:eastAsia="仿宋"/>
                <w:color w:val="000000"/>
                <w:kern w:val="0"/>
                <w:sz w:val="18"/>
                <w:szCs w:val="18"/>
              </w:rPr>
            </w:pPr>
            <w:r>
              <w:rPr>
                <w:rFonts w:ascii="仿宋" w:hAnsi="仿宋" w:eastAsia="仿宋"/>
                <w:color w:val="000000"/>
                <w:kern w:val="0"/>
                <w:sz w:val="18"/>
                <w:szCs w:val="18"/>
              </w:rPr>
              <w:t>效益指标</w:t>
            </w:r>
          </w:p>
          <w:p>
            <w:pPr>
              <w:widowControl/>
              <w:spacing w:line="240" w:lineRule="exact"/>
              <w:jc w:val="left"/>
              <w:rPr>
                <w:rFonts w:ascii="仿宋" w:hAnsi="仿宋" w:eastAsia="仿宋"/>
                <w:color w:val="000000"/>
                <w:kern w:val="0"/>
                <w:sz w:val="18"/>
                <w:szCs w:val="18"/>
              </w:rPr>
            </w:pPr>
          </w:p>
          <w:p>
            <w:pPr>
              <w:widowControl/>
              <w:spacing w:line="240" w:lineRule="exact"/>
              <w:jc w:val="left"/>
              <w:rPr>
                <w:rFonts w:ascii="仿宋" w:hAnsi="仿宋" w:eastAsia="仿宋"/>
                <w:color w:val="000000"/>
                <w:kern w:val="0"/>
                <w:sz w:val="18"/>
                <w:szCs w:val="18"/>
              </w:rPr>
            </w:pPr>
            <w:r>
              <w:rPr>
                <w:rFonts w:ascii="仿宋" w:hAnsi="仿宋" w:eastAsia="仿宋"/>
                <w:color w:val="000000"/>
                <w:kern w:val="0"/>
                <w:sz w:val="18"/>
                <w:szCs w:val="18"/>
              </w:rPr>
              <w:t>（</w:t>
            </w:r>
            <w:r>
              <w:rPr>
                <w:rFonts w:hint="eastAsia" w:ascii="仿宋" w:hAnsi="仿宋" w:eastAsia="仿宋"/>
                <w:color w:val="000000"/>
                <w:kern w:val="0"/>
                <w:sz w:val="18"/>
                <w:szCs w:val="18"/>
              </w:rPr>
              <w:t>2</w:t>
            </w:r>
            <w:r>
              <w:rPr>
                <w:rFonts w:ascii="仿宋" w:hAnsi="仿宋" w:eastAsia="仿宋"/>
                <w:color w:val="000000"/>
                <w:kern w:val="0"/>
                <w:sz w:val="18"/>
                <w:szCs w:val="18"/>
              </w:rPr>
              <w:t>0分）</w:t>
            </w:r>
          </w:p>
        </w:tc>
        <w:tc>
          <w:tcPr>
            <w:tcW w:w="65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olor w:val="000000"/>
                <w:kern w:val="0"/>
                <w:sz w:val="18"/>
                <w:szCs w:val="18"/>
              </w:rPr>
            </w:pPr>
            <w:r>
              <w:rPr>
                <w:rFonts w:ascii="仿宋" w:hAnsi="仿宋" w:eastAsia="仿宋"/>
                <w:color w:val="000000"/>
                <w:kern w:val="0"/>
                <w:sz w:val="18"/>
                <w:szCs w:val="18"/>
              </w:rPr>
              <w:t>经济效</w:t>
            </w:r>
          </w:p>
          <w:p>
            <w:pPr>
              <w:widowControl/>
              <w:spacing w:line="240" w:lineRule="exact"/>
              <w:jc w:val="center"/>
              <w:rPr>
                <w:rFonts w:ascii="仿宋" w:hAnsi="仿宋" w:eastAsia="仿宋"/>
                <w:color w:val="000000"/>
                <w:kern w:val="0"/>
                <w:sz w:val="18"/>
                <w:szCs w:val="18"/>
              </w:rPr>
            </w:pPr>
            <w:r>
              <w:rPr>
                <w:rFonts w:ascii="仿宋" w:hAnsi="仿宋" w:eastAsia="仿宋"/>
                <w:color w:val="000000"/>
                <w:kern w:val="0"/>
                <w:sz w:val="18"/>
                <w:szCs w:val="18"/>
              </w:rPr>
              <w:t>益指标</w:t>
            </w:r>
          </w:p>
        </w:tc>
        <w:tc>
          <w:tcPr>
            <w:tcW w:w="1756"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olor w:val="000000"/>
                <w:kern w:val="0"/>
                <w:sz w:val="18"/>
                <w:szCs w:val="18"/>
              </w:rPr>
            </w:pPr>
            <w:r>
              <w:rPr>
                <w:rFonts w:ascii="仿宋" w:hAnsi="仿宋" w:eastAsia="仿宋"/>
                <w:color w:val="000000"/>
                <w:kern w:val="0"/>
                <w:sz w:val="18"/>
                <w:szCs w:val="18"/>
              </w:rPr>
              <w:t>指标1：</w:t>
            </w:r>
          </w:p>
        </w:tc>
        <w:tc>
          <w:tcPr>
            <w:tcW w:w="1453" w:type="dxa"/>
            <w:tcBorders>
              <w:top w:val="nil"/>
              <w:left w:val="nil"/>
              <w:bottom w:val="single" w:color="auto" w:sz="4" w:space="0"/>
              <w:right w:val="single" w:color="auto" w:sz="4" w:space="0"/>
            </w:tcBorders>
            <w:vAlign w:val="center"/>
          </w:tcPr>
          <w:p>
            <w:pPr>
              <w:widowControl/>
              <w:spacing w:line="240" w:lineRule="exact"/>
              <w:jc w:val="left"/>
              <w:rPr>
                <w:rFonts w:hint="eastAsia" w:ascii="仿宋" w:hAnsi="仿宋" w:eastAsia="仿宋"/>
                <w:color w:val="000000"/>
                <w:kern w:val="0"/>
                <w:sz w:val="18"/>
                <w:szCs w:val="18"/>
                <w:lang w:eastAsia="zh-CN"/>
              </w:rPr>
            </w:pPr>
            <w:r>
              <w:rPr>
                <w:rFonts w:hint="default" w:ascii="Calibri" w:hAnsi="Calibri" w:eastAsia="仿宋" w:cs="Calibri"/>
                <w:color w:val="000000"/>
                <w:kern w:val="0"/>
                <w:sz w:val="18"/>
                <w:szCs w:val="18"/>
                <w:lang w:eastAsia="zh-CN"/>
              </w:rPr>
              <w:t>①</w:t>
            </w:r>
            <w:r>
              <w:rPr>
                <w:rFonts w:hint="eastAsia" w:ascii="仿宋" w:hAnsi="仿宋" w:eastAsia="仿宋"/>
                <w:color w:val="000000"/>
                <w:kern w:val="0"/>
                <w:sz w:val="18"/>
                <w:szCs w:val="18"/>
                <w:lang w:eastAsia="zh-CN"/>
              </w:rPr>
              <w:t>维护</w:t>
            </w:r>
            <w:r>
              <w:rPr>
                <w:rFonts w:hint="eastAsia" w:ascii="仿宋" w:hAnsi="仿宋" w:eastAsia="仿宋"/>
                <w:color w:val="000000"/>
                <w:kern w:val="0"/>
                <w:sz w:val="18"/>
                <w:szCs w:val="18"/>
              </w:rPr>
              <w:t>交通秩序，减少交通事故，为国家与人民群众减少不必要的财产损失。</w:t>
            </w:r>
            <w:r>
              <w:rPr>
                <w:rFonts w:hint="default" w:ascii="Calibri" w:hAnsi="Calibri" w:eastAsia="仿宋" w:cs="Calibri"/>
                <w:color w:val="000000"/>
                <w:kern w:val="0"/>
                <w:sz w:val="18"/>
                <w:szCs w:val="18"/>
              </w:rPr>
              <w:t>②</w:t>
            </w:r>
            <w:r>
              <w:rPr>
                <w:rFonts w:hint="eastAsia" w:ascii="仿宋" w:hAnsi="仿宋" w:eastAsia="仿宋"/>
                <w:color w:val="000000"/>
                <w:kern w:val="0"/>
                <w:sz w:val="18"/>
                <w:szCs w:val="18"/>
                <w:lang w:eastAsia="zh-CN"/>
              </w:rPr>
              <w:t>完成非税收入目标</w:t>
            </w:r>
          </w:p>
        </w:tc>
        <w:tc>
          <w:tcPr>
            <w:tcW w:w="1529" w:type="dxa"/>
            <w:tcBorders>
              <w:top w:val="nil"/>
              <w:left w:val="nil"/>
              <w:bottom w:val="single" w:color="auto" w:sz="4" w:space="0"/>
              <w:right w:val="single" w:color="auto" w:sz="4" w:space="0"/>
            </w:tcBorders>
            <w:vAlign w:val="center"/>
          </w:tcPr>
          <w:p>
            <w:pPr>
              <w:widowControl/>
              <w:spacing w:line="240" w:lineRule="exact"/>
              <w:jc w:val="left"/>
              <w:rPr>
                <w:rFonts w:hint="default" w:ascii="仿宋" w:hAnsi="仿宋" w:eastAsia="仿宋"/>
                <w:color w:val="000000"/>
                <w:kern w:val="0"/>
                <w:sz w:val="18"/>
                <w:szCs w:val="18"/>
                <w:lang w:val="en-US" w:eastAsia="zh-CN"/>
              </w:rPr>
            </w:pPr>
            <w:r>
              <w:rPr>
                <w:rFonts w:ascii="仿宋" w:hAnsi="仿宋" w:eastAsia="仿宋"/>
                <w:color w:val="000000"/>
                <w:kern w:val="0"/>
                <w:sz w:val="18"/>
                <w:szCs w:val="18"/>
              </w:rPr>
              <w:t>　</w:t>
            </w:r>
            <w:r>
              <w:rPr>
                <w:rFonts w:hint="eastAsia" w:ascii="仿宋" w:hAnsi="仿宋" w:eastAsia="仿宋"/>
                <w:color w:val="000000"/>
                <w:kern w:val="0"/>
                <w:sz w:val="18"/>
                <w:szCs w:val="18"/>
              </w:rPr>
              <w:t>已达更好的维护交通秩序，减少交通事故，为国家与人民群众减少不必要的财产损失的目的。</w:t>
            </w:r>
            <w:r>
              <w:rPr>
                <w:rFonts w:hint="eastAsia" w:ascii="仿宋" w:hAnsi="仿宋" w:eastAsia="仿宋"/>
                <w:color w:val="000000"/>
                <w:kern w:val="0"/>
                <w:sz w:val="18"/>
                <w:szCs w:val="18"/>
                <w:lang w:eastAsia="zh-CN"/>
              </w:rPr>
              <w:t>全年完成非税收入</w:t>
            </w:r>
            <w:r>
              <w:rPr>
                <w:rFonts w:hint="eastAsia" w:ascii="仿宋" w:hAnsi="仿宋" w:eastAsia="仿宋"/>
                <w:color w:val="000000"/>
                <w:kern w:val="0"/>
                <w:sz w:val="18"/>
                <w:szCs w:val="18"/>
                <w:lang w:val="en-US" w:eastAsia="zh-CN"/>
              </w:rPr>
              <w:t>8764万元</w:t>
            </w:r>
          </w:p>
        </w:tc>
        <w:tc>
          <w:tcPr>
            <w:tcW w:w="655" w:type="dxa"/>
            <w:tcBorders>
              <w:top w:val="nil"/>
              <w:left w:val="nil"/>
              <w:bottom w:val="single" w:color="auto" w:sz="4" w:space="0"/>
              <w:right w:val="single" w:color="auto" w:sz="4" w:space="0"/>
            </w:tcBorders>
            <w:vAlign w:val="center"/>
          </w:tcPr>
          <w:p>
            <w:pPr>
              <w:widowControl/>
              <w:spacing w:line="240" w:lineRule="exact"/>
              <w:ind w:firstLine="180" w:firstLineChars="100"/>
              <w:jc w:val="left"/>
              <w:rPr>
                <w:rFonts w:ascii="仿宋" w:hAnsi="仿宋" w:eastAsia="仿宋"/>
                <w:color w:val="000000"/>
                <w:kern w:val="0"/>
                <w:sz w:val="18"/>
                <w:szCs w:val="18"/>
              </w:rPr>
            </w:pPr>
            <w:r>
              <w:rPr>
                <w:rFonts w:hint="eastAsia" w:ascii="仿宋" w:hAnsi="仿宋" w:eastAsia="仿宋"/>
                <w:color w:val="000000"/>
                <w:kern w:val="0"/>
                <w:sz w:val="18"/>
                <w:szCs w:val="18"/>
              </w:rPr>
              <w:t>10</w:t>
            </w:r>
          </w:p>
        </w:tc>
        <w:tc>
          <w:tcPr>
            <w:tcW w:w="986" w:type="dxa"/>
            <w:tcBorders>
              <w:top w:val="nil"/>
              <w:left w:val="nil"/>
              <w:bottom w:val="single" w:color="auto" w:sz="4" w:space="0"/>
              <w:right w:val="single" w:color="auto" w:sz="4" w:space="0"/>
            </w:tcBorders>
            <w:vAlign w:val="center"/>
          </w:tcPr>
          <w:p>
            <w:pPr>
              <w:widowControl/>
              <w:spacing w:line="240" w:lineRule="exact"/>
              <w:ind w:firstLine="180" w:firstLineChars="100"/>
              <w:jc w:val="left"/>
              <w:rPr>
                <w:rFonts w:ascii="仿宋" w:hAnsi="仿宋" w:eastAsia="仿宋"/>
                <w:color w:val="000000"/>
                <w:kern w:val="0"/>
                <w:sz w:val="18"/>
                <w:szCs w:val="18"/>
              </w:rPr>
            </w:pPr>
            <w:r>
              <w:rPr>
                <w:rFonts w:hint="eastAsia" w:ascii="仿宋" w:hAnsi="仿宋" w:eastAsia="仿宋"/>
                <w:color w:val="000000"/>
                <w:kern w:val="0"/>
                <w:sz w:val="18"/>
                <w:szCs w:val="18"/>
              </w:rPr>
              <w:t>10</w:t>
            </w:r>
          </w:p>
        </w:tc>
        <w:tc>
          <w:tcPr>
            <w:tcW w:w="1069" w:type="dxa"/>
            <w:tcBorders>
              <w:top w:val="nil"/>
              <w:left w:val="nil"/>
              <w:bottom w:val="single" w:color="auto" w:sz="4" w:space="0"/>
              <w:right w:val="single" w:color="auto" w:sz="4" w:space="0"/>
            </w:tcBorders>
            <w:vAlign w:val="center"/>
          </w:tcPr>
          <w:p>
            <w:pPr>
              <w:widowControl/>
              <w:spacing w:line="240" w:lineRule="exact"/>
              <w:jc w:val="left"/>
              <w:rPr>
                <w:rFonts w:ascii="仿宋" w:hAnsi="仿宋" w:eastAsia="仿宋"/>
                <w:color w:val="000000"/>
                <w:kern w:val="0"/>
                <w:sz w:val="18"/>
                <w:szCs w:val="18"/>
              </w:rPr>
            </w:pPr>
            <w:r>
              <w:rPr>
                <w:rFonts w:ascii="仿宋" w:hAnsi="仿宋" w:eastAsia="仿宋"/>
                <w:color w:val="000000"/>
                <w:kern w:val="0"/>
                <w:sz w:val="18"/>
                <w:szCs w:val="18"/>
              </w:rPr>
              <w:t>　</w:t>
            </w:r>
          </w:p>
        </w:tc>
      </w:tr>
      <w:tr>
        <w:tblPrEx>
          <w:tblCellMar>
            <w:top w:w="0" w:type="dxa"/>
            <w:left w:w="108" w:type="dxa"/>
            <w:bottom w:w="0" w:type="dxa"/>
            <w:right w:w="108" w:type="dxa"/>
          </w:tblCellMar>
        </w:tblPrEx>
        <w:trPr>
          <w:jc w:val="center"/>
        </w:trPr>
        <w:tc>
          <w:tcPr>
            <w:tcW w:w="945" w:type="dxa"/>
            <w:vMerge w:val="continue"/>
            <w:tcBorders>
              <w:left w:val="single" w:color="auto" w:sz="4" w:space="0"/>
              <w:right w:val="single" w:color="auto" w:sz="4" w:space="0"/>
            </w:tcBorders>
            <w:vAlign w:val="center"/>
          </w:tcPr>
          <w:p>
            <w:pPr>
              <w:spacing w:line="240" w:lineRule="exact"/>
              <w:jc w:val="left"/>
              <w:rPr>
                <w:rFonts w:ascii="仿宋" w:hAnsi="仿宋" w:eastAsia="仿宋"/>
                <w:color w:val="000000"/>
                <w:kern w:val="0"/>
                <w:sz w:val="18"/>
                <w:szCs w:val="18"/>
              </w:rPr>
            </w:pPr>
          </w:p>
        </w:tc>
        <w:tc>
          <w:tcPr>
            <w:tcW w:w="945" w:type="dxa"/>
            <w:vMerge w:val="continue"/>
            <w:tcBorders>
              <w:left w:val="nil"/>
              <w:right w:val="single" w:color="auto" w:sz="4" w:space="0"/>
            </w:tcBorders>
            <w:vAlign w:val="center"/>
          </w:tcPr>
          <w:p>
            <w:pPr>
              <w:spacing w:line="240" w:lineRule="exact"/>
              <w:jc w:val="left"/>
              <w:rPr>
                <w:rFonts w:ascii="仿宋" w:hAnsi="仿宋" w:eastAsia="仿宋"/>
                <w:color w:val="000000"/>
                <w:kern w:val="0"/>
                <w:sz w:val="18"/>
                <w:szCs w:val="18"/>
              </w:rPr>
            </w:pPr>
          </w:p>
        </w:tc>
        <w:tc>
          <w:tcPr>
            <w:tcW w:w="655" w:type="dxa"/>
            <w:tcBorders>
              <w:top w:val="single" w:color="auto" w:sz="4" w:space="0"/>
              <w:left w:val="nil"/>
              <w:right w:val="single" w:color="auto" w:sz="4" w:space="0"/>
            </w:tcBorders>
            <w:vAlign w:val="center"/>
          </w:tcPr>
          <w:p>
            <w:pPr>
              <w:widowControl/>
              <w:spacing w:line="240" w:lineRule="exact"/>
              <w:jc w:val="center"/>
              <w:rPr>
                <w:rFonts w:ascii="仿宋" w:hAnsi="仿宋" w:eastAsia="仿宋"/>
                <w:color w:val="000000"/>
                <w:kern w:val="0"/>
                <w:sz w:val="18"/>
                <w:szCs w:val="18"/>
              </w:rPr>
            </w:pPr>
            <w:r>
              <w:rPr>
                <w:rFonts w:ascii="仿宋" w:hAnsi="仿宋" w:eastAsia="仿宋"/>
                <w:color w:val="000000"/>
                <w:kern w:val="0"/>
                <w:sz w:val="18"/>
                <w:szCs w:val="18"/>
              </w:rPr>
              <w:t>社会效</w:t>
            </w:r>
          </w:p>
          <w:p>
            <w:pPr>
              <w:widowControl/>
              <w:spacing w:line="240" w:lineRule="exact"/>
              <w:jc w:val="center"/>
              <w:rPr>
                <w:rFonts w:ascii="仿宋" w:hAnsi="仿宋" w:eastAsia="仿宋"/>
                <w:color w:val="000000"/>
                <w:kern w:val="0"/>
                <w:sz w:val="18"/>
                <w:szCs w:val="18"/>
              </w:rPr>
            </w:pPr>
            <w:r>
              <w:rPr>
                <w:rFonts w:ascii="仿宋" w:hAnsi="仿宋" w:eastAsia="仿宋"/>
                <w:color w:val="000000"/>
                <w:kern w:val="0"/>
                <w:sz w:val="18"/>
                <w:szCs w:val="18"/>
              </w:rPr>
              <w:t>益指标</w:t>
            </w:r>
          </w:p>
        </w:tc>
        <w:tc>
          <w:tcPr>
            <w:tcW w:w="1756"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olor w:val="000000"/>
                <w:kern w:val="0"/>
                <w:sz w:val="18"/>
                <w:szCs w:val="18"/>
              </w:rPr>
            </w:pPr>
            <w:r>
              <w:rPr>
                <w:rFonts w:ascii="仿宋" w:hAnsi="仿宋" w:eastAsia="仿宋"/>
                <w:color w:val="000000"/>
                <w:kern w:val="0"/>
                <w:sz w:val="18"/>
                <w:szCs w:val="18"/>
              </w:rPr>
              <w:t>指标1：</w:t>
            </w:r>
          </w:p>
        </w:tc>
        <w:tc>
          <w:tcPr>
            <w:tcW w:w="1453" w:type="dxa"/>
            <w:tcBorders>
              <w:top w:val="nil"/>
              <w:left w:val="nil"/>
              <w:bottom w:val="single" w:color="auto" w:sz="4" w:space="0"/>
              <w:right w:val="single" w:color="auto" w:sz="4" w:space="0"/>
            </w:tcBorders>
            <w:vAlign w:val="center"/>
          </w:tcPr>
          <w:p>
            <w:pPr>
              <w:widowControl/>
              <w:spacing w:line="240" w:lineRule="exact"/>
              <w:jc w:val="left"/>
              <w:rPr>
                <w:rFonts w:ascii="仿宋" w:hAnsi="仿宋" w:eastAsia="仿宋"/>
                <w:color w:val="000000"/>
                <w:kern w:val="0"/>
                <w:sz w:val="18"/>
                <w:szCs w:val="18"/>
              </w:rPr>
            </w:pPr>
            <w:r>
              <w:rPr>
                <w:rFonts w:ascii="仿宋" w:hAnsi="仿宋" w:eastAsia="仿宋"/>
                <w:color w:val="000000"/>
                <w:kern w:val="0"/>
                <w:sz w:val="18"/>
                <w:szCs w:val="18"/>
              </w:rPr>
              <w:t>　</w:t>
            </w:r>
            <w:r>
              <w:rPr>
                <w:rFonts w:hint="eastAsia" w:ascii="仿宋" w:hAnsi="仿宋" w:eastAsia="仿宋" w:cs="宋体"/>
                <w:kern w:val="0"/>
                <w:sz w:val="18"/>
                <w:szCs w:val="18"/>
              </w:rPr>
              <w:t>对照绩效目标，按社会效益实现程度计算得分</w:t>
            </w:r>
          </w:p>
        </w:tc>
        <w:tc>
          <w:tcPr>
            <w:tcW w:w="1529" w:type="dxa"/>
            <w:tcBorders>
              <w:top w:val="nil"/>
              <w:left w:val="nil"/>
              <w:bottom w:val="single" w:color="auto" w:sz="4" w:space="0"/>
              <w:right w:val="single" w:color="auto" w:sz="4" w:space="0"/>
            </w:tcBorders>
            <w:vAlign w:val="center"/>
          </w:tcPr>
          <w:p>
            <w:pPr>
              <w:widowControl/>
              <w:spacing w:line="240" w:lineRule="exact"/>
              <w:jc w:val="left"/>
              <w:rPr>
                <w:rFonts w:ascii="仿宋" w:hAnsi="仿宋" w:eastAsia="仿宋"/>
                <w:color w:val="000000"/>
                <w:kern w:val="0"/>
                <w:sz w:val="18"/>
                <w:szCs w:val="18"/>
              </w:rPr>
            </w:pPr>
            <w:r>
              <w:rPr>
                <w:rFonts w:hint="eastAsia" w:ascii="仿宋" w:hAnsi="仿宋" w:eastAsia="仿宋"/>
                <w:color w:val="000000"/>
                <w:kern w:val="0"/>
                <w:sz w:val="18"/>
                <w:szCs w:val="18"/>
              </w:rPr>
              <w:t>202</w:t>
            </w:r>
            <w:r>
              <w:rPr>
                <w:rFonts w:hint="eastAsia" w:ascii="仿宋" w:hAnsi="仿宋" w:eastAsia="仿宋"/>
                <w:color w:val="000000"/>
                <w:kern w:val="0"/>
                <w:sz w:val="18"/>
                <w:szCs w:val="18"/>
                <w:lang w:val="en-US" w:eastAsia="zh-CN"/>
              </w:rPr>
              <w:t>1</w:t>
            </w:r>
            <w:r>
              <w:rPr>
                <w:rFonts w:hint="eastAsia" w:ascii="仿宋" w:hAnsi="仿宋" w:eastAsia="仿宋"/>
                <w:color w:val="000000"/>
                <w:kern w:val="0"/>
                <w:sz w:val="18"/>
                <w:szCs w:val="18"/>
              </w:rPr>
              <w:t>年全市未发生一次死亡</w:t>
            </w:r>
            <w:r>
              <w:rPr>
                <w:rFonts w:hint="eastAsia" w:ascii="仿宋" w:hAnsi="仿宋" w:eastAsia="仿宋"/>
                <w:color w:val="000000"/>
                <w:kern w:val="0"/>
                <w:sz w:val="18"/>
                <w:szCs w:val="18"/>
                <w:lang w:val="en-US" w:eastAsia="zh-CN"/>
              </w:rPr>
              <w:t>5</w:t>
            </w:r>
            <w:r>
              <w:rPr>
                <w:rFonts w:hint="eastAsia" w:ascii="仿宋" w:hAnsi="仿宋" w:eastAsia="仿宋"/>
                <w:color w:val="000000"/>
                <w:kern w:val="0"/>
                <w:sz w:val="18"/>
                <w:szCs w:val="18"/>
              </w:rPr>
              <w:t>人以上的道路交通事故，</w:t>
            </w:r>
            <w:r>
              <w:rPr>
                <w:rFonts w:hint="eastAsia" w:ascii="仿宋" w:hAnsi="仿宋" w:eastAsia="仿宋" w:cs="Times New Roman"/>
                <w:sz w:val="18"/>
                <w:szCs w:val="18"/>
              </w:rPr>
              <w:t>支队在</w:t>
            </w:r>
            <w:r>
              <w:rPr>
                <w:rFonts w:hint="eastAsia" w:ascii="仿宋" w:hAnsi="仿宋" w:eastAsia="仿宋" w:cs="Times New Roman"/>
                <w:sz w:val="18"/>
                <w:szCs w:val="18"/>
                <w:lang w:eastAsia="zh-CN"/>
              </w:rPr>
              <w:t>省公安厅“事故减量控大”和“顽瘴痼疾整治”两个专项警务考评中获得满分，被评为全省公安交警系统深化优秀警队建设优秀单位、全市文明单位和平安单位</w:t>
            </w:r>
            <w:r>
              <w:rPr>
                <w:rFonts w:hint="eastAsia" w:ascii="仿宋" w:hAnsi="仿宋" w:eastAsia="仿宋" w:cs="Times New Roman"/>
                <w:sz w:val="18"/>
                <w:szCs w:val="18"/>
              </w:rPr>
              <w:t>。</w:t>
            </w:r>
            <w:r>
              <w:rPr>
                <w:rFonts w:hint="eastAsia" w:ascii="仿宋" w:hAnsi="仿宋" w:eastAsia="仿宋"/>
                <w:color w:val="000000"/>
                <w:kern w:val="0"/>
                <w:sz w:val="18"/>
                <w:szCs w:val="18"/>
              </w:rPr>
              <w:t>赢得了人民群众的广泛好评。</w:t>
            </w:r>
          </w:p>
        </w:tc>
        <w:tc>
          <w:tcPr>
            <w:tcW w:w="655" w:type="dxa"/>
            <w:tcBorders>
              <w:top w:val="nil"/>
              <w:left w:val="nil"/>
              <w:bottom w:val="single" w:color="auto" w:sz="4" w:space="0"/>
              <w:right w:val="single" w:color="auto" w:sz="4" w:space="0"/>
            </w:tcBorders>
            <w:vAlign w:val="center"/>
          </w:tcPr>
          <w:p>
            <w:pPr>
              <w:widowControl/>
              <w:spacing w:line="240" w:lineRule="exact"/>
              <w:jc w:val="left"/>
              <w:rPr>
                <w:rFonts w:ascii="仿宋" w:hAnsi="仿宋" w:eastAsia="仿宋"/>
                <w:color w:val="000000"/>
                <w:kern w:val="0"/>
                <w:sz w:val="18"/>
                <w:szCs w:val="18"/>
              </w:rPr>
            </w:pPr>
            <w:r>
              <w:rPr>
                <w:rFonts w:ascii="仿宋" w:hAnsi="仿宋" w:eastAsia="仿宋"/>
                <w:color w:val="000000"/>
                <w:kern w:val="0"/>
                <w:sz w:val="18"/>
                <w:szCs w:val="18"/>
              </w:rPr>
              <w:t>　</w:t>
            </w:r>
            <w:r>
              <w:rPr>
                <w:rFonts w:hint="eastAsia" w:ascii="仿宋" w:hAnsi="仿宋" w:eastAsia="仿宋"/>
                <w:color w:val="000000"/>
                <w:kern w:val="0"/>
                <w:sz w:val="18"/>
                <w:szCs w:val="18"/>
              </w:rPr>
              <w:t>10</w:t>
            </w:r>
          </w:p>
        </w:tc>
        <w:tc>
          <w:tcPr>
            <w:tcW w:w="986" w:type="dxa"/>
            <w:tcBorders>
              <w:top w:val="nil"/>
              <w:left w:val="nil"/>
              <w:bottom w:val="single" w:color="auto" w:sz="4" w:space="0"/>
              <w:right w:val="single" w:color="auto" w:sz="4" w:space="0"/>
            </w:tcBorders>
            <w:vAlign w:val="center"/>
          </w:tcPr>
          <w:p>
            <w:pPr>
              <w:widowControl/>
              <w:spacing w:line="240" w:lineRule="exact"/>
              <w:jc w:val="left"/>
              <w:rPr>
                <w:rFonts w:ascii="仿宋" w:hAnsi="仿宋" w:eastAsia="仿宋"/>
                <w:color w:val="000000"/>
                <w:kern w:val="0"/>
                <w:sz w:val="18"/>
                <w:szCs w:val="18"/>
              </w:rPr>
            </w:pPr>
            <w:r>
              <w:rPr>
                <w:rFonts w:ascii="仿宋" w:hAnsi="仿宋" w:eastAsia="仿宋"/>
                <w:color w:val="000000"/>
                <w:kern w:val="0"/>
                <w:sz w:val="18"/>
                <w:szCs w:val="18"/>
              </w:rPr>
              <w:t>　</w:t>
            </w:r>
            <w:r>
              <w:rPr>
                <w:rFonts w:hint="eastAsia" w:ascii="仿宋" w:hAnsi="仿宋" w:eastAsia="仿宋"/>
                <w:color w:val="000000"/>
                <w:kern w:val="0"/>
                <w:sz w:val="18"/>
                <w:szCs w:val="18"/>
              </w:rPr>
              <w:t>10</w:t>
            </w:r>
          </w:p>
        </w:tc>
        <w:tc>
          <w:tcPr>
            <w:tcW w:w="1069" w:type="dxa"/>
            <w:tcBorders>
              <w:top w:val="nil"/>
              <w:left w:val="nil"/>
              <w:bottom w:val="single" w:color="auto" w:sz="4" w:space="0"/>
              <w:right w:val="single" w:color="auto" w:sz="4" w:space="0"/>
            </w:tcBorders>
            <w:vAlign w:val="center"/>
          </w:tcPr>
          <w:p>
            <w:pPr>
              <w:widowControl/>
              <w:spacing w:line="240" w:lineRule="exact"/>
              <w:jc w:val="left"/>
              <w:rPr>
                <w:rFonts w:ascii="仿宋" w:hAnsi="仿宋" w:eastAsia="仿宋"/>
                <w:color w:val="000000"/>
                <w:kern w:val="0"/>
                <w:sz w:val="18"/>
                <w:szCs w:val="18"/>
              </w:rPr>
            </w:pPr>
            <w:r>
              <w:rPr>
                <w:rFonts w:ascii="仿宋" w:hAnsi="仿宋" w:eastAsia="仿宋"/>
                <w:color w:val="000000"/>
                <w:kern w:val="0"/>
                <w:sz w:val="18"/>
                <w:szCs w:val="18"/>
              </w:rPr>
              <w:t>　</w:t>
            </w:r>
          </w:p>
        </w:tc>
      </w:tr>
      <w:tr>
        <w:tblPrEx>
          <w:tblCellMar>
            <w:top w:w="0" w:type="dxa"/>
            <w:left w:w="108" w:type="dxa"/>
            <w:bottom w:w="0" w:type="dxa"/>
            <w:right w:w="108" w:type="dxa"/>
          </w:tblCellMar>
        </w:tblPrEx>
        <w:trPr>
          <w:trHeight w:val="2880" w:hRule="atLeast"/>
          <w:jc w:val="center"/>
        </w:trPr>
        <w:tc>
          <w:tcPr>
            <w:tcW w:w="945"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 w:hAnsi="仿宋" w:eastAsia="仿宋"/>
                <w:color w:val="000000"/>
                <w:kern w:val="0"/>
                <w:sz w:val="18"/>
                <w:szCs w:val="18"/>
              </w:rPr>
            </w:pPr>
            <w:r>
              <w:rPr>
                <w:rFonts w:ascii="仿宋" w:hAnsi="仿宋" w:eastAsia="仿宋"/>
                <w:color w:val="000000"/>
                <w:kern w:val="0"/>
                <w:sz w:val="18"/>
                <w:szCs w:val="18"/>
              </w:rPr>
              <w:t>绩</w:t>
            </w:r>
          </w:p>
          <w:p>
            <w:pPr>
              <w:widowControl/>
              <w:spacing w:line="240" w:lineRule="exact"/>
              <w:jc w:val="center"/>
              <w:rPr>
                <w:rFonts w:ascii="仿宋" w:hAnsi="仿宋" w:eastAsia="仿宋"/>
                <w:color w:val="000000"/>
                <w:kern w:val="0"/>
                <w:sz w:val="18"/>
                <w:szCs w:val="18"/>
              </w:rPr>
            </w:pPr>
            <w:r>
              <w:rPr>
                <w:rFonts w:ascii="仿宋" w:hAnsi="仿宋" w:eastAsia="仿宋"/>
                <w:color w:val="000000"/>
                <w:kern w:val="0"/>
                <w:sz w:val="18"/>
                <w:szCs w:val="18"/>
              </w:rPr>
              <w:t>效</w:t>
            </w:r>
          </w:p>
          <w:p>
            <w:pPr>
              <w:widowControl/>
              <w:spacing w:line="240" w:lineRule="exact"/>
              <w:jc w:val="center"/>
              <w:rPr>
                <w:rFonts w:ascii="仿宋" w:hAnsi="仿宋" w:eastAsia="仿宋"/>
                <w:color w:val="000000"/>
                <w:kern w:val="0"/>
                <w:sz w:val="18"/>
                <w:szCs w:val="18"/>
              </w:rPr>
            </w:pPr>
            <w:r>
              <w:rPr>
                <w:rFonts w:ascii="仿宋" w:hAnsi="仿宋" w:eastAsia="仿宋"/>
                <w:color w:val="000000"/>
                <w:kern w:val="0"/>
                <w:sz w:val="18"/>
                <w:szCs w:val="18"/>
              </w:rPr>
              <w:t>指</w:t>
            </w:r>
          </w:p>
          <w:p>
            <w:pPr>
              <w:widowControl/>
              <w:spacing w:line="240" w:lineRule="exact"/>
              <w:jc w:val="center"/>
              <w:rPr>
                <w:rFonts w:ascii="仿宋" w:hAnsi="仿宋" w:eastAsia="仿宋"/>
                <w:color w:val="000000"/>
                <w:kern w:val="0"/>
                <w:sz w:val="18"/>
                <w:szCs w:val="18"/>
              </w:rPr>
            </w:pPr>
            <w:r>
              <w:rPr>
                <w:rFonts w:ascii="仿宋" w:hAnsi="仿宋" w:eastAsia="仿宋"/>
                <w:color w:val="000000"/>
                <w:kern w:val="0"/>
                <w:sz w:val="18"/>
                <w:szCs w:val="18"/>
              </w:rPr>
              <w:t>标</w:t>
            </w:r>
          </w:p>
        </w:tc>
        <w:tc>
          <w:tcPr>
            <w:tcW w:w="94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 w:hAnsi="仿宋" w:eastAsia="仿宋"/>
                <w:color w:val="000000"/>
                <w:kern w:val="0"/>
                <w:sz w:val="18"/>
                <w:szCs w:val="18"/>
              </w:rPr>
            </w:pPr>
            <w:r>
              <w:rPr>
                <w:rFonts w:ascii="仿宋" w:hAnsi="仿宋" w:eastAsia="仿宋"/>
                <w:color w:val="000000"/>
                <w:kern w:val="0"/>
                <w:sz w:val="18"/>
                <w:szCs w:val="18"/>
              </w:rPr>
              <w:t>　可持续影响指标（10分）</w:t>
            </w:r>
          </w:p>
        </w:tc>
        <w:tc>
          <w:tcPr>
            <w:tcW w:w="65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olor w:val="000000"/>
                <w:kern w:val="0"/>
                <w:sz w:val="18"/>
                <w:szCs w:val="18"/>
              </w:rPr>
            </w:pPr>
            <w:r>
              <w:rPr>
                <w:rFonts w:ascii="仿宋" w:hAnsi="仿宋" w:eastAsia="仿宋"/>
                <w:color w:val="000000"/>
                <w:kern w:val="0"/>
                <w:sz w:val="18"/>
                <w:szCs w:val="18"/>
              </w:rPr>
              <w:t>可持续影响指标</w:t>
            </w:r>
          </w:p>
        </w:tc>
        <w:tc>
          <w:tcPr>
            <w:tcW w:w="175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 w:hAnsi="仿宋" w:eastAsia="仿宋"/>
                <w:color w:val="000000"/>
                <w:kern w:val="0"/>
                <w:sz w:val="18"/>
                <w:szCs w:val="18"/>
              </w:rPr>
            </w:pPr>
            <w:r>
              <w:rPr>
                <w:rFonts w:ascii="仿宋" w:hAnsi="仿宋" w:eastAsia="仿宋"/>
                <w:color w:val="000000"/>
                <w:kern w:val="0"/>
                <w:sz w:val="18"/>
                <w:szCs w:val="18"/>
              </w:rPr>
              <w:t>指标1：</w:t>
            </w:r>
          </w:p>
        </w:tc>
        <w:tc>
          <w:tcPr>
            <w:tcW w:w="1453"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 w:hAnsi="仿宋" w:eastAsia="仿宋" w:cs="宋体"/>
                <w:kern w:val="0"/>
                <w:sz w:val="18"/>
                <w:szCs w:val="18"/>
              </w:rPr>
            </w:pPr>
            <w:r>
              <w:rPr>
                <w:rFonts w:hint="eastAsia" w:ascii="仿宋" w:hAnsi="仿宋" w:eastAsia="仿宋" w:cs="宋体"/>
                <w:kern w:val="0"/>
                <w:sz w:val="18"/>
                <w:szCs w:val="18"/>
              </w:rPr>
              <w:t>项目产出能持续运用（5分）</w:t>
            </w:r>
          </w:p>
          <w:p>
            <w:pPr>
              <w:widowControl/>
              <w:spacing w:line="240" w:lineRule="exact"/>
              <w:jc w:val="left"/>
              <w:rPr>
                <w:rFonts w:ascii="仿宋" w:hAnsi="仿宋" w:eastAsia="仿宋"/>
                <w:color w:val="000000"/>
                <w:kern w:val="0"/>
                <w:sz w:val="18"/>
                <w:szCs w:val="18"/>
              </w:rPr>
            </w:pPr>
            <w:r>
              <w:rPr>
                <w:rFonts w:hint="eastAsia" w:ascii="仿宋" w:hAnsi="仿宋" w:eastAsia="仿宋" w:cs="宋体"/>
                <w:kern w:val="0"/>
                <w:sz w:val="18"/>
                <w:szCs w:val="18"/>
              </w:rPr>
              <w:t>所依赖的政策制度能持续执行（5分）</w:t>
            </w:r>
          </w:p>
        </w:tc>
        <w:tc>
          <w:tcPr>
            <w:tcW w:w="152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 w:hAnsi="仿宋" w:eastAsia="仿宋"/>
                <w:color w:val="000000"/>
                <w:kern w:val="0"/>
                <w:sz w:val="18"/>
                <w:szCs w:val="18"/>
              </w:rPr>
            </w:pPr>
            <w:r>
              <w:rPr>
                <w:rFonts w:hint="eastAsia" w:ascii="仿宋" w:hAnsi="仿宋" w:eastAsia="仿宋"/>
                <w:color w:val="000000"/>
                <w:kern w:val="0"/>
                <w:sz w:val="18"/>
                <w:szCs w:val="18"/>
              </w:rPr>
              <w:t>在经费使用上成立了内部控制领导小组，建立健全了公务接待、财务管理、工程项目审计管理等制度，为部门整体支出管理水平的持续提升提供了制度保障。</w:t>
            </w:r>
          </w:p>
          <w:p>
            <w:pPr>
              <w:widowControl/>
              <w:spacing w:line="240" w:lineRule="exact"/>
              <w:jc w:val="left"/>
              <w:rPr>
                <w:rFonts w:ascii="仿宋" w:hAnsi="仿宋" w:eastAsia="仿宋"/>
                <w:color w:val="000000"/>
                <w:kern w:val="0"/>
                <w:sz w:val="18"/>
                <w:szCs w:val="18"/>
              </w:rPr>
            </w:pPr>
            <w:r>
              <w:rPr>
                <w:rFonts w:ascii="仿宋" w:hAnsi="仿宋" w:eastAsia="仿宋"/>
                <w:color w:val="000000"/>
                <w:kern w:val="0"/>
                <w:sz w:val="18"/>
                <w:szCs w:val="18"/>
              </w:rPr>
              <w:t>　</w:t>
            </w:r>
          </w:p>
        </w:tc>
        <w:tc>
          <w:tcPr>
            <w:tcW w:w="65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 w:hAnsi="仿宋" w:eastAsia="仿宋"/>
                <w:color w:val="000000"/>
                <w:kern w:val="0"/>
                <w:sz w:val="18"/>
                <w:szCs w:val="18"/>
              </w:rPr>
            </w:pPr>
            <w:r>
              <w:rPr>
                <w:rFonts w:ascii="仿宋" w:hAnsi="仿宋" w:eastAsia="仿宋"/>
                <w:color w:val="000000"/>
                <w:kern w:val="0"/>
                <w:sz w:val="18"/>
                <w:szCs w:val="18"/>
              </w:rPr>
              <w:t>　</w:t>
            </w:r>
            <w:r>
              <w:rPr>
                <w:rFonts w:hint="eastAsia" w:ascii="仿宋" w:hAnsi="仿宋" w:eastAsia="仿宋"/>
                <w:color w:val="000000"/>
                <w:kern w:val="0"/>
                <w:sz w:val="18"/>
                <w:szCs w:val="18"/>
              </w:rPr>
              <w:t>10</w:t>
            </w:r>
          </w:p>
        </w:tc>
        <w:tc>
          <w:tcPr>
            <w:tcW w:w="98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 w:hAnsi="仿宋" w:eastAsia="仿宋"/>
                <w:color w:val="000000"/>
                <w:kern w:val="0"/>
                <w:sz w:val="18"/>
                <w:szCs w:val="18"/>
              </w:rPr>
            </w:pPr>
            <w:r>
              <w:rPr>
                <w:rFonts w:ascii="仿宋" w:hAnsi="仿宋" w:eastAsia="仿宋"/>
                <w:color w:val="000000"/>
                <w:kern w:val="0"/>
                <w:sz w:val="18"/>
                <w:szCs w:val="18"/>
              </w:rPr>
              <w:t>　</w:t>
            </w:r>
            <w:r>
              <w:rPr>
                <w:rFonts w:hint="eastAsia" w:ascii="仿宋" w:hAnsi="仿宋" w:eastAsia="仿宋"/>
                <w:color w:val="000000"/>
                <w:kern w:val="0"/>
                <w:sz w:val="18"/>
                <w:szCs w:val="18"/>
              </w:rPr>
              <w:t>10</w:t>
            </w:r>
          </w:p>
        </w:tc>
        <w:tc>
          <w:tcPr>
            <w:tcW w:w="10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 w:hAnsi="仿宋" w:eastAsia="仿宋"/>
                <w:color w:val="000000"/>
                <w:kern w:val="0"/>
                <w:sz w:val="18"/>
                <w:szCs w:val="18"/>
              </w:rPr>
            </w:pPr>
            <w:r>
              <w:rPr>
                <w:rFonts w:ascii="仿宋" w:hAnsi="仿宋" w:eastAsia="仿宋"/>
                <w:color w:val="000000"/>
                <w:kern w:val="0"/>
                <w:sz w:val="18"/>
                <w:szCs w:val="18"/>
              </w:rPr>
              <w:t>　</w:t>
            </w:r>
          </w:p>
        </w:tc>
      </w:tr>
      <w:tr>
        <w:tblPrEx>
          <w:tblCellMar>
            <w:top w:w="0" w:type="dxa"/>
            <w:left w:w="108" w:type="dxa"/>
            <w:bottom w:w="0" w:type="dxa"/>
            <w:right w:w="108" w:type="dxa"/>
          </w:tblCellMar>
        </w:tblPrEx>
        <w:trPr>
          <w:trHeight w:val="480" w:hRule="atLeast"/>
          <w:jc w:val="center"/>
        </w:trPr>
        <w:tc>
          <w:tcPr>
            <w:tcW w:w="945" w:type="dxa"/>
            <w:vMerge w:val="continue"/>
            <w:tcBorders>
              <w:left w:val="single" w:color="auto" w:sz="4" w:space="0"/>
              <w:right w:val="single" w:color="auto" w:sz="4" w:space="0"/>
            </w:tcBorders>
            <w:vAlign w:val="center"/>
          </w:tcPr>
          <w:p>
            <w:pPr>
              <w:spacing w:line="240" w:lineRule="exact"/>
              <w:jc w:val="left"/>
              <w:rPr>
                <w:rFonts w:ascii="仿宋" w:hAnsi="仿宋" w:eastAsia="仿宋"/>
                <w:color w:val="000000"/>
                <w:kern w:val="0"/>
                <w:sz w:val="18"/>
                <w:szCs w:val="18"/>
              </w:rPr>
            </w:pPr>
          </w:p>
        </w:tc>
        <w:tc>
          <w:tcPr>
            <w:tcW w:w="94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olor w:val="000000"/>
                <w:kern w:val="0"/>
                <w:sz w:val="18"/>
                <w:szCs w:val="18"/>
              </w:rPr>
            </w:pPr>
            <w:r>
              <w:rPr>
                <w:rFonts w:ascii="仿宋" w:hAnsi="仿宋" w:eastAsia="仿宋"/>
                <w:color w:val="000000"/>
                <w:kern w:val="0"/>
                <w:sz w:val="18"/>
                <w:szCs w:val="18"/>
              </w:rPr>
              <w:t>满意度</w:t>
            </w:r>
          </w:p>
          <w:p>
            <w:pPr>
              <w:widowControl/>
              <w:spacing w:line="240" w:lineRule="exact"/>
              <w:jc w:val="center"/>
              <w:rPr>
                <w:rFonts w:ascii="仿宋" w:hAnsi="仿宋" w:eastAsia="仿宋"/>
                <w:color w:val="000000"/>
                <w:kern w:val="0"/>
                <w:sz w:val="18"/>
                <w:szCs w:val="18"/>
              </w:rPr>
            </w:pPr>
            <w:r>
              <w:rPr>
                <w:rFonts w:ascii="仿宋" w:hAnsi="仿宋" w:eastAsia="仿宋"/>
                <w:color w:val="000000"/>
                <w:kern w:val="0"/>
                <w:sz w:val="18"/>
                <w:szCs w:val="18"/>
              </w:rPr>
              <w:t>指标</w:t>
            </w:r>
          </w:p>
          <w:p>
            <w:pPr>
              <w:widowControl/>
              <w:spacing w:line="240" w:lineRule="exact"/>
              <w:jc w:val="center"/>
              <w:rPr>
                <w:rFonts w:ascii="仿宋" w:hAnsi="仿宋" w:eastAsia="仿宋"/>
                <w:color w:val="000000"/>
                <w:kern w:val="0"/>
                <w:sz w:val="18"/>
                <w:szCs w:val="18"/>
              </w:rPr>
            </w:pPr>
            <w:r>
              <w:rPr>
                <w:rFonts w:ascii="仿宋" w:hAnsi="仿宋" w:eastAsia="仿宋"/>
                <w:color w:val="000000"/>
                <w:kern w:val="0"/>
                <w:sz w:val="18"/>
                <w:szCs w:val="18"/>
              </w:rPr>
              <w:t>（</w:t>
            </w:r>
            <w:r>
              <w:rPr>
                <w:rFonts w:hint="eastAsia" w:ascii="仿宋" w:hAnsi="仿宋" w:eastAsia="仿宋"/>
                <w:color w:val="000000"/>
                <w:kern w:val="0"/>
                <w:sz w:val="18"/>
                <w:szCs w:val="18"/>
              </w:rPr>
              <w:t>1</w:t>
            </w:r>
            <w:r>
              <w:rPr>
                <w:rFonts w:ascii="仿宋" w:hAnsi="仿宋" w:eastAsia="仿宋"/>
                <w:color w:val="000000"/>
                <w:kern w:val="0"/>
                <w:sz w:val="18"/>
                <w:szCs w:val="18"/>
              </w:rPr>
              <w:t>0分）</w:t>
            </w:r>
          </w:p>
        </w:tc>
        <w:tc>
          <w:tcPr>
            <w:tcW w:w="65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olor w:val="000000"/>
                <w:kern w:val="0"/>
                <w:sz w:val="18"/>
                <w:szCs w:val="18"/>
              </w:rPr>
            </w:pPr>
            <w:r>
              <w:rPr>
                <w:rFonts w:ascii="仿宋" w:hAnsi="仿宋" w:eastAsia="仿宋"/>
                <w:color w:val="000000"/>
                <w:kern w:val="0"/>
                <w:sz w:val="18"/>
                <w:szCs w:val="18"/>
              </w:rPr>
              <w:t>服务对象满意度指标</w:t>
            </w:r>
          </w:p>
        </w:tc>
        <w:tc>
          <w:tcPr>
            <w:tcW w:w="1756" w:type="dxa"/>
            <w:gridSpan w:val="2"/>
            <w:tcBorders>
              <w:top w:val="nil"/>
              <w:left w:val="nil"/>
              <w:bottom w:val="single" w:color="auto" w:sz="4" w:space="0"/>
              <w:right w:val="single" w:color="auto" w:sz="4" w:space="0"/>
            </w:tcBorders>
            <w:vAlign w:val="center"/>
          </w:tcPr>
          <w:p>
            <w:pPr>
              <w:widowControl/>
              <w:spacing w:line="240" w:lineRule="exact"/>
              <w:jc w:val="left"/>
              <w:rPr>
                <w:rFonts w:ascii="仿宋" w:hAnsi="仿宋" w:eastAsia="仿宋"/>
                <w:color w:val="000000"/>
                <w:kern w:val="0"/>
                <w:sz w:val="18"/>
                <w:szCs w:val="18"/>
              </w:rPr>
            </w:pPr>
            <w:r>
              <w:rPr>
                <w:rFonts w:ascii="仿宋" w:hAnsi="仿宋" w:eastAsia="仿宋"/>
                <w:color w:val="000000"/>
                <w:kern w:val="0"/>
                <w:sz w:val="18"/>
                <w:szCs w:val="18"/>
              </w:rPr>
              <w:t>指标1：</w:t>
            </w:r>
          </w:p>
        </w:tc>
        <w:tc>
          <w:tcPr>
            <w:tcW w:w="1453" w:type="dxa"/>
            <w:tcBorders>
              <w:top w:val="nil"/>
              <w:left w:val="nil"/>
              <w:bottom w:val="single" w:color="auto" w:sz="4" w:space="0"/>
              <w:right w:val="single" w:color="auto" w:sz="4" w:space="0"/>
            </w:tcBorders>
            <w:vAlign w:val="center"/>
          </w:tcPr>
          <w:p>
            <w:pPr>
              <w:widowControl/>
              <w:jc w:val="left"/>
              <w:rPr>
                <w:rFonts w:ascii="仿宋" w:hAnsi="仿宋" w:eastAsia="仿宋"/>
                <w:color w:val="000000"/>
                <w:kern w:val="0"/>
                <w:sz w:val="18"/>
                <w:szCs w:val="18"/>
              </w:rPr>
            </w:pPr>
            <w:r>
              <w:rPr>
                <w:rFonts w:hint="eastAsia" w:ascii="仿宋" w:hAnsi="仿宋" w:eastAsia="仿宋" w:cs="宋体"/>
                <w:kern w:val="0"/>
                <w:sz w:val="18"/>
                <w:szCs w:val="18"/>
              </w:rPr>
              <w:t>按收集到的项目服务对象的满意率计算得分</w:t>
            </w:r>
          </w:p>
          <w:p>
            <w:pPr>
              <w:widowControl/>
              <w:spacing w:line="240" w:lineRule="exact"/>
              <w:jc w:val="left"/>
              <w:rPr>
                <w:rFonts w:ascii="仿宋" w:hAnsi="仿宋" w:eastAsia="仿宋"/>
                <w:color w:val="000000"/>
                <w:kern w:val="0"/>
                <w:sz w:val="18"/>
                <w:szCs w:val="18"/>
              </w:rPr>
            </w:pPr>
            <w:r>
              <w:rPr>
                <w:rFonts w:ascii="仿宋" w:hAnsi="仿宋" w:eastAsia="仿宋"/>
                <w:color w:val="000000"/>
                <w:kern w:val="0"/>
                <w:sz w:val="18"/>
                <w:szCs w:val="18"/>
              </w:rPr>
              <w:t>　</w:t>
            </w:r>
          </w:p>
        </w:tc>
        <w:tc>
          <w:tcPr>
            <w:tcW w:w="1529" w:type="dxa"/>
            <w:tcBorders>
              <w:top w:val="nil"/>
              <w:left w:val="nil"/>
              <w:bottom w:val="single" w:color="auto" w:sz="4" w:space="0"/>
              <w:right w:val="single" w:color="auto" w:sz="4" w:space="0"/>
            </w:tcBorders>
            <w:vAlign w:val="center"/>
          </w:tcPr>
          <w:p>
            <w:pPr>
              <w:widowControl/>
              <w:spacing w:line="240" w:lineRule="exact"/>
              <w:jc w:val="left"/>
              <w:rPr>
                <w:rFonts w:ascii="仿宋" w:hAnsi="仿宋" w:eastAsia="仿宋"/>
                <w:color w:val="000000"/>
                <w:kern w:val="0"/>
                <w:sz w:val="18"/>
                <w:szCs w:val="18"/>
              </w:rPr>
            </w:pPr>
            <w:r>
              <w:rPr>
                <w:rFonts w:ascii="仿宋" w:hAnsi="仿宋" w:eastAsia="仿宋"/>
                <w:color w:val="000000"/>
                <w:kern w:val="0"/>
                <w:sz w:val="18"/>
                <w:szCs w:val="18"/>
              </w:rPr>
              <w:t>　</w:t>
            </w:r>
            <w:r>
              <w:rPr>
                <w:rFonts w:hint="eastAsia" w:ascii="仿宋" w:hAnsi="仿宋" w:eastAsia="仿宋"/>
                <w:color w:val="000000"/>
                <w:kern w:val="0"/>
                <w:sz w:val="18"/>
                <w:szCs w:val="18"/>
              </w:rPr>
              <w:t>在调查问卷中，满意度调查结果在98%以上。</w:t>
            </w:r>
          </w:p>
        </w:tc>
        <w:tc>
          <w:tcPr>
            <w:tcW w:w="655" w:type="dxa"/>
            <w:tcBorders>
              <w:top w:val="nil"/>
              <w:left w:val="nil"/>
              <w:bottom w:val="single" w:color="auto" w:sz="4" w:space="0"/>
              <w:right w:val="single" w:color="auto" w:sz="4" w:space="0"/>
            </w:tcBorders>
            <w:vAlign w:val="center"/>
          </w:tcPr>
          <w:p>
            <w:pPr>
              <w:widowControl/>
              <w:spacing w:line="240" w:lineRule="exact"/>
              <w:jc w:val="left"/>
              <w:rPr>
                <w:rFonts w:ascii="仿宋" w:hAnsi="仿宋" w:eastAsia="仿宋"/>
                <w:color w:val="000000"/>
                <w:kern w:val="0"/>
                <w:sz w:val="18"/>
                <w:szCs w:val="18"/>
              </w:rPr>
            </w:pPr>
            <w:r>
              <w:rPr>
                <w:rFonts w:ascii="仿宋" w:hAnsi="仿宋" w:eastAsia="仿宋"/>
                <w:color w:val="000000"/>
                <w:kern w:val="0"/>
                <w:sz w:val="18"/>
                <w:szCs w:val="18"/>
              </w:rPr>
              <w:t>　</w:t>
            </w:r>
            <w:r>
              <w:rPr>
                <w:rFonts w:hint="eastAsia" w:ascii="仿宋" w:hAnsi="仿宋" w:eastAsia="仿宋"/>
                <w:color w:val="000000"/>
                <w:kern w:val="0"/>
                <w:sz w:val="18"/>
                <w:szCs w:val="18"/>
              </w:rPr>
              <w:t>10</w:t>
            </w:r>
          </w:p>
        </w:tc>
        <w:tc>
          <w:tcPr>
            <w:tcW w:w="986" w:type="dxa"/>
            <w:tcBorders>
              <w:top w:val="nil"/>
              <w:left w:val="nil"/>
              <w:bottom w:val="single" w:color="auto" w:sz="4" w:space="0"/>
              <w:right w:val="single" w:color="auto" w:sz="4" w:space="0"/>
            </w:tcBorders>
            <w:vAlign w:val="center"/>
          </w:tcPr>
          <w:p>
            <w:pPr>
              <w:widowControl/>
              <w:spacing w:line="240" w:lineRule="exact"/>
              <w:jc w:val="left"/>
              <w:rPr>
                <w:rFonts w:ascii="仿宋" w:hAnsi="仿宋" w:eastAsia="仿宋"/>
                <w:color w:val="000000"/>
                <w:kern w:val="0"/>
                <w:sz w:val="18"/>
                <w:szCs w:val="18"/>
              </w:rPr>
            </w:pPr>
            <w:r>
              <w:rPr>
                <w:rFonts w:hint="eastAsia" w:ascii="仿宋" w:hAnsi="仿宋" w:eastAsia="仿宋"/>
                <w:color w:val="000000"/>
                <w:kern w:val="0"/>
                <w:sz w:val="18"/>
                <w:szCs w:val="18"/>
              </w:rPr>
              <w:t>10</w:t>
            </w:r>
          </w:p>
        </w:tc>
        <w:tc>
          <w:tcPr>
            <w:tcW w:w="1069" w:type="dxa"/>
            <w:tcBorders>
              <w:top w:val="nil"/>
              <w:left w:val="nil"/>
              <w:bottom w:val="single" w:color="auto" w:sz="4" w:space="0"/>
              <w:right w:val="single" w:color="auto" w:sz="4" w:space="0"/>
            </w:tcBorders>
            <w:vAlign w:val="center"/>
          </w:tcPr>
          <w:p>
            <w:pPr>
              <w:widowControl/>
              <w:spacing w:line="240" w:lineRule="exact"/>
              <w:jc w:val="left"/>
              <w:rPr>
                <w:rFonts w:ascii="仿宋" w:hAnsi="仿宋" w:eastAsia="仿宋"/>
                <w:color w:val="000000"/>
                <w:kern w:val="0"/>
                <w:sz w:val="18"/>
                <w:szCs w:val="18"/>
              </w:rPr>
            </w:pPr>
            <w:r>
              <w:rPr>
                <w:rFonts w:ascii="仿宋" w:hAnsi="仿宋" w:eastAsia="仿宋"/>
                <w:color w:val="000000"/>
                <w:kern w:val="0"/>
                <w:sz w:val="18"/>
                <w:szCs w:val="18"/>
              </w:rPr>
              <w:t>　</w:t>
            </w:r>
          </w:p>
        </w:tc>
      </w:tr>
      <w:tr>
        <w:tblPrEx>
          <w:tblCellMar>
            <w:top w:w="0" w:type="dxa"/>
            <w:left w:w="108" w:type="dxa"/>
            <w:bottom w:w="0" w:type="dxa"/>
            <w:right w:w="108" w:type="dxa"/>
          </w:tblCellMar>
        </w:tblPrEx>
        <w:trPr>
          <w:trHeight w:val="270" w:hRule="atLeast"/>
          <w:jc w:val="center"/>
        </w:trPr>
        <w:tc>
          <w:tcPr>
            <w:tcW w:w="7283" w:type="dxa"/>
            <w:gridSpan w:val="7"/>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ascii="仿宋" w:hAnsi="仿宋" w:eastAsia="仿宋"/>
                <w:color w:val="000000"/>
                <w:kern w:val="0"/>
                <w:sz w:val="18"/>
                <w:szCs w:val="18"/>
              </w:rPr>
            </w:pPr>
            <w:r>
              <w:rPr>
                <w:rFonts w:ascii="仿宋" w:hAnsi="仿宋" w:eastAsia="仿宋"/>
                <w:color w:val="000000"/>
                <w:kern w:val="0"/>
                <w:sz w:val="18"/>
                <w:szCs w:val="18"/>
              </w:rPr>
              <w:t>总分</w:t>
            </w:r>
          </w:p>
        </w:tc>
        <w:tc>
          <w:tcPr>
            <w:tcW w:w="655" w:type="dxa"/>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olor w:val="000000"/>
                <w:kern w:val="0"/>
                <w:sz w:val="18"/>
                <w:szCs w:val="18"/>
              </w:rPr>
            </w:pPr>
            <w:r>
              <w:rPr>
                <w:rFonts w:ascii="仿宋" w:hAnsi="仿宋" w:eastAsia="仿宋"/>
                <w:color w:val="000000"/>
                <w:kern w:val="0"/>
                <w:sz w:val="18"/>
                <w:szCs w:val="18"/>
              </w:rPr>
              <w:t>100</w:t>
            </w:r>
          </w:p>
        </w:tc>
        <w:tc>
          <w:tcPr>
            <w:tcW w:w="986" w:type="dxa"/>
            <w:tcBorders>
              <w:top w:val="nil"/>
              <w:left w:val="nil"/>
              <w:bottom w:val="single" w:color="auto" w:sz="4" w:space="0"/>
              <w:right w:val="single" w:color="auto" w:sz="4" w:space="0"/>
            </w:tcBorders>
            <w:vAlign w:val="center"/>
          </w:tcPr>
          <w:p>
            <w:pPr>
              <w:widowControl/>
              <w:spacing w:line="240" w:lineRule="exact"/>
              <w:jc w:val="left"/>
              <w:rPr>
                <w:rFonts w:hint="eastAsia" w:ascii="仿宋" w:hAnsi="仿宋" w:eastAsia="仿宋"/>
                <w:color w:val="000000"/>
                <w:kern w:val="0"/>
                <w:sz w:val="18"/>
                <w:szCs w:val="18"/>
                <w:lang w:eastAsia="zh-CN"/>
              </w:rPr>
            </w:pPr>
            <w:r>
              <w:rPr>
                <w:rFonts w:ascii="仿宋" w:hAnsi="仿宋" w:eastAsia="仿宋"/>
                <w:color w:val="000000"/>
                <w:kern w:val="0"/>
                <w:sz w:val="18"/>
                <w:szCs w:val="18"/>
              </w:rPr>
              <w:t>　</w:t>
            </w:r>
            <w:r>
              <w:rPr>
                <w:rFonts w:hint="eastAsia" w:ascii="仿宋" w:hAnsi="仿宋" w:eastAsia="仿宋"/>
                <w:color w:val="000000"/>
                <w:kern w:val="0"/>
                <w:sz w:val="18"/>
                <w:szCs w:val="18"/>
              </w:rPr>
              <w:t>9</w:t>
            </w:r>
            <w:r>
              <w:rPr>
                <w:rFonts w:hint="eastAsia" w:ascii="仿宋" w:hAnsi="仿宋" w:eastAsia="仿宋"/>
                <w:color w:val="000000"/>
                <w:kern w:val="0"/>
                <w:sz w:val="18"/>
                <w:szCs w:val="18"/>
                <w:lang w:val="en-US" w:eastAsia="zh-CN"/>
              </w:rPr>
              <w:t>8</w:t>
            </w:r>
          </w:p>
        </w:tc>
        <w:tc>
          <w:tcPr>
            <w:tcW w:w="1069" w:type="dxa"/>
            <w:tcBorders>
              <w:top w:val="nil"/>
              <w:left w:val="nil"/>
              <w:bottom w:val="single" w:color="auto" w:sz="4" w:space="0"/>
              <w:right w:val="single" w:color="auto" w:sz="4" w:space="0"/>
            </w:tcBorders>
            <w:vAlign w:val="center"/>
          </w:tcPr>
          <w:p>
            <w:pPr>
              <w:widowControl/>
              <w:spacing w:line="240" w:lineRule="exact"/>
              <w:jc w:val="left"/>
              <w:rPr>
                <w:rFonts w:ascii="仿宋" w:hAnsi="仿宋" w:eastAsia="仿宋"/>
                <w:color w:val="000000"/>
                <w:kern w:val="0"/>
                <w:sz w:val="18"/>
                <w:szCs w:val="18"/>
              </w:rPr>
            </w:pPr>
            <w:r>
              <w:rPr>
                <w:rFonts w:ascii="仿宋" w:hAnsi="仿宋" w:eastAsia="仿宋"/>
                <w:color w:val="000000"/>
                <w:kern w:val="0"/>
                <w:sz w:val="18"/>
                <w:szCs w:val="18"/>
              </w:rPr>
              <w:t>　</w:t>
            </w:r>
          </w:p>
        </w:tc>
      </w:tr>
    </w:tbl>
    <w:p>
      <w:pPr>
        <w:snapToGrid w:val="0"/>
        <w:spacing w:line="520" w:lineRule="exact"/>
        <w:rPr>
          <w:rFonts w:ascii="仿宋" w:hAnsi="仿宋" w:eastAsia="仿宋" w:cs="宋体"/>
          <w:sz w:val="28"/>
          <w:szCs w:val="28"/>
        </w:rPr>
      </w:pPr>
    </w:p>
    <w:p>
      <w:pPr>
        <w:widowControl/>
        <w:snapToGrid w:val="0"/>
        <w:spacing w:line="360" w:lineRule="auto"/>
        <w:ind w:firstLine="4440" w:firstLineChars="1850"/>
        <w:jc w:val="left"/>
        <w:rPr>
          <w:rFonts w:ascii="仿宋" w:hAnsi="仿宋" w:eastAsia="仿宋" w:cs="仿宋"/>
          <w:color w:val="000000" w:themeColor="text1"/>
          <w:kern w:val="0"/>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12176"/>
    </w:sdtPr>
    <w:sdtContent>
      <w:p>
        <w:pPr>
          <w:pStyle w:val="6"/>
          <w:jc w:val="right"/>
        </w:pPr>
        <w:r>
          <w:fldChar w:fldCharType="begin"/>
        </w:r>
        <w:r>
          <w:instrText xml:space="preserve"> PAGE   \* MERGEFORMAT </w:instrText>
        </w:r>
        <w:r>
          <w:fldChar w:fldCharType="separate"/>
        </w:r>
        <w:r>
          <w:rPr>
            <w:lang w:val="zh-CN"/>
          </w:rPr>
          <w:t>1</w:t>
        </w:r>
        <w:r>
          <w:rPr>
            <w:lang w:val="zh-CN"/>
          </w:rPr>
          <w:fldChar w:fldCharType="end"/>
        </w:r>
      </w:p>
    </w:sdtContent>
  </w:sdt>
  <w:p>
    <w:pPr>
      <w:pStyle w:val="6"/>
      <w:ind w:left="210" w:leftChars="100" w:right="210" w:rightChars="100" w:firstLine="360"/>
      <w:rPr>
        <w:rFonts w:ascii="宋体" w:hAnsi="宋体"/>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850785"/>
    <w:multiLevelType w:val="singleLevel"/>
    <w:tmpl w:val="98850785"/>
    <w:lvl w:ilvl="0" w:tentative="0">
      <w:start w:val="1"/>
      <w:numFmt w:val="decimal"/>
      <w:suff w:val="nothing"/>
      <w:lvlText w:val="%1、"/>
      <w:lvlJc w:val="left"/>
    </w:lvl>
  </w:abstractNum>
  <w:abstractNum w:abstractNumId="1">
    <w:nsid w:val="CE416C88"/>
    <w:multiLevelType w:val="singleLevel"/>
    <w:tmpl w:val="CE416C88"/>
    <w:lvl w:ilvl="0" w:tentative="0">
      <w:start w:val="4"/>
      <w:numFmt w:val="chineseCounting"/>
      <w:suff w:val="nothing"/>
      <w:lvlText w:val="（%1）"/>
      <w:lvlJc w:val="left"/>
      <w:rPr>
        <w:rFonts w:hint="eastAsia"/>
      </w:rPr>
    </w:lvl>
  </w:abstractNum>
  <w:abstractNum w:abstractNumId="2">
    <w:nsid w:val="7E7A8B33"/>
    <w:multiLevelType w:val="singleLevel"/>
    <w:tmpl w:val="7E7A8B33"/>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2"/>
  </w:compat>
  <w:rsids>
    <w:rsidRoot w:val="00241362"/>
    <w:rsid w:val="00006A77"/>
    <w:rsid w:val="00007091"/>
    <w:rsid w:val="00012D07"/>
    <w:rsid w:val="00013C8F"/>
    <w:rsid w:val="00014968"/>
    <w:rsid w:val="00020212"/>
    <w:rsid w:val="0002249C"/>
    <w:rsid w:val="00024A25"/>
    <w:rsid w:val="00024BE3"/>
    <w:rsid w:val="00026D47"/>
    <w:rsid w:val="00027DE5"/>
    <w:rsid w:val="0004448B"/>
    <w:rsid w:val="00044506"/>
    <w:rsid w:val="00044B59"/>
    <w:rsid w:val="00050462"/>
    <w:rsid w:val="000511E9"/>
    <w:rsid w:val="00057A32"/>
    <w:rsid w:val="000605E5"/>
    <w:rsid w:val="00061FFC"/>
    <w:rsid w:val="000639F2"/>
    <w:rsid w:val="000640FF"/>
    <w:rsid w:val="000641AB"/>
    <w:rsid w:val="00065EEA"/>
    <w:rsid w:val="00066307"/>
    <w:rsid w:val="0006798B"/>
    <w:rsid w:val="00072E33"/>
    <w:rsid w:val="000773AD"/>
    <w:rsid w:val="0008185A"/>
    <w:rsid w:val="00081990"/>
    <w:rsid w:val="00083533"/>
    <w:rsid w:val="00084E12"/>
    <w:rsid w:val="00085201"/>
    <w:rsid w:val="00087673"/>
    <w:rsid w:val="00090115"/>
    <w:rsid w:val="000A0E9A"/>
    <w:rsid w:val="000A1EAF"/>
    <w:rsid w:val="000A2AEE"/>
    <w:rsid w:val="000A4F00"/>
    <w:rsid w:val="000B2300"/>
    <w:rsid w:val="000B6CD6"/>
    <w:rsid w:val="000C0A8E"/>
    <w:rsid w:val="000C2792"/>
    <w:rsid w:val="000D2A51"/>
    <w:rsid w:val="000D3125"/>
    <w:rsid w:val="000E0425"/>
    <w:rsid w:val="000E2F49"/>
    <w:rsid w:val="000E300C"/>
    <w:rsid w:val="000E49C0"/>
    <w:rsid w:val="000E5576"/>
    <w:rsid w:val="000E5CA1"/>
    <w:rsid w:val="000E70AC"/>
    <w:rsid w:val="000E7F38"/>
    <w:rsid w:val="000F12D2"/>
    <w:rsid w:val="000F2627"/>
    <w:rsid w:val="000F35F4"/>
    <w:rsid w:val="000F4849"/>
    <w:rsid w:val="000F5425"/>
    <w:rsid w:val="000F7E97"/>
    <w:rsid w:val="0010008F"/>
    <w:rsid w:val="00101F26"/>
    <w:rsid w:val="00103B74"/>
    <w:rsid w:val="0010408B"/>
    <w:rsid w:val="00111098"/>
    <w:rsid w:val="00112571"/>
    <w:rsid w:val="0011382B"/>
    <w:rsid w:val="00121AF5"/>
    <w:rsid w:val="00122155"/>
    <w:rsid w:val="0012252C"/>
    <w:rsid w:val="00125A50"/>
    <w:rsid w:val="00126265"/>
    <w:rsid w:val="001273CF"/>
    <w:rsid w:val="00130866"/>
    <w:rsid w:val="00135C9A"/>
    <w:rsid w:val="001371DC"/>
    <w:rsid w:val="00142040"/>
    <w:rsid w:val="0014228F"/>
    <w:rsid w:val="001429D5"/>
    <w:rsid w:val="00143E98"/>
    <w:rsid w:val="00144306"/>
    <w:rsid w:val="00144C7F"/>
    <w:rsid w:val="00146AB4"/>
    <w:rsid w:val="001479BC"/>
    <w:rsid w:val="00147B65"/>
    <w:rsid w:val="00150FB8"/>
    <w:rsid w:val="00151132"/>
    <w:rsid w:val="00152184"/>
    <w:rsid w:val="001558BA"/>
    <w:rsid w:val="00155923"/>
    <w:rsid w:val="00167956"/>
    <w:rsid w:val="001717E3"/>
    <w:rsid w:val="0017264C"/>
    <w:rsid w:val="00172E26"/>
    <w:rsid w:val="00183291"/>
    <w:rsid w:val="00183760"/>
    <w:rsid w:val="001A021A"/>
    <w:rsid w:val="001A6C81"/>
    <w:rsid w:val="001B0062"/>
    <w:rsid w:val="001B7524"/>
    <w:rsid w:val="001C0255"/>
    <w:rsid w:val="001C1201"/>
    <w:rsid w:val="001C3672"/>
    <w:rsid w:val="001C5100"/>
    <w:rsid w:val="001C7DA3"/>
    <w:rsid w:val="001D716A"/>
    <w:rsid w:val="001D7EE7"/>
    <w:rsid w:val="001E0B1C"/>
    <w:rsid w:val="001E0DE1"/>
    <w:rsid w:val="001E1877"/>
    <w:rsid w:val="001E24C1"/>
    <w:rsid w:val="001E2DD4"/>
    <w:rsid w:val="001E707F"/>
    <w:rsid w:val="00202536"/>
    <w:rsid w:val="00203692"/>
    <w:rsid w:val="00204CBC"/>
    <w:rsid w:val="00205915"/>
    <w:rsid w:val="002068C1"/>
    <w:rsid w:val="00206B48"/>
    <w:rsid w:val="00206DCE"/>
    <w:rsid w:val="00210294"/>
    <w:rsid w:val="00211789"/>
    <w:rsid w:val="00211FCE"/>
    <w:rsid w:val="0021346A"/>
    <w:rsid w:val="0021384E"/>
    <w:rsid w:val="00213E2C"/>
    <w:rsid w:val="00214587"/>
    <w:rsid w:val="002148A2"/>
    <w:rsid w:val="002154F1"/>
    <w:rsid w:val="002179D3"/>
    <w:rsid w:val="00222D65"/>
    <w:rsid w:val="002314B8"/>
    <w:rsid w:val="00231AF4"/>
    <w:rsid w:val="0024031F"/>
    <w:rsid w:val="00240CE5"/>
    <w:rsid w:val="00241362"/>
    <w:rsid w:val="00241ECF"/>
    <w:rsid w:val="00243EC5"/>
    <w:rsid w:val="00246412"/>
    <w:rsid w:val="0025194E"/>
    <w:rsid w:val="00257145"/>
    <w:rsid w:val="00261B55"/>
    <w:rsid w:val="0026481D"/>
    <w:rsid w:val="00265C6B"/>
    <w:rsid w:val="00276612"/>
    <w:rsid w:val="00276BA5"/>
    <w:rsid w:val="0027766B"/>
    <w:rsid w:val="0028162A"/>
    <w:rsid w:val="00283BF6"/>
    <w:rsid w:val="002868CC"/>
    <w:rsid w:val="00294A86"/>
    <w:rsid w:val="002950B1"/>
    <w:rsid w:val="00297D8F"/>
    <w:rsid w:val="002A231C"/>
    <w:rsid w:val="002B027F"/>
    <w:rsid w:val="002B15C4"/>
    <w:rsid w:val="002B1602"/>
    <w:rsid w:val="002B1875"/>
    <w:rsid w:val="002B245D"/>
    <w:rsid w:val="002B2D5E"/>
    <w:rsid w:val="002B2D71"/>
    <w:rsid w:val="002B72B9"/>
    <w:rsid w:val="002B78D5"/>
    <w:rsid w:val="002C1FC5"/>
    <w:rsid w:val="002C24C9"/>
    <w:rsid w:val="002C7B15"/>
    <w:rsid w:val="002C7E98"/>
    <w:rsid w:val="002D071A"/>
    <w:rsid w:val="002D5018"/>
    <w:rsid w:val="002D7F65"/>
    <w:rsid w:val="002E1095"/>
    <w:rsid w:val="002E2706"/>
    <w:rsid w:val="002E2928"/>
    <w:rsid w:val="002E37EC"/>
    <w:rsid w:val="002F0A0D"/>
    <w:rsid w:val="002F3068"/>
    <w:rsid w:val="002F4F8A"/>
    <w:rsid w:val="002F5DB8"/>
    <w:rsid w:val="00300AB2"/>
    <w:rsid w:val="003047AE"/>
    <w:rsid w:val="00304B69"/>
    <w:rsid w:val="00305A29"/>
    <w:rsid w:val="00306C98"/>
    <w:rsid w:val="00316B45"/>
    <w:rsid w:val="00322240"/>
    <w:rsid w:val="00323CE4"/>
    <w:rsid w:val="003243A8"/>
    <w:rsid w:val="00324DE8"/>
    <w:rsid w:val="00326947"/>
    <w:rsid w:val="00326E55"/>
    <w:rsid w:val="00331B68"/>
    <w:rsid w:val="0033210D"/>
    <w:rsid w:val="00332D96"/>
    <w:rsid w:val="00333D6A"/>
    <w:rsid w:val="00340381"/>
    <w:rsid w:val="00340A30"/>
    <w:rsid w:val="00340D38"/>
    <w:rsid w:val="00344A8E"/>
    <w:rsid w:val="00345751"/>
    <w:rsid w:val="00351153"/>
    <w:rsid w:val="003511D3"/>
    <w:rsid w:val="003625F4"/>
    <w:rsid w:val="0036404E"/>
    <w:rsid w:val="003650DB"/>
    <w:rsid w:val="00366AA4"/>
    <w:rsid w:val="003777A4"/>
    <w:rsid w:val="00377B33"/>
    <w:rsid w:val="003808C7"/>
    <w:rsid w:val="003860A0"/>
    <w:rsid w:val="003860D4"/>
    <w:rsid w:val="00386E81"/>
    <w:rsid w:val="00390C41"/>
    <w:rsid w:val="0039439D"/>
    <w:rsid w:val="00395AE3"/>
    <w:rsid w:val="00396575"/>
    <w:rsid w:val="00397918"/>
    <w:rsid w:val="003A0A3D"/>
    <w:rsid w:val="003A1AC1"/>
    <w:rsid w:val="003A201D"/>
    <w:rsid w:val="003A4466"/>
    <w:rsid w:val="003A485B"/>
    <w:rsid w:val="003A48AC"/>
    <w:rsid w:val="003B42DC"/>
    <w:rsid w:val="003B6649"/>
    <w:rsid w:val="003C0CBD"/>
    <w:rsid w:val="003C2FFC"/>
    <w:rsid w:val="003C60E5"/>
    <w:rsid w:val="003D223C"/>
    <w:rsid w:val="003D487C"/>
    <w:rsid w:val="003D5592"/>
    <w:rsid w:val="003E1060"/>
    <w:rsid w:val="003E2B56"/>
    <w:rsid w:val="003E6001"/>
    <w:rsid w:val="003F00EE"/>
    <w:rsid w:val="003F1BCA"/>
    <w:rsid w:val="003F4FA8"/>
    <w:rsid w:val="003F599B"/>
    <w:rsid w:val="003F7CE9"/>
    <w:rsid w:val="00401E7B"/>
    <w:rsid w:val="00404F4A"/>
    <w:rsid w:val="0041229E"/>
    <w:rsid w:val="004135D2"/>
    <w:rsid w:val="00416040"/>
    <w:rsid w:val="004161BE"/>
    <w:rsid w:val="00420820"/>
    <w:rsid w:val="0042533F"/>
    <w:rsid w:val="0042787C"/>
    <w:rsid w:val="00431308"/>
    <w:rsid w:val="00431E7A"/>
    <w:rsid w:val="004323DF"/>
    <w:rsid w:val="00432A4A"/>
    <w:rsid w:val="004332A0"/>
    <w:rsid w:val="004337A6"/>
    <w:rsid w:val="00441056"/>
    <w:rsid w:val="00442766"/>
    <w:rsid w:val="00445529"/>
    <w:rsid w:val="0045423C"/>
    <w:rsid w:val="004545E0"/>
    <w:rsid w:val="004547C7"/>
    <w:rsid w:val="00454B11"/>
    <w:rsid w:val="004555E1"/>
    <w:rsid w:val="004564E5"/>
    <w:rsid w:val="00460E17"/>
    <w:rsid w:val="00461C3F"/>
    <w:rsid w:val="004669B7"/>
    <w:rsid w:val="004734CB"/>
    <w:rsid w:val="004741B5"/>
    <w:rsid w:val="004809E0"/>
    <w:rsid w:val="00492AEF"/>
    <w:rsid w:val="00493E07"/>
    <w:rsid w:val="004A0472"/>
    <w:rsid w:val="004A2BA9"/>
    <w:rsid w:val="004A3309"/>
    <w:rsid w:val="004A56CA"/>
    <w:rsid w:val="004A7782"/>
    <w:rsid w:val="004A7984"/>
    <w:rsid w:val="004B0ADA"/>
    <w:rsid w:val="004B3200"/>
    <w:rsid w:val="004B381C"/>
    <w:rsid w:val="004B714E"/>
    <w:rsid w:val="004C5135"/>
    <w:rsid w:val="004E3780"/>
    <w:rsid w:val="004E703C"/>
    <w:rsid w:val="004E7C1D"/>
    <w:rsid w:val="004F0529"/>
    <w:rsid w:val="004F2779"/>
    <w:rsid w:val="004F3979"/>
    <w:rsid w:val="004F553D"/>
    <w:rsid w:val="00500238"/>
    <w:rsid w:val="00501C31"/>
    <w:rsid w:val="005027D5"/>
    <w:rsid w:val="00504172"/>
    <w:rsid w:val="00504292"/>
    <w:rsid w:val="0051157B"/>
    <w:rsid w:val="0051198A"/>
    <w:rsid w:val="00512157"/>
    <w:rsid w:val="00512299"/>
    <w:rsid w:val="00513605"/>
    <w:rsid w:val="00513CB3"/>
    <w:rsid w:val="00513D41"/>
    <w:rsid w:val="00515208"/>
    <w:rsid w:val="005178B1"/>
    <w:rsid w:val="00517A16"/>
    <w:rsid w:val="00521E64"/>
    <w:rsid w:val="00523844"/>
    <w:rsid w:val="005254FC"/>
    <w:rsid w:val="00527E39"/>
    <w:rsid w:val="00534E1F"/>
    <w:rsid w:val="00545D48"/>
    <w:rsid w:val="005461CF"/>
    <w:rsid w:val="0054730A"/>
    <w:rsid w:val="00551AF4"/>
    <w:rsid w:val="00554FBE"/>
    <w:rsid w:val="00556A5F"/>
    <w:rsid w:val="00562EBE"/>
    <w:rsid w:val="005631DD"/>
    <w:rsid w:val="005634E7"/>
    <w:rsid w:val="00564682"/>
    <w:rsid w:val="00565221"/>
    <w:rsid w:val="00567F94"/>
    <w:rsid w:val="00571860"/>
    <w:rsid w:val="00574AFF"/>
    <w:rsid w:val="00582DB7"/>
    <w:rsid w:val="00583978"/>
    <w:rsid w:val="0058677C"/>
    <w:rsid w:val="005867DD"/>
    <w:rsid w:val="00591603"/>
    <w:rsid w:val="005952B6"/>
    <w:rsid w:val="005957F9"/>
    <w:rsid w:val="005A1D08"/>
    <w:rsid w:val="005A598D"/>
    <w:rsid w:val="005B4145"/>
    <w:rsid w:val="005B56FA"/>
    <w:rsid w:val="005B7507"/>
    <w:rsid w:val="005C4CD7"/>
    <w:rsid w:val="005C5B03"/>
    <w:rsid w:val="005D6E04"/>
    <w:rsid w:val="005E3F15"/>
    <w:rsid w:val="005E5776"/>
    <w:rsid w:val="005E799E"/>
    <w:rsid w:val="005F046C"/>
    <w:rsid w:val="005F10ED"/>
    <w:rsid w:val="005F159A"/>
    <w:rsid w:val="005F1B12"/>
    <w:rsid w:val="005F5402"/>
    <w:rsid w:val="005F63C8"/>
    <w:rsid w:val="005F7526"/>
    <w:rsid w:val="00601884"/>
    <w:rsid w:val="0060461E"/>
    <w:rsid w:val="0060742C"/>
    <w:rsid w:val="00607CCB"/>
    <w:rsid w:val="00611238"/>
    <w:rsid w:val="006130D3"/>
    <w:rsid w:val="006206E4"/>
    <w:rsid w:val="00621EFD"/>
    <w:rsid w:val="0062344C"/>
    <w:rsid w:val="00624534"/>
    <w:rsid w:val="006255DC"/>
    <w:rsid w:val="00625C54"/>
    <w:rsid w:val="00635E25"/>
    <w:rsid w:val="00641815"/>
    <w:rsid w:val="0064248C"/>
    <w:rsid w:val="006424AC"/>
    <w:rsid w:val="006425E2"/>
    <w:rsid w:val="00642844"/>
    <w:rsid w:val="00643776"/>
    <w:rsid w:val="0065083F"/>
    <w:rsid w:val="006539EE"/>
    <w:rsid w:val="00662DE6"/>
    <w:rsid w:val="00664827"/>
    <w:rsid w:val="0066564C"/>
    <w:rsid w:val="00670703"/>
    <w:rsid w:val="00677875"/>
    <w:rsid w:val="00682EEB"/>
    <w:rsid w:val="00683DE3"/>
    <w:rsid w:val="0068503C"/>
    <w:rsid w:val="00685607"/>
    <w:rsid w:val="00687993"/>
    <w:rsid w:val="00687AA8"/>
    <w:rsid w:val="006921EF"/>
    <w:rsid w:val="00695A78"/>
    <w:rsid w:val="006964B3"/>
    <w:rsid w:val="006A215F"/>
    <w:rsid w:val="006A23BA"/>
    <w:rsid w:val="006A37C9"/>
    <w:rsid w:val="006B147D"/>
    <w:rsid w:val="006B3F98"/>
    <w:rsid w:val="006C1E5B"/>
    <w:rsid w:val="006C33F0"/>
    <w:rsid w:val="006C7861"/>
    <w:rsid w:val="006D1549"/>
    <w:rsid w:val="006D3973"/>
    <w:rsid w:val="006D41BE"/>
    <w:rsid w:val="006D4314"/>
    <w:rsid w:val="006D4F8A"/>
    <w:rsid w:val="006D5DE8"/>
    <w:rsid w:val="006D7C3C"/>
    <w:rsid w:val="006E7740"/>
    <w:rsid w:val="006F15DC"/>
    <w:rsid w:val="006F16A0"/>
    <w:rsid w:val="006F206A"/>
    <w:rsid w:val="006F3F79"/>
    <w:rsid w:val="006F44ED"/>
    <w:rsid w:val="006F49E0"/>
    <w:rsid w:val="006F5F0A"/>
    <w:rsid w:val="006F6133"/>
    <w:rsid w:val="007002C6"/>
    <w:rsid w:val="00700D57"/>
    <w:rsid w:val="00701334"/>
    <w:rsid w:val="00701870"/>
    <w:rsid w:val="00706469"/>
    <w:rsid w:val="00706C14"/>
    <w:rsid w:val="00710907"/>
    <w:rsid w:val="00711C14"/>
    <w:rsid w:val="00714B65"/>
    <w:rsid w:val="007158A3"/>
    <w:rsid w:val="00716A7E"/>
    <w:rsid w:val="00720771"/>
    <w:rsid w:val="00720BF4"/>
    <w:rsid w:val="0072189D"/>
    <w:rsid w:val="00722D7C"/>
    <w:rsid w:val="00723660"/>
    <w:rsid w:val="00723739"/>
    <w:rsid w:val="007257A0"/>
    <w:rsid w:val="00725F30"/>
    <w:rsid w:val="00726367"/>
    <w:rsid w:val="00727B8F"/>
    <w:rsid w:val="00727CE8"/>
    <w:rsid w:val="007308AF"/>
    <w:rsid w:val="00737950"/>
    <w:rsid w:val="00742F87"/>
    <w:rsid w:val="00750002"/>
    <w:rsid w:val="007504E2"/>
    <w:rsid w:val="0075060E"/>
    <w:rsid w:val="007546CD"/>
    <w:rsid w:val="00754B07"/>
    <w:rsid w:val="007572F9"/>
    <w:rsid w:val="00766ED4"/>
    <w:rsid w:val="00767666"/>
    <w:rsid w:val="00785164"/>
    <w:rsid w:val="007860C0"/>
    <w:rsid w:val="00790A3F"/>
    <w:rsid w:val="00792AF2"/>
    <w:rsid w:val="007937DD"/>
    <w:rsid w:val="007963E6"/>
    <w:rsid w:val="007A5B1B"/>
    <w:rsid w:val="007A7480"/>
    <w:rsid w:val="007B0EEE"/>
    <w:rsid w:val="007B13F3"/>
    <w:rsid w:val="007B140A"/>
    <w:rsid w:val="007B1924"/>
    <w:rsid w:val="007B23CB"/>
    <w:rsid w:val="007B27F5"/>
    <w:rsid w:val="007B416A"/>
    <w:rsid w:val="007B7BC2"/>
    <w:rsid w:val="007C0303"/>
    <w:rsid w:val="007C08A1"/>
    <w:rsid w:val="007C2C35"/>
    <w:rsid w:val="007C4145"/>
    <w:rsid w:val="007D0C4F"/>
    <w:rsid w:val="007D52E8"/>
    <w:rsid w:val="007E05BA"/>
    <w:rsid w:val="007E09A8"/>
    <w:rsid w:val="007E0C13"/>
    <w:rsid w:val="007E3421"/>
    <w:rsid w:val="007E4C23"/>
    <w:rsid w:val="007E53C7"/>
    <w:rsid w:val="007E5822"/>
    <w:rsid w:val="007F7DE4"/>
    <w:rsid w:val="00800FC7"/>
    <w:rsid w:val="00803488"/>
    <w:rsid w:val="00810BD0"/>
    <w:rsid w:val="008112D1"/>
    <w:rsid w:val="00816518"/>
    <w:rsid w:val="0082163B"/>
    <w:rsid w:val="00822706"/>
    <w:rsid w:val="00832FFC"/>
    <w:rsid w:val="008334D1"/>
    <w:rsid w:val="00842C25"/>
    <w:rsid w:val="00844172"/>
    <w:rsid w:val="008557CF"/>
    <w:rsid w:val="0085621F"/>
    <w:rsid w:val="00860956"/>
    <w:rsid w:val="00860964"/>
    <w:rsid w:val="00861342"/>
    <w:rsid w:val="008622F5"/>
    <w:rsid w:val="0086312F"/>
    <w:rsid w:val="00863400"/>
    <w:rsid w:val="008640D6"/>
    <w:rsid w:val="00874664"/>
    <w:rsid w:val="0087507B"/>
    <w:rsid w:val="0087634A"/>
    <w:rsid w:val="00880D68"/>
    <w:rsid w:val="00884224"/>
    <w:rsid w:val="00884B02"/>
    <w:rsid w:val="0088639D"/>
    <w:rsid w:val="008945B2"/>
    <w:rsid w:val="0089533C"/>
    <w:rsid w:val="00895448"/>
    <w:rsid w:val="0089699B"/>
    <w:rsid w:val="008A03D8"/>
    <w:rsid w:val="008A1D0D"/>
    <w:rsid w:val="008A21A9"/>
    <w:rsid w:val="008A2A36"/>
    <w:rsid w:val="008A2E55"/>
    <w:rsid w:val="008A3213"/>
    <w:rsid w:val="008A401F"/>
    <w:rsid w:val="008A5341"/>
    <w:rsid w:val="008A7A8A"/>
    <w:rsid w:val="008A7C5E"/>
    <w:rsid w:val="008B10FA"/>
    <w:rsid w:val="008B2140"/>
    <w:rsid w:val="008B6471"/>
    <w:rsid w:val="008B7512"/>
    <w:rsid w:val="008B79A2"/>
    <w:rsid w:val="008C1EAC"/>
    <w:rsid w:val="008D0DD3"/>
    <w:rsid w:val="008D11C8"/>
    <w:rsid w:val="008D1F01"/>
    <w:rsid w:val="008D3876"/>
    <w:rsid w:val="008D4D84"/>
    <w:rsid w:val="008E2E65"/>
    <w:rsid w:val="008E5367"/>
    <w:rsid w:val="008E5421"/>
    <w:rsid w:val="008E5ADF"/>
    <w:rsid w:val="008F0154"/>
    <w:rsid w:val="008F0204"/>
    <w:rsid w:val="008F0468"/>
    <w:rsid w:val="008F0BB2"/>
    <w:rsid w:val="00903DCE"/>
    <w:rsid w:val="00910EFC"/>
    <w:rsid w:val="00913A1B"/>
    <w:rsid w:val="0091500A"/>
    <w:rsid w:val="00916AEE"/>
    <w:rsid w:val="00923F7F"/>
    <w:rsid w:val="0092484E"/>
    <w:rsid w:val="009309DF"/>
    <w:rsid w:val="009347C1"/>
    <w:rsid w:val="00940825"/>
    <w:rsid w:val="0094122A"/>
    <w:rsid w:val="0094390C"/>
    <w:rsid w:val="0094431D"/>
    <w:rsid w:val="0094603F"/>
    <w:rsid w:val="0095132A"/>
    <w:rsid w:val="00952650"/>
    <w:rsid w:val="00962365"/>
    <w:rsid w:val="00965A74"/>
    <w:rsid w:val="00974AE2"/>
    <w:rsid w:val="00976415"/>
    <w:rsid w:val="0098361E"/>
    <w:rsid w:val="00983F8C"/>
    <w:rsid w:val="00984166"/>
    <w:rsid w:val="0098482E"/>
    <w:rsid w:val="009874F5"/>
    <w:rsid w:val="009957F2"/>
    <w:rsid w:val="009A1C35"/>
    <w:rsid w:val="009A1CEF"/>
    <w:rsid w:val="009A537E"/>
    <w:rsid w:val="009B10CC"/>
    <w:rsid w:val="009B4794"/>
    <w:rsid w:val="009B6743"/>
    <w:rsid w:val="009B6DDF"/>
    <w:rsid w:val="009C1516"/>
    <w:rsid w:val="009C40E0"/>
    <w:rsid w:val="009D0995"/>
    <w:rsid w:val="009D3755"/>
    <w:rsid w:val="009D46CF"/>
    <w:rsid w:val="009D7ECD"/>
    <w:rsid w:val="009E1D44"/>
    <w:rsid w:val="009E3443"/>
    <w:rsid w:val="009E5254"/>
    <w:rsid w:val="009E5798"/>
    <w:rsid w:val="009F2A8E"/>
    <w:rsid w:val="009F2BF0"/>
    <w:rsid w:val="00A0078D"/>
    <w:rsid w:val="00A02EFB"/>
    <w:rsid w:val="00A11BA0"/>
    <w:rsid w:val="00A125F9"/>
    <w:rsid w:val="00A1530D"/>
    <w:rsid w:val="00A206AC"/>
    <w:rsid w:val="00A2132C"/>
    <w:rsid w:val="00A23674"/>
    <w:rsid w:val="00A24B8C"/>
    <w:rsid w:val="00A24D63"/>
    <w:rsid w:val="00A26A39"/>
    <w:rsid w:val="00A32B0A"/>
    <w:rsid w:val="00A35530"/>
    <w:rsid w:val="00A36816"/>
    <w:rsid w:val="00A423D4"/>
    <w:rsid w:val="00A434A6"/>
    <w:rsid w:val="00A43B8E"/>
    <w:rsid w:val="00A5078E"/>
    <w:rsid w:val="00A52BDB"/>
    <w:rsid w:val="00A56967"/>
    <w:rsid w:val="00A577E1"/>
    <w:rsid w:val="00A61C8F"/>
    <w:rsid w:val="00A61F90"/>
    <w:rsid w:val="00A62AC3"/>
    <w:rsid w:val="00A714F2"/>
    <w:rsid w:val="00A717B3"/>
    <w:rsid w:val="00A71EE2"/>
    <w:rsid w:val="00A74A6F"/>
    <w:rsid w:val="00A8300D"/>
    <w:rsid w:val="00A839C7"/>
    <w:rsid w:val="00A84B91"/>
    <w:rsid w:val="00A93299"/>
    <w:rsid w:val="00AA505B"/>
    <w:rsid w:val="00AA56A6"/>
    <w:rsid w:val="00AA5CA4"/>
    <w:rsid w:val="00AB0998"/>
    <w:rsid w:val="00AB2796"/>
    <w:rsid w:val="00AB2D22"/>
    <w:rsid w:val="00AB501C"/>
    <w:rsid w:val="00AC219A"/>
    <w:rsid w:val="00AC2615"/>
    <w:rsid w:val="00AC425B"/>
    <w:rsid w:val="00AD1646"/>
    <w:rsid w:val="00AD1F2E"/>
    <w:rsid w:val="00AD600F"/>
    <w:rsid w:val="00AD635D"/>
    <w:rsid w:val="00AD6E8B"/>
    <w:rsid w:val="00AD7B70"/>
    <w:rsid w:val="00AE32B6"/>
    <w:rsid w:val="00AF1D9C"/>
    <w:rsid w:val="00AF761A"/>
    <w:rsid w:val="00B00AC3"/>
    <w:rsid w:val="00B013F8"/>
    <w:rsid w:val="00B01413"/>
    <w:rsid w:val="00B01B50"/>
    <w:rsid w:val="00B0361E"/>
    <w:rsid w:val="00B04C75"/>
    <w:rsid w:val="00B06D02"/>
    <w:rsid w:val="00B07CC2"/>
    <w:rsid w:val="00B10D1E"/>
    <w:rsid w:val="00B1583E"/>
    <w:rsid w:val="00B16B55"/>
    <w:rsid w:val="00B21322"/>
    <w:rsid w:val="00B224E8"/>
    <w:rsid w:val="00B245CC"/>
    <w:rsid w:val="00B245DB"/>
    <w:rsid w:val="00B25743"/>
    <w:rsid w:val="00B2680D"/>
    <w:rsid w:val="00B36B19"/>
    <w:rsid w:val="00B40573"/>
    <w:rsid w:val="00B426C1"/>
    <w:rsid w:val="00B45A89"/>
    <w:rsid w:val="00B46D8F"/>
    <w:rsid w:val="00B46E10"/>
    <w:rsid w:val="00B50CCC"/>
    <w:rsid w:val="00B520C9"/>
    <w:rsid w:val="00B5664B"/>
    <w:rsid w:val="00B57AAB"/>
    <w:rsid w:val="00B614BF"/>
    <w:rsid w:val="00B62605"/>
    <w:rsid w:val="00B638E8"/>
    <w:rsid w:val="00B764FC"/>
    <w:rsid w:val="00B850D4"/>
    <w:rsid w:val="00B860FD"/>
    <w:rsid w:val="00B86668"/>
    <w:rsid w:val="00B866EC"/>
    <w:rsid w:val="00B8720F"/>
    <w:rsid w:val="00B92593"/>
    <w:rsid w:val="00B95413"/>
    <w:rsid w:val="00B95A57"/>
    <w:rsid w:val="00B96D90"/>
    <w:rsid w:val="00B97DCD"/>
    <w:rsid w:val="00BA0534"/>
    <w:rsid w:val="00BA57DF"/>
    <w:rsid w:val="00BA74BF"/>
    <w:rsid w:val="00BB168E"/>
    <w:rsid w:val="00BB17A0"/>
    <w:rsid w:val="00BB4B0B"/>
    <w:rsid w:val="00BB7199"/>
    <w:rsid w:val="00BB7567"/>
    <w:rsid w:val="00BC709A"/>
    <w:rsid w:val="00BD0612"/>
    <w:rsid w:val="00BD0A10"/>
    <w:rsid w:val="00BD3C6D"/>
    <w:rsid w:val="00BD6363"/>
    <w:rsid w:val="00BD7C3C"/>
    <w:rsid w:val="00BE5271"/>
    <w:rsid w:val="00BE5E1A"/>
    <w:rsid w:val="00BE6088"/>
    <w:rsid w:val="00BE6F01"/>
    <w:rsid w:val="00BF42B7"/>
    <w:rsid w:val="00BF5E3C"/>
    <w:rsid w:val="00BF6632"/>
    <w:rsid w:val="00BF68CF"/>
    <w:rsid w:val="00C0081E"/>
    <w:rsid w:val="00C02E25"/>
    <w:rsid w:val="00C03ACE"/>
    <w:rsid w:val="00C0641E"/>
    <w:rsid w:val="00C1007D"/>
    <w:rsid w:val="00C11F11"/>
    <w:rsid w:val="00C13087"/>
    <w:rsid w:val="00C176C4"/>
    <w:rsid w:val="00C20024"/>
    <w:rsid w:val="00C22C54"/>
    <w:rsid w:val="00C24A33"/>
    <w:rsid w:val="00C250B3"/>
    <w:rsid w:val="00C25604"/>
    <w:rsid w:val="00C276AC"/>
    <w:rsid w:val="00C3256F"/>
    <w:rsid w:val="00C34608"/>
    <w:rsid w:val="00C34C54"/>
    <w:rsid w:val="00C36BFB"/>
    <w:rsid w:val="00C40046"/>
    <w:rsid w:val="00C419AD"/>
    <w:rsid w:val="00C43389"/>
    <w:rsid w:val="00C504FB"/>
    <w:rsid w:val="00C50AC0"/>
    <w:rsid w:val="00C51AEA"/>
    <w:rsid w:val="00C5479C"/>
    <w:rsid w:val="00C62A14"/>
    <w:rsid w:val="00C63069"/>
    <w:rsid w:val="00C64DEE"/>
    <w:rsid w:val="00C65DF5"/>
    <w:rsid w:val="00C66C8B"/>
    <w:rsid w:val="00C71743"/>
    <w:rsid w:val="00C717A4"/>
    <w:rsid w:val="00C72531"/>
    <w:rsid w:val="00C72F6A"/>
    <w:rsid w:val="00C74DE9"/>
    <w:rsid w:val="00C7614F"/>
    <w:rsid w:val="00C76703"/>
    <w:rsid w:val="00C81EDF"/>
    <w:rsid w:val="00C84BE0"/>
    <w:rsid w:val="00C91A47"/>
    <w:rsid w:val="00CA2D1C"/>
    <w:rsid w:val="00CA3B29"/>
    <w:rsid w:val="00CA41D7"/>
    <w:rsid w:val="00CA5DC7"/>
    <w:rsid w:val="00CB2767"/>
    <w:rsid w:val="00CB2911"/>
    <w:rsid w:val="00CB4B84"/>
    <w:rsid w:val="00CC0039"/>
    <w:rsid w:val="00CC0051"/>
    <w:rsid w:val="00CC095B"/>
    <w:rsid w:val="00CC2078"/>
    <w:rsid w:val="00CC374D"/>
    <w:rsid w:val="00CC3F5C"/>
    <w:rsid w:val="00CC46A4"/>
    <w:rsid w:val="00CC56E5"/>
    <w:rsid w:val="00CC6659"/>
    <w:rsid w:val="00CD1ACB"/>
    <w:rsid w:val="00CD3225"/>
    <w:rsid w:val="00CD4EFF"/>
    <w:rsid w:val="00CE00CB"/>
    <w:rsid w:val="00CE0ECC"/>
    <w:rsid w:val="00CE2BC6"/>
    <w:rsid w:val="00CE4DE5"/>
    <w:rsid w:val="00CF1358"/>
    <w:rsid w:val="00CF1B24"/>
    <w:rsid w:val="00CF49AF"/>
    <w:rsid w:val="00CF5A06"/>
    <w:rsid w:val="00CF7175"/>
    <w:rsid w:val="00D05D10"/>
    <w:rsid w:val="00D063AC"/>
    <w:rsid w:val="00D10A70"/>
    <w:rsid w:val="00D1593B"/>
    <w:rsid w:val="00D245F8"/>
    <w:rsid w:val="00D25955"/>
    <w:rsid w:val="00D26353"/>
    <w:rsid w:val="00D32E6F"/>
    <w:rsid w:val="00D3462A"/>
    <w:rsid w:val="00D349F0"/>
    <w:rsid w:val="00D36249"/>
    <w:rsid w:val="00D36CAE"/>
    <w:rsid w:val="00D36DFB"/>
    <w:rsid w:val="00D44D1A"/>
    <w:rsid w:val="00D54C80"/>
    <w:rsid w:val="00D56A1A"/>
    <w:rsid w:val="00D629B0"/>
    <w:rsid w:val="00D63206"/>
    <w:rsid w:val="00D73CE1"/>
    <w:rsid w:val="00D7416D"/>
    <w:rsid w:val="00D76B12"/>
    <w:rsid w:val="00D77C92"/>
    <w:rsid w:val="00D80857"/>
    <w:rsid w:val="00D82C97"/>
    <w:rsid w:val="00D9023E"/>
    <w:rsid w:val="00D90B11"/>
    <w:rsid w:val="00D92E89"/>
    <w:rsid w:val="00D97667"/>
    <w:rsid w:val="00DA1F22"/>
    <w:rsid w:val="00DA29EE"/>
    <w:rsid w:val="00DA5188"/>
    <w:rsid w:val="00DC17A8"/>
    <w:rsid w:val="00DC1D63"/>
    <w:rsid w:val="00DC3FCE"/>
    <w:rsid w:val="00DC47BB"/>
    <w:rsid w:val="00DC49C2"/>
    <w:rsid w:val="00DD6E34"/>
    <w:rsid w:val="00DE3D6C"/>
    <w:rsid w:val="00DF13F9"/>
    <w:rsid w:val="00DF3004"/>
    <w:rsid w:val="00DF571A"/>
    <w:rsid w:val="00DF6F76"/>
    <w:rsid w:val="00E01C0E"/>
    <w:rsid w:val="00E027D1"/>
    <w:rsid w:val="00E035B4"/>
    <w:rsid w:val="00E07ACF"/>
    <w:rsid w:val="00E104D1"/>
    <w:rsid w:val="00E22D50"/>
    <w:rsid w:val="00E230A9"/>
    <w:rsid w:val="00E2364E"/>
    <w:rsid w:val="00E250B7"/>
    <w:rsid w:val="00E2541D"/>
    <w:rsid w:val="00E25C61"/>
    <w:rsid w:val="00E349D2"/>
    <w:rsid w:val="00E351A1"/>
    <w:rsid w:val="00E3532D"/>
    <w:rsid w:val="00E36AA5"/>
    <w:rsid w:val="00E40F1C"/>
    <w:rsid w:val="00E4377C"/>
    <w:rsid w:val="00E45158"/>
    <w:rsid w:val="00E51DD6"/>
    <w:rsid w:val="00E5217F"/>
    <w:rsid w:val="00E57B84"/>
    <w:rsid w:val="00E608C0"/>
    <w:rsid w:val="00E638A2"/>
    <w:rsid w:val="00E64008"/>
    <w:rsid w:val="00E64E07"/>
    <w:rsid w:val="00E665C0"/>
    <w:rsid w:val="00E672E7"/>
    <w:rsid w:val="00E70014"/>
    <w:rsid w:val="00E71ACA"/>
    <w:rsid w:val="00E765DB"/>
    <w:rsid w:val="00E77F3A"/>
    <w:rsid w:val="00E80033"/>
    <w:rsid w:val="00E82705"/>
    <w:rsid w:val="00E90960"/>
    <w:rsid w:val="00E94D4E"/>
    <w:rsid w:val="00E955F8"/>
    <w:rsid w:val="00E96BAC"/>
    <w:rsid w:val="00EA0513"/>
    <w:rsid w:val="00EC14E9"/>
    <w:rsid w:val="00EC7F98"/>
    <w:rsid w:val="00ED1427"/>
    <w:rsid w:val="00ED2350"/>
    <w:rsid w:val="00ED4233"/>
    <w:rsid w:val="00ED72CE"/>
    <w:rsid w:val="00ED78B6"/>
    <w:rsid w:val="00ED7F7E"/>
    <w:rsid w:val="00EE20DC"/>
    <w:rsid w:val="00EE3941"/>
    <w:rsid w:val="00EE5B81"/>
    <w:rsid w:val="00EF4A56"/>
    <w:rsid w:val="00EF4F1C"/>
    <w:rsid w:val="00EF673C"/>
    <w:rsid w:val="00F008A1"/>
    <w:rsid w:val="00F024F7"/>
    <w:rsid w:val="00F05279"/>
    <w:rsid w:val="00F07895"/>
    <w:rsid w:val="00F11CA5"/>
    <w:rsid w:val="00F17E13"/>
    <w:rsid w:val="00F20FDA"/>
    <w:rsid w:val="00F2110F"/>
    <w:rsid w:val="00F21B40"/>
    <w:rsid w:val="00F22553"/>
    <w:rsid w:val="00F22FD5"/>
    <w:rsid w:val="00F3062A"/>
    <w:rsid w:val="00F317C4"/>
    <w:rsid w:val="00F31CAB"/>
    <w:rsid w:val="00F326AA"/>
    <w:rsid w:val="00F33A14"/>
    <w:rsid w:val="00F3663F"/>
    <w:rsid w:val="00F45057"/>
    <w:rsid w:val="00F45689"/>
    <w:rsid w:val="00F46C0F"/>
    <w:rsid w:val="00F511B6"/>
    <w:rsid w:val="00F5219C"/>
    <w:rsid w:val="00F5629F"/>
    <w:rsid w:val="00F63267"/>
    <w:rsid w:val="00F63CE3"/>
    <w:rsid w:val="00F72721"/>
    <w:rsid w:val="00F77A0D"/>
    <w:rsid w:val="00F80956"/>
    <w:rsid w:val="00F811D8"/>
    <w:rsid w:val="00F837C8"/>
    <w:rsid w:val="00F83A15"/>
    <w:rsid w:val="00F844DE"/>
    <w:rsid w:val="00F84A4D"/>
    <w:rsid w:val="00F943A4"/>
    <w:rsid w:val="00F9537F"/>
    <w:rsid w:val="00F957C6"/>
    <w:rsid w:val="00F96434"/>
    <w:rsid w:val="00F9773B"/>
    <w:rsid w:val="00F97DD9"/>
    <w:rsid w:val="00FA02AC"/>
    <w:rsid w:val="00FA2478"/>
    <w:rsid w:val="00FA3107"/>
    <w:rsid w:val="00FA5ABF"/>
    <w:rsid w:val="00FB057E"/>
    <w:rsid w:val="00FB43BA"/>
    <w:rsid w:val="00FB4F1B"/>
    <w:rsid w:val="00FB5A0E"/>
    <w:rsid w:val="00FC012D"/>
    <w:rsid w:val="00FC15C7"/>
    <w:rsid w:val="00FC2322"/>
    <w:rsid w:val="00FC4FE6"/>
    <w:rsid w:val="00FC6BC3"/>
    <w:rsid w:val="00FD1C84"/>
    <w:rsid w:val="00FD794E"/>
    <w:rsid w:val="00FD7995"/>
    <w:rsid w:val="00FE2FB6"/>
    <w:rsid w:val="00FE31B6"/>
    <w:rsid w:val="00FE4050"/>
    <w:rsid w:val="00FE5571"/>
    <w:rsid w:val="00FF3ABF"/>
    <w:rsid w:val="00FF3B0F"/>
    <w:rsid w:val="00FF3BD6"/>
    <w:rsid w:val="00FF7D84"/>
    <w:rsid w:val="021950D6"/>
    <w:rsid w:val="027B6293"/>
    <w:rsid w:val="03172C42"/>
    <w:rsid w:val="06CC0A35"/>
    <w:rsid w:val="08BB0D3C"/>
    <w:rsid w:val="08C452ED"/>
    <w:rsid w:val="09291EA8"/>
    <w:rsid w:val="09580CA6"/>
    <w:rsid w:val="095A32B1"/>
    <w:rsid w:val="09A46271"/>
    <w:rsid w:val="09E478FF"/>
    <w:rsid w:val="0A380162"/>
    <w:rsid w:val="0B125E37"/>
    <w:rsid w:val="0BBD1D04"/>
    <w:rsid w:val="0BEB139D"/>
    <w:rsid w:val="0DBB2EF8"/>
    <w:rsid w:val="0F542D78"/>
    <w:rsid w:val="0FC01748"/>
    <w:rsid w:val="10860DE5"/>
    <w:rsid w:val="113D60DD"/>
    <w:rsid w:val="11EE420B"/>
    <w:rsid w:val="12162313"/>
    <w:rsid w:val="158404EE"/>
    <w:rsid w:val="169D2E4C"/>
    <w:rsid w:val="1748537F"/>
    <w:rsid w:val="18C47932"/>
    <w:rsid w:val="18EA21F0"/>
    <w:rsid w:val="18EB1E70"/>
    <w:rsid w:val="1A977C26"/>
    <w:rsid w:val="1ABE294F"/>
    <w:rsid w:val="1D261EC8"/>
    <w:rsid w:val="1DDF40E6"/>
    <w:rsid w:val="1E000E7C"/>
    <w:rsid w:val="1E3659D6"/>
    <w:rsid w:val="1E646211"/>
    <w:rsid w:val="1E8424A1"/>
    <w:rsid w:val="1EE6516E"/>
    <w:rsid w:val="201B4874"/>
    <w:rsid w:val="20484467"/>
    <w:rsid w:val="205C6F21"/>
    <w:rsid w:val="20685D7C"/>
    <w:rsid w:val="20F0002E"/>
    <w:rsid w:val="210F656A"/>
    <w:rsid w:val="22046BDF"/>
    <w:rsid w:val="22160F7A"/>
    <w:rsid w:val="22EC765F"/>
    <w:rsid w:val="239D04A7"/>
    <w:rsid w:val="24137C04"/>
    <w:rsid w:val="259A0D00"/>
    <w:rsid w:val="267A6D2E"/>
    <w:rsid w:val="272C0707"/>
    <w:rsid w:val="27425058"/>
    <w:rsid w:val="28DA2C04"/>
    <w:rsid w:val="29E51F2A"/>
    <w:rsid w:val="2A2B1F7D"/>
    <w:rsid w:val="2A5B543C"/>
    <w:rsid w:val="2A812E5B"/>
    <w:rsid w:val="2ACD7048"/>
    <w:rsid w:val="2ADF6F62"/>
    <w:rsid w:val="2B644C3D"/>
    <w:rsid w:val="2BB4088C"/>
    <w:rsid w:val="2D5B2F6C"/>
    <w:rsid w:val="2E012A61"/>
    <w:rsid w:val="2E4B23FC"/>
    <w:rsid w:val="309D3F50"/>
    <w:rsid w:val="30C17FEB"/>
    <w:rsid w:val="318E7528"/>
    <w:rsid w:val="31965F35"/>
    <w:rsid w:val="31A85707"/>
    <w:rsid w:val="321570EE"/>
    <w:rsid w:val="322950BB"/>
    <w:rsid w:val="334B227C"/>
    <w:rsid w:val="34084654"/>
    <w:rsid w:val="341E5512"/>
    <w:rsid w:val="348445C7"/>
    <w:rsid w:val="34951DAC"/>
    <w:rsid w:val="35DA4AD0"/>
    <w:rsid w:val="35E30346"/>
    <w:rsid w:val="36175DEC"/>
    <w:rsid w:val="362F636F"/>
    <w:rsid w:val="36436A91"/>
    <w:rsid w:val="36A546C2"/>
    <w:rsid w:val="379A05B0"/>
    <w:rsid w:val="384A5951"/>
    <w:rsid w:val="38995F6A"/>
    <w:rsid w:val="394B7C71"/>
    <w:rsid w:val="397E070A"/>
    <w:rsid w:val="3B47388F"/>
    <w:rsid w:val="3BCC736A"/>
    <w:rsid w:val="3D0A3BA8"/>
    <w:rsid w:val="3D9E1CEF"/>
    <w:rsid w:val="3F9B5D6F"/>
    <w:rsid w:val="40385B5C"/>
    <w:rsid w:val="40BD627D"/>
    <w:rsid w:val="417F5CAA"/>
    <w:rsid w:val="425563CD"/>
    <w:rsid w:val="42CC7BA3"/>
    <w:rsid w:val="43680C34"/>
    <w:rsid w:val="43D13322"/>
    <w:rsid w:val="45326CEA"/>
    <w:rsid w:val="45FD0EDD"/>
    <w:rsid w:val="463D2731"/>
    <w:rsid w:val="467D2BEE"/>
    <w:rsid w:val="48977AE5"/>
    <w:rsid w:val="492C6B0B"/>
    <w:rsid w:val="496537E3"/>
    <w:rsid w:val="49D56585"/>
    <w:rsid w:val="4A603492"/>
    <w:rsid w:val="4A616443"/>
    <w:rsid w:val="4AB61F5B"/>
    <w:rsid w:val="4BA962FE"/>
    <w:rsid w:val="4C4C20C5"/>
    <w:rsid w:val="4D6B56C9"/>
    <w:rsid w:val="4D6C5694"/>
    <w:rsid w:val="4E1F2DBA"/>
    <w:rsid w:val="4FA12225"/>
    <w:rsid w:val="507E14EF"/>
    <w:rsid w:val="50BC7085"/>
    <w:rsid w:val="51382051"/>
    <w:rsid w:val="513835A5"/>
    <w:rsid w:val="532A6DFE"/>
    <w:rsid w:val="533B5B5D"/>
    <w:rsid w:val="548521A3"/>
    <w:rsid w:val="55B15523"/>
    <w:rsid w:val="56501BA9"/>
    <w:rsid w:val="565B37BE"/>
    <w:rsid w:val="56761DE9"/>
    <w:rsid w:val="56FB580E"/>
    <w:rsid w:val="57881CEA"/>
    <w:rsid w:val="58337FEB"/>
    <w:rsid w:val="58770B02"/>
    <w:rsid w:val="58BB74A2"/>
    <w:rsid w:val="58EB29D6"/>
    <w:rsid w:val="59A15799"/>
    <w:rsid w:val="59BA7D7C"/>
    <w:rsid w:val="59F166DF"/>
    <w:rsid w:val="5AA73245"/>
    <w:rsid w:val="5AE44E7A"/>
    <w:rsid w:val="5B3768A1"/>
    <w:rsid w:val="5C1229F4"/>
    <w:rsid w:val="5E0C3E85"/>
    <w:rsid w:val="5E5446E8"/>
    <w:rsid w:val="5E761703"/>
    <w:rsid w:val="5EC03EB7"/>
    <w:rsid w:val="5EE05DFC"/>
    <w:rsid w:val="5FE771E7"/>
    <w:rsid w:val="60A85CEA"/>
    <w:rsid w:val="64222D22"/>
    <w:rsid w:val="64457A91"/>
    <w:rsid w:val="64CF2BE9"/>
    <w:rsid w:val="659D5AC4"/>
    <w:rsid w:val="67244646"/>
    <w:rsid w:val="678A3FEA"/>
    <w:rsid w:val="68187DDD"/>
    <w:rsid w:val="689B72F2"/>
    <w:rsid w:val="6A106D4E"/>
    <w:rsid w:val="6A184C0D"/>
    <w:rsid w:val="6BF82E21"/>
    <w:rsid w:val="6DA456E2"/>
    <w:rsid w:val="6EBD6292"/>
    <w:rsid w:val="6F041D30"/>
    <w:rsid w:val="6F43393E"/>
    <w:rsid w:val="6F6F30A3"/>
    <w:rsid w:val="6FCB457A"/>
    <w:rsid w:val="70205F35"/>
    <w:rsid w:val="70D24C85"/>
    <w:rsid w:val="72757308"/>
    <w:rsid w:val="73C4187C"/>
    <w:rsid w:val="73D6536C"/>
    <w:rsid w:val="765D7C38"/>
    <w:rsid w:val="76A651B8"/>
    <w:rsid w:val="76AE00A3"/>
    <w:rsid w:val="772A3DF6"/>
    <w:rsid w:val="784B32EA"/>
    <w:rsid w:val="797E742C"/>
    <w:rsid w:val="79DC596D"/>
    <w:rsid w:val="7A005E60"/>
    <w:rsid w:val="7A537235"/>
    <w:rsid w:val="7AA0658A"/>
    <w:rsid w:val="7AB964D6"/>
    <w:rsid w:val="7B2F339F"/>
    <w:rsid w:val="7B4E2628"/>
    <w:rsid w:val="7BCD5B20"/>
    <w:rsid w:val="7BDC474A"/>
    <w:rsid w:val="7D0E41EA"/>
    <w:rsid w:val="7D68310D"/>
    <w:rsid w:val="7D7526AD"/>
    <w:rsid w:val="7D9A3635"/>
    <w:rsid w:val="7F155B1D"/>
    <w:rsid w:val="7F4E06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9"/>
    <w:qFormat/>
    <w:uiPriority w:val="0"/>
    <w:pPr>
      <w:keepNext/>
      <w:keepLines/>
      <w:spacing w:before="260" w:after="260" w:line="416" w:lineRule="auto"/>
      <w:outlineLvl w:val="1"/>
    </w:pPr>
    <w:rPr>
      <w:rFonts w:ascii="Cambria" w:hAnsi="Cambria" w:eastAsia="宋体" w:cs="Cambria"/>
      <w:b/>
      <w:bCs/>
      <w:sz w:val="32"/>
      <w:szCs w:val="32"/>
    </w:rPr>
  </w:style>
  <w:style w:type="paragraph" w:styleId="3">
    <w:name w:val="heading 3"/>
    <w:basedOn w:val="1"/>
    <w:next w:val="1"/>
    <w:link w:val="15"/>
    <w:qFormat/>
    <w:uiPriority w:val="9"/>
    <w:pPr>
      <w:spacing w:before="100" w:beforeAutospacing="1" w:after="100" w:afterAutospacing="1"/>
      <w:jc w:val="left"/>
      <w:outlineLvl w:val="2"/>
    </w:pPr>
    <w:rPr>
      <w:rFonts w:hint="eastAsia" w:ascii="宋体" w:hAnsi="宋体" w:eastAsia="宋体" w:cs="宋体"/>
      <w:b/>
      <w:kern w:val="0"/>
      <w:sz w:val="27"/>
      <w:szCs w:val="27"/>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Date"/>
    <w:basedOn w:val="1"/>
    <w:next w:val="1"/>
    <w:link w:val="27"/>
    <w:semiHidden/>
    <w:unhideWhenUsed/>
    <w:qFormat/>
    <w:uiPriority w:val="99"/>
    <w:pPr>
      <w:ind w:left="100" w:leftChars="2500"/>
    </w:pPr>
  </w:style>
  <w:style w:type="paragraph" w:styleId="5">
    <w:name w:val="Balloon Text"/>
    <w:basedOn w:val="1"/>
    <w:link w:val="24"/>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99"/>
    <w:rPr>
      <w:b/>
      <w:bCs/>
    </w:rPr>
  </w:style>
  <w:style w:type="character" w:styleId="13">
    <w:name w:val="page number"/>
    <w:basedOn w:val="11"/>
    <w:unhideWhenUsed/>
    <w:qFormat/>
    <w:uiPriority w:val="99"/>
  </w:style>
  <w:style w:type="character" w:styleId="14">
    <w:name w:val="Hyperlink"/>
    <w:basedOn w:val="11"/>
    <w:unhideWhenUsed/>
    <w:qFormat/>
    <w:uiPriority w:val="99"/>
    <w:rPr>
      <w:color w:val="0000FF"/>
      <w:u w:val="single"/>
    </w:rPr>
  </w:style>
  <w:style w:type="character" w:customStyle="1" w:styleId="15">
    <w:name w:val="标题 3 Char"/>
    <w:basedOn w:val="11"/>
    <w:link w:val="3"/>
    <w:qFormat/>
    <w:uiPriority w:val="9"/>
    <w:rPr>
      <w:rFonts w:ascii="宋体" w:hAnsi="宋体" w:eastAsia="宋体" w:cs="宋体"/>
      <w:b/>
      <w:kern w:val="0"/>
      <w:sz w:val="27"/>
      <w:szCs w:val="27"/>
    </w:rPr>
  </w:style>
  <w:style w:type="character" w:customStyle="1" w:styleId="16">
    <w:name w:val="页眉 Char"/>
    <w:basedOn w:val="11"/>
    <w:link w:val="7"/>
    <w:semiHidden/>
    <w:qFormat/>
    <w:uiPriority w:val="99"/>
    <w:rPr>
      <w:sz w:val="18"/>
      <w:szCs w:val="18"/>
    </w:rPr>
  </w:style>
  <w:style w:type="character" w:customStyle="1" w:styleId="17">
    <w:name w:val="页脚 Char"/>
    <w:basedOn w:val="11"/>
    <w:link w:val="6"/>
    <w:qFormat/>
    <w:uiPriority w:val="99"/>
    <w:rPr>
      <w:sz w:val="18"/>
      <w:szCs w:val="18"/>
    </w:rPr>
  </w:style>
  <w:style w:type="paragraph" w:customStyle="1" w:styleId="18">
    <w:name w:val="custom_unionstyle"/>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9">
    <w:name w:val="标题 2 Char"/>
    <w:basedOn w:val="11"/>
    <w:link w:val="2"/>
    <w:qFormat/>
    <w:uiPriority w:val="0"/>
    <w:rPr>
      <w:rFonts w:ascii="Cambria" w:hAnsi="Cambria" w:eastAsia="宋体" w:cs="Cambria"/>
      <w:b/>
      <w:bCs/>
      <w:sz w:val="32"/>
      <w:szCs w:val="32"/>
    </w:rPr>
  </w:style>
  <w:style w:type="paragraph" w:customStyle="1" w:styleId="20">
    <w:name w:val="列出段落1"/>
    <w:basedOn w:val="1"/>
    <w:qFormat/>
    <w:uiPriority w:val="34"/>
    <w:pPr>
      <w:ind w:firstLine="420" w:firstLineChars="200"/>
    </w:pPr>
  </w:style>
  <w:style w:type="paragraph" w:customStyle="1" w:styleId="21">
    <w:name w:val="a"/>
    <w:basedOn w:val="1"/>
    <w:qFormat/>
    <w:uiPriority w:val="0"/>
    <w:pPr>
      <w:widowControl/>
      <w:spacing w:before="100" w:beforeAutospacing="1" w:after="100" w:afterAutospacing="1"/>
      <w:jc w:val="left"/>
    </w:pPr>
    <w:rPr>
      <w:rFonts w:ascii="宋体" w:hAnsi="Times New Roman" w:eastAsia="宋体" w:cs="宋体"/>
      <w:kern w:val="0"/>
      <w:sz w:val="24"/>
      <w:szCs w:val="24"/>
    </w:rPr>
  </w:style>
  <w:style w:type="character" w:customStyle="1" w:styleId="22">
    <w:name w:val="export"/>
    <w:basedOn w:val="11"/>
    <w:qFormat/>
    <w:uiPriority w:val="0"/>
  </w:style>
  <w:style w:type="paragraph" w:customStyle="1" w:styleId="23">
    <w:name w:val="列出段落2"/>
    <w:basedOn w:val="1"/>
    <w:unhideWhenUsed/>
    <w:qFormat/>
    <w:uiPriority w:val="99"/>
    <w:pPr>
      <w:ind w:firstLine="420" w:firstLineChars="200"/>
    </w:pPr>
  </w:style>
  <w:style w:type="character" w:customStyle="1" w:styleId="24">
    <w:name w:val="批注框文本 Char"/>
    <w:basedOn w:val="11"/>
    <w:link w:val="5"/>
    <w:semiHidden/>
    <w:qFormat/>
    <w:uiPriority w:val="99"/>
    <w:rPr>
      <w:rFonts w:asciiTheme="minorHAnsi" w:hAnsiTheme="minorHAnsi" w:eastAsiaTheme="minorEastAsia" w:cstheme="minorBidi"/>
      <w:kern w:val="2"/>
      <w:sz w:val="18"/>
      <w:szCs w:val="18"/>
    </w:rPr>
  </w:style>
  <w:style w:type="paragraph" w:customStyle="1" w:styleId="25">
    <w:name w:val="p0"/>
    <w:basedOn w:val="1"/>
    <w:qFormat/>
    <w:uiPriority w:val="0"/>
    <w:pPr>
      <w:widowControl/>
    </w:pPr>
    <w:rPr>
      <w:kern w:val="0"/>
      <w:szCs w:val="21"/>
    </w:rPr>
  </w:style>
  <w:style w:type="paragraph" w:styleId="26">
    <w:name w:val="List Paragraph"/>
    <w:basedOn w:val="1"/>
    <w:unhideWhenUsed/>
    <w:qFormat/>
    <w:uiPriority w:val="99"/>
    <w:pPr>
      <w:ind w:firstLine="420" w:firstLineChars="200"/>
    </w:pPr>
  </w:style>
  <w:style w:type="character" w:customStyle="1" w:styleId="27">
    <w:name w:val="日期 Char"/>
    <w:basedOn w:val="11"/>
    <w:link w:val="4"/>
    <w:semiHidden/>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8DB9B89-B248-4A63-8F3C-BA6784BBDEA0}">
  <ds:schemaRefs/>
</ds:datastoreItem>
</file>

<file path=docProps/app.xml><?xml version="1.0" encoding="utf-8"?>
<Properties xmlns="http://schemas.openxmlformats.org/officeDocument/2006/extended-properties" xmlns:vt="http://schemas.openxmlformats.org/officeDocument/2006/docPropsVTypes">
  <Template>Normal</Template>
  <Pages>22</Pages>
  <Words>12485</Words>
  <Characters>13776</Characters>
  <Lines>93</Lines>
  <Paragraphs>26</Paragraphs>
  <TotalTime>4</TotalTime>
  <ScaleCrop>false</ScaleCrop>
  <LinksUpToDate>false</LinksUpToDate>
  <CharactersWithSpaces>13902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2018-09-27T08:36:00Z</dcterms:created>
  <dc:creator>xbany</dc:creator>
  <cp:lastModifiedBy>admin</cp:lastModifiedBy>
  <cp:lastPrinted>2022-04-25T02:54:29Z</cp:lastPrinted>
  <dcterms:modified xsi:type="dcterms:W3CDTF">2022-04-25T02:54:33Z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40DCC33B79E244D287E6189E6A709011</vt:lpwstr>
  </property>
  <property fmtid="{D5CDD505-2E9C-101B-9397-08002B2CF9AE}" pid="4" name="commondata">
    <vt:lpwstr>eyJoZGlkIjoiYmZhNjgyZGRkNzNiMmUyYjY2M2QxZTllZWVkNDZkYWQifQ==</vt:lpwstr>
  </property>
</Properties>
</file>