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r>
        <w:rPr>
          <w:rFonts w:hint="eastAsia" w:asciiTheme="minorEastAsia" w:hAnsiTheme="minorEastAsia"/>
          <w:sz w:val="44"/>
          <w:szCs w:val="44"/>
        </w:rPr>
        <w:t>益阳市第五人民医院2021年度公立医院</w:t>
      </w:r>
    </w:p>
    <w:p>
      <w:pPr>
        <w:jc w:val="center"/>
        <w:rPr>
          <w:rFonts w:asciiTheme="minorEastAsia" w:hAnsiTheme="minorEastAsia"/>
          <w:sz w:val="44"/>
          <w:szCs w:val="44"/>
        </w:rPr>
      </w:pPr>
      <w:r>
        <w:rPr>
          <w:rFonts w:hint="eastAsia" w:asciiTheme="minorEastAsia" w:hAnsiTheme="minorEastAsia"/>
          <w:sz w:val="44"/>
          <w:szCs w:val="44"/>
          <w:lang w:eastAsia="zh-CN"/>
        </w:rPr>
        <w:t>绩效自评</w:t>
      </w:r>
      <w:r>
        <w:rPr>
          <w:rFonts w:hint="eastAsia" w:asciiTheme="minorEastAsia" w:hAnsiTheme="minorEastAsia"/>
          <w:sz w:val="44"/>
          <w:szCs w:val="44"/>
        </w:rPr>
        <w:t>报告</w:t>
      </w:r>
    </w:p>
    <w:p>
      <w:pPr>
        <w:ind w:firstLine="420" w:firstLineChars="150"/>
        <w:rPr>
          <w:rFonts w:ascii="宋体" w:hAnsi="宋体" w:eastAsia="宋体" w:cs="Times New Roman"/>
          <w:color w:val="000000"/>
          <w:sz w:val="28"/>
          <w:szCs w:val="28"/>
        </w:rPr>
      </w:pPr>
    </w:p>
    <w:p>
      <w:pPr>
        <w:ind w:firstLine="420" w:firstLineChars="150"/>
        <w:rPr>
          <w:rFonts w:cs="Times New Roman" w:asciiTheme="minorEastAsia" w:hAnsiTheme="minorEastAsia"/>
          <w:color w:val="000000"/>
          <w:sz w:val="28"/>
          <w:szCs w:val="28"/>
        </w:rPr>
      </w:pPr>
      <w:r>
        <w:rPr>
          <w:rFonts w:hint="eastAsia" w:asciiTheme="minorEastAsia" w:hAnsiTheme="minorEastAsia"/>
          <w:color w:val="000000"/>
          <w:sz w:val="28"/>
          <w:szCs w:val="28"/>
        </w:rPr>
        <w:t>根据湖南省卫生健康委《关于开展2021年中央、省级财政资金绩效评价和部门整体支出绩效评价工作的通知》要求，</w:t>
      </w:r>
      <w:r>
        <w:rPr>
          <w:rFonts w:hint="eastAsia" w:cs="Times New Roman" w:asciiTheme="minorEastAsia" w:hAnsiTheme="minorEastAsia"/>
          <w:color w:val="000000"/>
          <w:sz w:val="28"/>
          <w:szCs w:val="28"/>
        </w:rPr>
        <w:t>为提升卫生健康专项资金的绩效管理工作水平、规范资金管理行为，提高卫生健康</w:t>
      </w:r>
      <w:r>
        <w:rPr>
          <w:rFonts w:hint="eastAsia" w:asciiTheme="minorEastAsia" w:hAnsiTheme="minorEastAsia"/>
          <w:color w:val="000000"/>
          <w:sz w:val="28"/>
          <w:szCs w:val="28"/>
        </w:rPr>
        <w:t>专项资金使用效益，优化公共资源配置。我院积极开展公立医院中央转移支付绩效评价工作，采取有效措施，努力夯实改革工作基础，确保改革工作有序进行，稳步推进，</w:t>
      </w:r>
      <w:r>
        <w:rPr>
          <w:rFonts w:hint="eastAsia" w:cs="Times New Roman" w:asciiTheme="minorEastAsia" w:hAnsiTheme="minorEastAsia"/>
          <w:color w:val="000000"/>
          <w:sz w:val="28"/>
          <w:szCs w:val="28"/>
        </w:rPr>
        <w:t>现将有关情况汇报如下：</w:t>
      </w:r>
    </w:p>
    <w:p>
      <w:pPr>
        <w:pStyle w:val="4"/>
        <w:numPr>
          <w:ilvl w:val="0"/>
          <w:numId w:val="1"/>
        </w:numPr>
        <w:ind w:firstLineChars="0"/>
        <w:rPr>
          <w:rFonts w:hint="eastAsia" w:asciiTheme="minorEastAsia" w:hAnsiTheme="minorEastAsia"/>
          <w:color w:val="000000"/>
          <w:sz w:val="28"/>
          <w:szCs w:val="28"/>
        </w:rPr>
      </w:pPr>
      <w:r>
        <w:rPr>
          <w:rFonts w:hint="eastAsia" w:asciiTheme="minorEastAsia" w:hAnsiTheme="minorEastAsia"/>
          <w:color w:val="000000"/>
          <w:sz w:val="28"/>
          <w:szCs w:val="28"/>
        </w:rPr>
        <w:t>公立医院改革专项资金绩效自评</w:t>
      </w:r>
    </w:p>
    <w:p>
      <w:pPr>
        <w:ind w:left="140"/>
        <w:rPr>
          <w:rFonts w:hint="eastAsia" w:asciiTheme="minorEastAsia" w:hAnsiTheme="minorEastAsia"/>
          <w:color w:val="000000"/>
          <w:sz w:val="28"/>
          <w:szCs w:val="28"/>
        </w:rPr>
      </w:pPr>
      <w:r>
        <w:rPr>
          <w:rFonts w:hint="eastAsia" w:asciiTheme="minorEastAsia" w:hAnsiTheme="minorEastAsia"/>
          <w:color w:val="000000"/>
          <w:sz w:val="28"/>
          <w:szCs w:val="28"/>
        </w:rPr>
        <w:t>（一）、公立医院改革资金立项依据</w:t>
      </w:r>
    </w:p>
    <w:p>
      <w:pPr>
        <w:ind w:left="140"/>
        <w:rPr>
          <w:rFonts w:hint="eastAsia" w:asciiTheme="minorEastAsia" w:hAnsiTheme="minorEastAsia"/>
          <w:color w:val="000000"/>
          <w:sz w:val="28"/>
          <w:szCs w:val="28"/>
        </w:rPr>
      </w:pPr>
      <w:r>
        <w:rPr>
          <w:rFonts w:asciiTheme="minorEastAsia" w:hAnsiTheme="minorEastAsia"/>
          <w:sz w:val="28"/>
          <w:szCs w:val="28"/>
        </w:rPr>
        <w:t>根据</w:t>
      </w:r>
      <w:r>
        <w:rPr>
          <w:rFonts w:hint="eastAsia" w:asciiTheme="minorEastAsia" w:hAnsiTheme="minorEastAsia"/>
          <w:sz w:val="28"/>
          <w:szCs w:val="28"/>
        </w:rPr>
        <w:t>《财政部关于开展2021年度中央对地方转移支付预算执行情况绩效自评工作的通知》</w:t>
      </w:r>
      <w:r>
        <w:rPr>
          <w:rFonts w:hint="eastAsia" w:cs="仿宋_GB2312" w:asciiTheme="minorEastAsia" w:hAnsiTheme="minorEastAsia"/>
          <w:color w:val="000000"/>
          <w:sz w:val="28"/>
          <w:szCs w:val="28"/>
        </w:rPr>
        <w:t>（财监</w:t>
      </w:r>
      <w:r>
        <w:rPr>
          <w:rFonts w:hint="eastAsia" w:cs="仿宋_GB2312" w:asciiTheme="minorEastAsia" w:hAnsiTheme="minorEastAsia"/>
          <w:color w:val="000000"/>
          <w:kern w:val="0"/>
          <w:sz w:val="28"/>
          <w:szCs w:val="28"/>
        </w:rPr>
        <w:t>〔2022〕</w:t>
      </w:r>
      <w:r>
        <w:rPr>
          <w:rFonts w:hint="eastAsia" w:cs="仿宋_GB2312" w:asciiTheme="minorEastAsia" w:hAnsiTheme="minorEastAsia"/>
          <w:color w:val="000000"/>
          <w:sz w:val="28"/>
          <w:szCs w:val="28"/>
        </w:rPr>
        <w:t>1号）、</w:t>
      </w:r>
      <w:r>
        <w:rPr>
          <w:rFonts w:hint="eastAsia" w:asciiTheme="minorEastAsia" w:hAnsiTheme="minorEastAsia"/>
          <w:sz w:val="28"/>
          <w:szCs w:val="28"/>
        </w:rPr>
        <w:t>《湖南省财政厅关于做好2021年度中央对地方转移支付预算执行情况绩效自评工作的通知》和</w:t>
      </w:r>
      <w:r>
        <w:rPr>
          <w:rFonts w:asciiTheme="minorEastAsia" w:hAnsiTheme="minorEastAsia"/>
          <w:sz w:val="28"/>
          <w:szCs w:val="28"/>
        </w:rPr>
        <w:t>《湖南省财政厅关于开展2021年度部门整体支出绩效自评工作的通知》（湘财绩〔2022〕1号）要求</w:t>
      </w:r>
      <w:r>
        <w:rPr>
          <w:rFonts w:hint="eastAsia" w:asciiTheme="minorEastAsia" w:hAnsiTheme="minorEastAsia"/>
          <w:sz w:val="28"/>
          <w:szCs w:val="28"/>
        </w:rPr>
        <w:t>。</w:t>
      </w:r>
    </w:p>
    <w:p>
      <w:pPr>
        <w:pStyle w:val="4"/>
        <w:ind w:firstLine="140" w:firstLineChars="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（二）、公立医院改革资金安排情况</w:t>
      </w:r>
    </w:p>
    <w:p>
      <w:pPr>
        <w:rPr>
          <w:rFonts w:asciiTheme="minorEastAsia" w:hAnsiTheme="minorEastAsia"/>
          <w:color w:val="000000"/>
          <w:sz w:val="28"/>
          <w:szCs w:val="28"/>
        </w:rPr>
      </w:pPr>
      <w:r>
        <w:rPr>
          <w:rFonts w:hint="eastAsia" w:asciiTheme="minorEastAsia" w:hAnsiTheme="minorEastAsia"/>
          <w:color w:val="000000"/>
          <w:sz w:val="28"/>
          <w:szCs w:val="28"/>
        </w:rPr>
        <w:t>1、公立医院改革资金到位情况</w:t>
      </w:r>
    </w:p>
    <w:p>
      <w:pPr>
        <w:rPr>
          <w:rFonts w:asciiTheme="minorEastAsia" w:hAnsiTheme="minorEastAsia"/>
          <w:color w:val="000000"/>
          <w:sz w:val="28"/>
          <w:szCs w:val="28"/>
        </w:rPr>
      </w:pPr>
      <w:r>
        <w:rPr>
          <w:rFonts w:hint="eastAsia" w:asciiTheme="minorEastAsia" w:hAnsiTheme="minorEastAsia"/>
          <w:color w:val="000000"/>
          <w:sz w:val="28"/>
          <w:szCs w:val="28"/>
        </w:rPr>
        <w:t>2021年度，我院财务部门2021年公立医院改革补助专项资金191.71万元，其中：2021年2月收到公立医院改革中央补助资金67.8万元，2021年2月收到公立医院改革中央补助资金11万元 ，2021年7月收到公立医院改革中央补助资金6.37万元，2021年11月收到公立医院改革地方资金2.9万元，2021年12月收到公立医院改革地方资金103.64万元。</w:t>
      </w:r>
    </w:p>
    <w:p>
      <w:pPr>
        <w:rPr>
          <w:rFonts w:asciiTheme="minorEastAsia" w:hAnsiTheme="minorEastAsia"/>
          <w:color w:val="000000"/>
          <w:sz w:val="28"/>
          <w:szCs w:val="28"/>
        </w:rPr>
      </w:pPr>
      <w:r>
        <w:rPr>
          <w:rFonts w:hint="eastAsia" w:asciiTheme="minorEastAsia" w:hAnsiTheme="minorEastAsia"/>
          <w:color w:val="000000"/>
          <w:sz w:val="28"/>
          <w:szCs w:val="28"/>
        </w:rPr>
        <w:t>2、公立医院改革资金执行情况</w:t>
      </w:r>
    </w:p>
    <w:p>
      <w:pPr>
        <w:rPr>
          <w:rFonts w:asciiTheme="minorEastAsia" w:hAnsiTheme="minorEastAsia"/>
          <w:color w:val="000000"/>
          <w:sz w:val="28"/>
          <w:szCs w:val="28"/>
        </w:rPr>
      </w:pPr>
      <w:r>
        <w:rPr>
          <w:rFonts w:hint="eastAsia" w:asciiTheme="minorEastAsia" w:hAnsiTheme="minorEastAsia"/>
          <w:color w:val="000000"/>
          <w:sz w:val="28"/>
          <w:szCs w:val="28"/>
        </w:rPr>
        <w:t>截止2021年2月，专项资金已支出88.07万元，主要用于设备购置、重大疾病防控、药品支出等支出，剩余资金103.64万元将用于下一年度的设备药品支出。</w:t>
      </w:r>
    </w:p>
    <w:p>
      <w:pPr>
        <w:rPr>
          <w:rFonts w:asciiTheme="minorEastAsia" w:hAnsiTheme="minorEastAsia"/>
          <w:color w:val="000000"/>
          <w:sz w:val="28"/>
          <w:szCs w:val="28"/>
        </w:rPr>
      </w:pPr>
      <w:r>
        <w:rPr>
          <w:rFonts w:hint="eastAsia" w:asciiTheme="minorEastAsia" w:hAnsiTheme="minorEastAsia"/>
          <w:color w:val="000000"/>
          <w:sz w:val="28"/>
          <w:szCs w:val="28"/>
        </w:rPr>
        <w:t>（二）公立医院改革资金使用管理情况</w:t>
      </w:r>
    </w:p>
    <w:p>
      <w:pPr>
        <w:rPr>
          <w:rFonts w:asciiTheme="minorEastAsia" w:hAnsiTheme="minorEastAsia"/>
          <w:color w:val="000000"/>
          <w:sz w:val="28"/>
          <w:szCs w:val="28"/>
        </w:rPr>
      </w:pPr>
      <w:r>
        <w:rPr>
          <w:rFonts w:hint="eastAsia" w:asciiTheme="minorEastAsia" w:hAnsiTheme="minorEastAsia"/>
          <w:color w:val="000000"/>
          <w:sz w:val="28"/>
          <w:szCs w:val="28"/>
        </w:rPr>
        <w:t>专项经费严格按照中央财政专项资金管理规定和单位财政制度经费支出使用范围，根据文件规定，公立医院改革经费可用于药品采购、医疗设备购置等业务经费支出，我院公立医院改革资金由专人进行核算，按照专项资金安排和实际工作情况开支，合理确定专项资金使用方向。</w:t>
      </w:r>
    </w:p>
    <w:p>
      <w:pPr>
        <w:rPr>
          <w:rFonts w:asciiTheme="minorEastAsia" w:hAnsiTheme="minorEastAsia"/>
          <w:color w:val="000000"/>
          <w:sz w:val="28"/>
          <w:szCs w:val="28"/>
        </w:rPr>
      </w:pPr>
      <w:r>
        <w:rPr>
          <w:rFonts w:hint="eastAsia" w:asciiTheme="minorEastAsia" w:hAnsiTheme="minorEastAsia"/>
          <w:color w:val="000000"/>
          <w:sz w:val="28"/>
          <w:szCs w:val="28"/>
        </w:rPr>
        <w:t>（三）公立医院改革资金绩效情况</w:t>
      </w:r>
    </w:p>
    <w:p>
      <w:pPr>
        <w:rPr>
          <w:rFonts w:asciiTheme="minorEastAsia" w:hAnsiTheme="minorEastAsia"/>
          <w:color w:val="000000"/>
          <w:sz w:val="28"/>
          <w:szCs w:val="28"/>
        </w:rPr>
      </w:pPr>
      <w:r>
        <w:rPr>
          <w:rFonts w:hint="eastAsia" w:asciiTheme="minorEastAsia" w:hAnsiTheme="minorEastAsia"/>
          <w:color w:val="000000"/>
          <w:sz w:val="28"/>
          <w:szCs w:val="28"/>
        </w:rPr>
        <w:t>1.产出指标</w:t>
      </w:r>
    </w:p>
    <w:p>
      <w:pPr>
        <w:rPr>
          <w:rFonts w:asciiTheme="minorEastAsia" w:hAnsiTheme="minorEastAsia"/>
          <w:color w:val="000000"/>
          <w:sz w:val="28"/>
          <w:szCs w:val="28"/>
        </w:rPr>
      </w:pPr>
      <w:r>
        <w:rPr>
          <w:rFonts w:hint="eastAsia" w:asciiTheme="minorEastAsia" w:hAnsiTheme="minorEastAsia"/>
          <w:color w:val="000000"/>
          <w:sz w:val="28"/>
          <w:szCs w:val="28"/>
        </w:rPr>
        <w:t>①数量指标</w:t>
      </w:r>
    </w:p>
    <w:p>
      <w:pPr>
        <w:rPr>
          <w:rFonts w:asciiTheme="minorEastAsia" w:hAnsiTheme="minorEastAsia"/>
          <w:color w:val="000000"/>
          <w:sz w:val="28"/>
          <w:szCs w:val="28"/>
        </w:rPr>
      </w:pPr>
      <w:r>
        <w:rPr>
          <w:rFonts w:hint="eastAsia" w:asciiTheme="minorEastAsia" w:hAnsiTheme="minorEastAsia"/>
          <w:color w:val="000000"/>
          <w:kern w:val="0"/>
          <w:sz w:val="28"/>
          <w:szCs w:val="28"/>
        </w:rPr>
        <w:t>公立医院医疗服务收入占医疗收入的比例</w:t>
      </w:r>
      <w:r>
        <w:rPr>
          <w:rFonts w:asciiTheme="minorEastAsia" w:hAnsiTheme="minorEastAsia"/>
          <w:color w:val="000000"/>
          <w:kern w:val="0"/>
          <w:sz w:val="28"/>
          <w:szCs w:val="28"/>
        </w:rPr>
        <w:t>　</w:t>
      </w:r>
      <w:r>
        <w:rPr>
          <w:rFonts w:hint="eastAsia" w:asciiTheme="minorEastAsia" w:hAnsiTheme="minorEastAsia"/>
          <w:color w:val="000000"/>
          <w:kern w:val="0"/>
          <w:sz w:val="28"/>
          <w:szCs w:val="28"/>
        </w:rPr>
        <w:t>69.45%</w:t>
      </w:r>
    </w:p>
    <w:p>
      <w:pPr>
        <w:tabs>
          <w:tab w:val="left" w:pos="2520"/>
        </w:tabs>
        <w:rPr>
          <w:rFonts w:asciiTheme="minorEastAsia" w:hAnsiTheme="minorEastAsia"/>
          <w:color w:val="000000"/>
          <w:sz w:val="28"/>
          <w:szCs w:val="28"/>
        </w:rPr>
      </w:pPr>
      <w:r>
        <w:rPr>
          <w:rFonts w:hint="eastAsia" w:asciiTheme="minorEastAsia" w:hAnsiTheme="minorEastAsia"/>
          <w:color w:val="000000"/>
          <w:kern w:val="0"/>
          <w:sz w:val="28"/>
          <w:szCs w:val="28"/>
        </w:rPr>
        <w:t>公立医院资产负债率</w:t>
      </w:r>
      <w:r>
        <w:rPr>
          <w:rFonts w:asciiTheme="minorEastAsia" w:hAnsiTheme="minorEastAsia"/>
          <w:color w:val="000000"/>
          <w:kern w:val="0"/>
          <w:sz w:val="28"/>
          <w:szCs w:val="28"/>
        </w:rPr>
        <w:tab/>
      </w:r>
      <w:r>
        <w:rPr>
          <w:rFonts w:hint="eastAsia" w:asciiTheme="minorEastAsia" w:hAnsiTheme="minorEastAsia"/>
          <w:color w:val="000000"/>
          <w:kern w:val="0"/>
          <w:sz w:val="28"/>
          <w:szCs w:val="28"/>
        </w:rPr>
        <w:t>37.7%</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基本建设、设备购置长期负债站总资产的比例     3.03%</w:t>
      </w:r>
    </w:p>
    <w:p>
      <w:pPr>
        <w:rPr>
          <w:rFonts w:asciiTheme="minorEastAsia" w:hAnsiTheme="minorEastAsia"/>
          <w:sz w:val="28"/>
          <w:szCs w:val="28"/>
        </w:rPr>
      </w:pPr>
      <w:r>
        <w:rPr>
          <w:rFonts w:hint="eastAsia" w:asciiTheme="minorEastAsia" w:hAnsiTheme="minorEastAsia"/>
          <w:sz w:val="28"/>
          <w:szCs w:val="28"/>
        </w:rPr>
        <w:t>②质量指标</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公立医院百元医疗收入的医疗支出（不含药品收入）  102元</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疫情防控零感染率   100%</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公立医院百元医疗收入（不含药品收入）消耗的卫生材料</w:t>
      </w:r>
      <w:r>
        <w:rPr>
          <w:rFonts w:asciiTheme="minorEastAsia" w:hAnsiTheme="minorEastAsia"/>
          <w:color w:val="000000"/>
          <w:kern w:val="0"/>
          <w:sz w:val="28"/>
          <w:szCs w:val="28"/>
        </w:rPr>
        <w:t>　</w:t>
      </w:r>
      <w:r>
        <w:rPr>
          <w:rFonts w:hint="eastAsia" w:asciiTheme="minorEastAsia" w:hAnsiTheme="minorEastAsia"/>
          <w:color w:val="000000"/>
          <w:kern w:val="0"/>
          <w:sz w:val="28"/>
          <w:szCs w:val="28"/>
        </w:rPr>
        <w:t>2.28元</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③时效指标</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医护人员、预检分诊人员人均培训时间   3h</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④成本指标</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药品支出     681万元</w:t>
      </w:r>
      <w:r>
        <w:rPr>
          <w:rFonts w:asciiTheme="minorEastAsia" w:hAnsiTheme="minorEastAsia"/>
          <w:color w:val="000000"/>
          <w:kern w:val="0"/>
          <w:sz w:val="28"/>
          <w:szCs w:val="28"/>
        </w:rPr>
        <w:t>　</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医疗支出    4162万元</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2.效益指标</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①经济效益指标：我院取消药品加成后合理收入减少，减少部分有财政公立医院改革资金补偿。医院加强疫情防控机制，根据我市疫情情况及时调整医院防控方案，实现疫情防控零感染。</w:t>
      </w:r>
    </w:p>
    <w:p>
      <w:pPr>
        <w:rPr>
          <w:rFonts w:asciiTheme="minorEastAsia" w:hAnsiTheme="minorEastAsia"/>
          <w:color w:val="000000"/>
          <w:kern w:val="0"/>
          <w:sz w:val="28"/>
          <w:szCs w:val="28"/>
        </w:rPr>
      </w:pPr>
      <w:r>
        <w:rPr>
          <w:rFonts w:hint="eastAsia" w:asciiTheme="minorEastAsia" w:hAnsiTheme="minorEastAsia"/>
          <w:color w:val="000000"/>
          <w:kern w:val="0"/>
          <w:sz w:val="28"/>
          <w:szCs w:val="28"/>
        </w:rPr>
        <w:t>②社会效益指标：全面取消公立医院医疗机构医用耗材加成，以实际购进价为基础实行“零差价”销售，控制医用费用总量，优化医药费用结构，推进公立医院综合改革的发展。</w:t>
      </w:r>
    </w:p>
    <w:p>
      <w:pPr>
        <w:widowControl/>
        <w:rPr>
          <w:rFonts w:asciiTheme="minorEastAsia" w:hAnsiTheme="minorEastAsia"/>
          <w:color w:val="000000"/>
          <w:kern w:val="0"/>
          <w:sz w:val="28"/>
          <w:szCs w:val="28"/>
        </w:rPr>
      </w:pPr>
      <w:r>
        <w:rPr>
          <w:rFonts w:hint="eastAsia" w:asciiTheme="minorEastAsia" w:hAnsiTheme="minorEastAsia"/>
          <w:color w:val="000000"/>
          <w:kern w:val="0"/>
          <w:sz w:val="28"/>
          <w:szCs w:val="28"/>
        </w:rPr>
        <w:t>③生态效益指标：医院就医安全便捷，病患看病、住院环境好，区域规划合理，病房干净整洁。</w:t>
      </w:r>
    </w:p>
    <w:p>
      <w:pPr>
        <w:widowControl/>
        <w:rPr>
          <w:rFonts w:asciiTheme="minorEastAsia" w:hAnsiTheme="minorEastAsia"/>
          <w:color w:val="000000"/>
          <w:kern w:val="0"/>
          <w:sz w:val="28"/>
          <w:szCs w:val="28"/>
        </w:rPr>
      </w:pPr>
      <w:r>
        <w:rPr>
          <w:rFonts w:hint="eastAsia" w:asciiTheme="minorEastAsia" w:hAnsiTheme="minorEastAsia"/>
          <w:color w:val="000000"/>
          <w:kern w:val="0"/>
          <w:sz w:val="28"/>
          <w:szCs w:val="28"/>
        </w:rPr>
        <w:t>④可持续影响指标：根据中央、省级财政资金管理办法，强化绩效和责任意识，切实提高财政资金使用效益。大力发展医疗服务产业，专项资金所依据的政策具有良好可持续性。</w:t>
      </w:r>
    </w:p>
    <w:p>
      <w:pPr>
        <w:widowControl/>
        <w:rPr>
          <w:rFonts w:asciiTheme="minorEastAsia" w:hAnsiTheme="minorEastAsia"/>
          <w:color w:val="000000"/>
          <w:kern w:val="0"/>
          <w:sz w:val="28"/>
          <w:szCs w:val="28"/>
        </w:rPr>
      </w:pPr>
      <w:r>
        <w:rPr>
          <w:rFonts w:hint="eastAsia" w:asciiTheme="minorEastAsia" w:hAnsiTheme="minorEastAsia"/>
          <w:color w:val="000000"/>
          <w:kern w:val="0"/>
          <w:sz w:val="28"/>
          <w:szCs w:val="28"/>
        </w:rPr>
        <w:t>3.满意度指标：</w:t>
      </w:r>
    </w:p>
    <w:p>
      <w:pPr>
        <w:widowControl/>
        <w:rPr>
          <w:rFonts w:asciiTheme="minorEastAsia" w:hAnsiTheme="minorEastAsia"/>
          <w:color w:val="000000"/>
          <w:kern w:val="0"/>
          <w:sz w:val="28"/>
          <w:szCs w:val="28"/>
        </w:rPr>
      </w:pPr>
      <w:r>
        <w:rPr>
          <w:rFonts w:hint="eastAsia" w:asciiTheme="minorEastAsia" w:hAnsiTheme="minorEastAsia"/>
          <w:color w:val="000000"/>
          <w:kern w:val="0"/>
          <w:sz w:val="28"/>
          <w:szCs w:val="28"/>
        </w:rPr>
        <w:t>服务对象满意度指标：医院荣升三级医院，医院业务得到了全方面的发展，同时医院的经济建设的到明显的发展，同比去年我院业务增长</w:t>
      </w:r>
      <w:r>
        <w:rPr>
          <w:rFonts w:hint="eastAsia" w:asciiTheme="minorEastAsia" w:hAnsiTheme="minorEastAsia"/>
          <w:color w:val="000000" w:themeColor="text1"/>
          <w:kern w:val="0"/>
          <w:sz w:val="28"/>
          <w:szCs w:val="28"/>
          <w14:textFill>
            <w14:solidFill>
              <w14:schemeClr w14:val="tx1"/>
            </w14:solidFill>
          </w14:textFill>
        </w:rPr>
        <w:t>20.69%</w:t>
      </w:r>
      <w:r>
        <w:rPr>
          <w:rFonts w:hint="eastAsia" w:asciiTheme="minorEastAsia" w:hAnsiTheme="minorEastAsia"/>
          <w:color w:val="000000"/>
          <w:kern w:val="0"/>
          <w:sz w:val="28"/>
          <w:szCs w:val="28"/>
        </w:rPr>
        <w:t>左右，赢得医疗服务对象和社会各界广泛赞誉。</w:t>
      </w:r>
    </w:p>
    <w:p>
      <w:pPr>
        <w:widowControl/>
        <w:rPr>
          <w:rFonts w:asciiTheme="minorEastAsia" w:hAnsiTheme="minorEastAsia"/>
          <w:color w:val="000000"/>
          <w:kern w:val="0"/>
          <w:sz w:val="28"/>
          <w:szCs w:val="28"/>
        </w:rPr>
      </w:pPr>
      <w:r>
        <w:rPr>
          <w:rFonts w:hint="eastAsia" w:asciiTheme="minorEastAsia" w:hAnsiTheme="minorEastAsia"/>
          <w:color w:val="000000"/>
          <w:kern w:val="0"/>
          <w:sz w:val="28"/>
          <w:szCs w:val="28"/>
        </w:rPr>
        <w:t>（四）存在问题和改进措施</w:t>
      </w:r>
      <w:bookmarkStart w:id="0" w:name="_GoBack"/>
      <w:bookmarkEnd w:id="0"/>
    </w:p>
    <w:p>
      <w:pPr>
        <w:widowControl/>
        <w:rPr>
          <w:rFonts w:hint="eastAsia" w:asciiTheme="minorEastAsia" w:hAnsiTheme="minorEastAsia"/>
          <w:color w:val="000000"/>
          <w:kern w:val="0"/>
          <w:sz w:val="28"/>
          <w:szCs w:val="28"/>
        </w:rPr>
      </w:pPr>
      <w:r>
        <w:rPr>
          <w:rFonts w:hint="eastAsia" w:asciiTheme="minorEastAsia" w:hAnsiTheme="minorEastAsia"/>
          <w:color w:val="000000"/>
          <w:kern w:val="0"/>
          <w:sz w:val="28"/>
          <w:szCs w:val="28"/>
        </w:rPr>
        <w:t xml:space="preserve"> 本次评价发现我院需求资金额与实际补偿金额存在很大差距。</w:t>
      </w:r>
    </w:p>
    <w:p>
      <w:pPr>
        <w:widowControl/>
        <w:rPr>
          <w:rFonts w:asciiTheme="minorEastAsia" w:hAnsiTheme="minorEastAsia"/>
          <w:color w:val="000000"/>
          <w:kern w:val="0"/>
          <w:sz w:val="28"/>
          <w:szCs w:val="28"/>
        </w:rPr>
      </w:pPr>
      <w:r>
        <w:rPr>
          <w:rFonts w:hint="eastAsia" w:asciiTheme="minorEastAsia" w:hAnsiTheme="minorEastAsia"/>
          <w:color w:val="000000"/>
          <w:kern w:val="0"/>
          <w:sz w:val="28"/>
          <w:szCs w:val="28"/>
        </w:rPr>
        <w:t xml:space="preserve">  改进措施：一是要求有关责任人落实工作责任，确保在规定的时间节点内，如期完成各项报表填制；二是专项资金单位要提前谋划，统筹安排，及时掌握有关政策消息，准确决策。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F0884"/>
    <w:multiLevelType w:val="multilevel"/>
    <w:tmpl w:val="447F0884"/>
    <w:lvl w:ilvl="0" w:tentative="0">
      <w:start w:val="1"/>
      <w:numFmt w:val="japaneseCounting"/>
      <w:lvlText w:val="%1、"/>
      <w:lvlJc w:val="left"/>
      <w:pPr>
        <w:ind w:left="860" w:hanging="720"/>
      </w:pPr>
      <w:rPr>
        <w:rFonts w:hint="default"/>
      </w:rPr>
    </w:lvl>
    <w:lvl w:ilvl="1" w:tentative="0">
      <w:start w:val="1"/>
      <w:numFmt w:val="lowerLetter"/>
      <w:lvlText w:val="%2)"/>
      <w:lvlJc w:val="left"/>
      <w:pPr>
        <w:ind w:left="980" w:hanging="420"/>
      </w:pPr>
    </w:lvl>
    <w:lvl w:ilvl="2" w:tentative="0">
      <w:start w:val="1"/>
      <w:numFmt w:val="lowerRoman"/>
      <w:lvlText w:val="%3."/>
      <w:lvlJc w:val="right"/>
      <w:pPr>
        <w:ind w:left="1400" w:hanging="420"/>
      </w:pPr>
    </w:lvl>
    <w:lvl w:ilvl="3" w:tentative="0">
      <w:start w:val="1"/>
      <w:numFmt w:val="decimal"/>
      <w:lvlText w:val="%4."/>
      <w:lvlJc w:val="left"/>
      <w:pPr>
        <w:ind w:left="1820" w:hanging="420"/>
      </w:pPr>
    </w:lvl>
    <w:lvl w:ilvl="4" w:tentative="0">
      <w:start w:val="1"/>
      <w:numFmt w:val="lowerLetter"/>
      <w:lvlText w:val="%5)"/>
      <w:lvlJc w:val="left"/>
      <w:pPr>
        <w:ind w:left="2240" w:hanging="420"/>
      </w:pPr>
    </w:lvl>
    <w:lvl w:ilvl="5" w:tentative="0">
      <w:start w:val="1"/>
      <w:numFmt w:val="lowerRoman"/>
      <w:lvlText w:val="%6."/>
      <w:lvlJc w:val="right"/>
      <w:pPr>
        <w:ind w:left="2660" w:hanging="420"/>
      </w:pPr>
    </w:lvl>
    <w:lvl w:ilvl="6" w:tentative="0">
      <w:start w:val="1"/>
      <w:numFmt w:val="decimal"/>
      <w:lvlText w:val="%7."/>
      <w:lvlJc w:val="left"/>
      <w:pPr>
        <w:ind w:left="3080" w:hanging="420"/>
      </w:pPr>
    </w:lvl>
    <w:lvl w:ilvl="7" w:tentative="0">
      <w:start w:val="1"/>
      <w:numFmt w:val="lowerLetter"/>
      <w:lvlText w:val="%8)"/>
      <w:lvlJc w:val="left"/>
      <w:pPr>
        <w:ind w:left="3500" w:hanging="420"/>
      </w:pPr>
    </w:lvl>
    <w:lvl w:ilvl="8" w:tentative="0">
      <w:start w:val="1"/>
      <w:numFmt w:val="lowerRoman"/>
      <w:lvlText w:val="%9."/>
      <w:lvlJc w:val="right"/>
      <w:pPr>
        <w:ind w:left="39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YWY1OTA5NGVjMmNlMTJjZjYyYTQyYjM4NTIxODgifQ=="/>
  </w:docVars>
  <w:rsids>
    <w:rsidRoot w:val="00EE0506"/>
    <w:rsid w:val="00B445C4"/>
    <w:rsid w:val="00DA71CA"/>
    <w:rsid w:val="00EE0506"/>
    <w:rsid w:val="6A12088B"/>
    <w:rsid w:val="6C44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237</Words>
  <Characters>1357</Characters>
  <Lines>11</Lines>
  <Paragraphs>3</Paragraphs>
  <TotalTime>22</TotalTime>
  <ScaleCrop>false</ScaleCrop>
  <LinksUpToDate>false</LinksUpToDate>
  <CharactersWithSpaces>1591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2022-03-18T06:25:00Z</dcterms:created>
  <dc:creator>Administrator</dc:creator>
  <cp:lastModifiedBy>Administrator</cp:lastModifiedBy>
  <dcterms:modified xsi:type="dcterms:W3CDTF">2023-09-22T01:21:19Z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258AD39420B447C68BB9998EC8646F67_13</vt:lpwstr>
  </property>
</Properties>
</file>