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200" w:hanging="2200" w:hangingChars="500"/>
        <w:rPr>
          <w:rFonts w:hint="eastAsia" w:ascii="宋体" w:hAnsi="宋体" w:eastAsia="宋体" w:cs="宋体"/>
          <w:b w:val="0"/>
          <w:bCs w:val="0"/>
          <w:kern w:val="0"/>
          <w:sz w:val="44"/>
          <w:szCs w:val="44"/>
          <w:lang w:eastAsia="zh-CN"/>
        </w:rPr>
      </w:pPr>
      <w:r>
        <w:rPr>
          <w:rFonts w:hint="eastAsia"/>
          <w:b w:val="0"/>
          <w:bCs w:val="0"/>
          <w:sz w:val="44"/>
          <w:szCs w:val="44"/>
          <w:lang w:val="en-US" w:eastAsia="zh-CN"/>
        </w:rPr>
        <w:t>2021年</w:t>
      </w:r>
      <w:r>
        <w:rPr>
          <w:rFonts w:hint="eastAsia" w:ascii="宋体" w:hAnsi="宋体" w:eastAsia="宋体" w:cs="宋体"/>
          <w:b w:val="0"/>
          <w:bCs w:val="0"/>
          <w:kern w:val="0"/>
          <w:sz w:val="44"/>
          <w:szCs w:val="44"/>
          <w:lang w:eastAsia="zh-CN"/>
        </w:rPr>
        <w:t>数字城管平台维护及第三方评估</w:t>
      </w:r>
    </w:p>
    <w:p>
      <w:pPr>
        <w:ind w:left="2200" w:hanging="2200" w:hangingChars="500"/>
        <w:jc w:val="center"/>
        <w:rPr>
          <w:rFonts w:hint="eastAsia" w:ascii="宋体" w:hAnsi="宋体" w:eastAsia="宋体" w:cs="宋体"/>
          <w:b w:val="0"/>
          <w:bCs w:val="0"/>
          <w:kern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44"/>
          <w:szCs w:val="44"/>
          <w:lang w:eastAsia="zh-CN"/>
        </w:rPr>
        <w:t>项目资金绩效自评报告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一、项目概况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数字城管平台2017年2月底启动建设，10月通过验收。项目建设投资1085万元，采用“建设运营一体化”模式，合同期5年，承建商北京数字政通公司在完成平台建设的同时，提供5年专业运营服务。该平台建成以来，在统筹协调解决城市管理事部件问题方面发挥了重要作用，成效显著，平台累计受理案件60.4万件，结案58.9万件，结案率97.6%，一大批群众急难愁盼问题得到解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二、绩效自评工作开展情况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为进一步加强部门责任意识，强化财政支出绩效理念，规范财政资金管理，提高资金使用绩效，根据《益阳市财政局关于开展2021年度部门绩效自评工作的通知》要求，我局成立了绩效评价工作小组，对本项目资金开展绩效评价工作。根据自评要求，逐一梳理了项目资金的使用管理情况和绩效情况，项目绩效目标的设定和完成情况，有序开展绩效评价，形成了评价报告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三、综合评价结论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通过对资金的投入、使用的情况，并对照数字城管平台项目绩效指标逐一进行分析，自评得分99分，自评结论为优秀。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840" w:leftChars="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四、绩效目标实现情况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840" w:leftChars="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项目资金使用及管理情况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2021年年初预算安排项目资金263.6万元，来源为一般公共预算，实际到位资金263.6万元，资金到位率100%。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2021年全年已按合同支付资金254.86万元，资金支付实现率96%。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84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总体绩效目标完成情况分析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kern w:val="2"/>
          <w:sz w:val="32"/>
          <w:szCs w:val="32"/>
          <w:u w:val="none"/>
          <w:shd w:val="clear" w:color="auto" w:fill="FFFFFF"/>
          <w:lang w:val="en-US" w:eastAsia="zh-CN" w:bidi="ar-SA"/>
        </w:rPr>
        <w:t>2021年，新增78路视频监控和3路高空瞭望，建成公园、林场、资江风貌带等重要区域视频监控。推进城市管理事（部）件信息视频巡查车AI采集试运行，引进配备热成像装置无人机，投入禁燃禁放、扬尘污染防控、重点区域违建摸底等工作，加强视频监控系统、餐饮油烟监测系统等的应用。通过智能技术手段发现受理禁燃禁放、车辆违停、占道经营、乱堆乱放等问题4488件。做细做实市民对城市管理问题诉求的受理、转办、督查等工作，提升服务品质，全年共受理城市管理事（部）件问题147364件，</w:t>
      </w:r>
      <w:r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  <w:lang w:eastAsia="zh-CN"/>
        </w:rPr>
        <w:t>处置率</w:t>
      </w:r>
      <w:r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  <w:lang w:val="en-US" w:eastAsia="zh-CN"/>
        </w:rPr>
        <w:t>98.2%，市民对城市管理的满意率和获得感不断增加。出台了《益阳市城市管理指挥手册》，规范平台运行。“门前三包”信息化管理系统开始试点，目前已更新“门前三包”责任主体2056家，绑定二维码2056个。系统试运行以来，采集上报事件1134起，形成“门前三包”案件230件，实现“全方位、全流程、智能化”的动态监管。深化12345市长热线、12319城管热线、益阳城管微信公众号、市民通APP等平台功能，做细做实市民对城市管理问题诉求的受理、转办、督查等工作，提升服务品质。加强与市长热线的协调联动，加大对疑难积压案件的清理催办工作。组织市纪委、市政法委、市长热线办、市城管委成员单位开展了“四方点评”，对中心城区群众“急难愁盼”问题要求限时解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840" w:leftChars="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五、存在的问题和改进措施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一、存在的问题。2021年所收集的城市管理事部件问题种类不够齐全，相关处置单位结案率不够高。</w:t>
      </w:r>
    </w:p>
    <w:p>
      <w:pPr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二、改进措施。一是加强对信息采集员的培训、督察和考核，收集的城市管理事部件更加及时，全面。二是加强视频监控和无人机巡查采集，增强采集效率。三是完善处置单位事部件问题处置考核制度，提高处置效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附件1:2021年度项目支出绩效自评表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益阳市城市管理和综合执法局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                       2022年4月18日</w:t>
      </w:r>
    </w:p>
    <w:p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D1A30F"/>
    <w:multiLevelType w:val="singleLevel"/>
    <w:tmpl w:val="27D1A30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145CD1"/>
    <w:rsid w:val="7051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rFonts w:cs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1249</Words>
  <Characters>1350</Characters>
  <Lines>0</Lines>
  <Paragraphs>0</Paragraphs>
  <TotalTime>4</TotalTime>
  <ScaleCrop>false</ScaleCrop>
  <LinksUpToDate>false</LinksUpToDate>
  <CharactersWithSpaces>1377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2022-04-18T02:05:00Z</dcterms:created>
  <dc:creator>Administrator</dc:creator>
  <cp:lastModifiedBy>Administrator</cp:lastModifiedBy>
  <cp:lastPrinted>2022-04-20T01:53:39Z</cp:lastPrinted>
  <dcterms:modified xsi:type="dcterms:W3CDTF">2022-04-20T02:45:40Z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commondata">
    <vt:lpwstr>eyJoZGlkIjoiMTljZDAwMzk2OGMxNzAzNWE1NzNjNGIzN2IyMjFjYTgifQ==</vt:lpwstr>
  </property>
  <property fmtid="{D5CDD505-2E9C-101B-9397-08002B2CF9AE}" pid="4" name="ICV">
    <vt:lpwstr>B3CAD59EBF204DEF858C96C2730F15A4</vt:lpwstr>
  </property>
</Properties>
</file>