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简体" w:hAnsi="方正仿宋简体" w:eastAsia="方正仿宋简体" w:cs="方正仿宋简体"/>
          <w:i w:val="0"/>
          <w:caps w:val="0"/>
          <w:color w:val="000000"/>
          <w:spacing w:val="0"/>
          <w:sz w:val="32"/>
          <w:szCs w:val="32"/>
          <w:shd w:val="clear" w:fill="FFFFFF"/>
        </w:rPr>
      </w:pPr>
      <w:r>
        <w:rPr>
          <w:rFonts w:hint="eastAsia" w:ascii="方正小标宋简体" w:hAnsi="方正小标宋简体" w:eastAsia="方正小标宋简体" w:cs="方正小标宋简体"/>
          <w:b/>
          <w:bCs/>
          <w:sz w:val="44"/>
          <w:szCs w:val="44"/>
          <w:lang w:val="en-US" w:eastAsia="zh-CN"/>
        </w:rPr>
        <w:t>2021年度整体支出绩效自评报告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方正仿宋简体" w:hAnsi="方正仿宋简体" w:eastAsia="方正仿宋简体" w:cs="方正仿宋简体"/>
          <w:i w:val="0"/>
          <w:caps w:val="0"/>
          <w:color w:val="000000"/>
          <w:spacing w:val="0"/>
          <w:sz w:val="32"/>
          <w:szCs w:val="32"/>
          <w:shd w:val="clear" w:fill="FFFFFF"/>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方正仿宋简体" w:hAnsi="方正仿宋简体" w:eastAsia="方正仿宋简体" w:cs="方正仿宋简体"/>
          <w:b/>
          <w:bCs/>
          <w:sz w:val="32"/>
          <w:szCs w:val="32"/>
          <w:lang w:val="en-US" w:eastAsia="zh-CN"/>
        </w:rPr>
      </w:pPr>
      <w:r>
        <w:rPr>
          <w:rFonts w:hint="eastAsia" w:ascii="方正仿宋简体" w:hAnsi="方正仿宋简体" w:eastAsia="方正仿宋简体" w:cs="方正仿宋简体"/>
          <w:i w:val="0"/>
          <w:caps w:val="0"/>
          <w:color w:val="000000"/>
          <w:spacing w:val="0"/>
          <w:sz w:val="32"/>
          <w:szCs w:val="32"/>
          <w:shd w:val="clear" w:fill="FFFFFF"/>
        </w:rPr>
        <w:t>为了加强财政资金绩效管理，提高资金使用效益，根据《湖南省委办公厅湖南省人民政府办公厅关于全面实施预算绩效管理的实施意见》（湘办发〔2019〕10号）精神</w:t>
      </w:r>
      <w:r>
        <w:rPr>
          <w:rFonts w:hint="eastAsia" w:ascii="方正仿宋简体" w:hAnsi="方正仿宋简体" w:eastAsia="方正仿宋简体" w:cs="方正仿宋简体"/>
          <w:i w:val="0"/>
          <w:caps w:val="0"/>
          <w:color w:val="000000"/>
          <w:spacing w:val="0"/>
          <w:sz w:val="32"/>
          <w:szCs w:val="32"/>
          <w:shd w:val="clear" w:fill="FFFFFF"/>
          <w:lang w:val="en-US" w:eastAsia="zh-CN"/>
        </w:rPr>
        <w:t>,</w:t>
      </w:r>
      <w:r>
        <w:rPr>
          <w:rFonts w:hint="eastAsia" w:ascii="方正仿宋简体" w:hAnsi="方正仿宋简体" w:eastAsia="方正仿宋简体" w:cs="方正仿宋简体"/>
          <w:i w:val="0"/>
          <w:caps w:val="0"/>
          <w:color w:val="000000"/>
          <w:spacing w:val="0"/>
          <w:sz w:val="32"/>
          <w:szCs w:val="32"/>
          <w:shd w:val="clear" w:fill="FFFFFF"/>
        </w:rPr>
        <w:t>按照《益阳市财政局关于开展</w:t>
      </w:r>
      <w:r>
        <w:rPr>
          <w:rFonts w:hint="eastAsia" w:ascii="方正仿宋简体" w:hAnsi="方正仿宋简体" w:eastAsia="方正仿宋简体" w:cs="方正仿宋简体"/>
          <w:i w:val="0"/>
          <w:caps w:val="0"/>
          <w:color w:val="000000"/>
          <w:spacing w:val="0"/>
          <w:sz w:val="32"/>
          <w:szCs w:val="32"/>
          <w:shd w:val="clear" w:fill="FFFFFF"/>
          <w:lang w:val="en-US" w:eastAsia="zh-CN"/>
        </w:rPr>
        <w:t>2021</w:t>
      </w:r>
      <w:r>
        <w:rPr>
          <w:rFonts w:hint="eastAsia" w:ascii="方正仿宋简体" w:hAnsi="方正仿宋简体" w:eastAsia="方正仿宋简体" w:cs="方正仿宋简体"/>
          <w:i w:val="0"/>
          <w:caps w:val="0"/>
          <w:color w:val="000000"/>
          <w:spacing w:val="0"/>
          <w:sz w:val="32"/>
          <w:szCs w:val="32"/>
          <w:shd w:val="clear" w:fill="FFFFFF"/>
        </w:rPr>
        <w:t>年度</w:t>
      </w:r>
      <w:r>
        <w:rPr>
          <w:rFonts w:hint="eastAsia" w:ascii="方正仿宋简体" w:hAnsi="方正仿宋简体" w:eastAsia="方正仿宋简体" w:cs="方正仿宋简体"/>
          <w:i w:val="0"/>
          <w:caps w:val="0"/>
          <w:color w:val="000000"/>
          <w:spacing w:val="0"/>
          <w:sz w:val="32"/>
          <w:szCs w:val="32"/>
          <w:shd w:val="clear" w:fill="FFFFFF"/>
          <w:lang w:eastAsia="zh-CN"/>
        </w:rPr>
        <w:t>部门</w:t>
      </w:r>
      <w:r>
        <w:rPr>
          <w:rFonts w:hint="eastAsia" w:ascii="方正仿宋简体" w:hAnsi="方正仿宋简体" w:eastAsia="方正仿宋简体" w:cs="方正仿宋简体"/>
          <w:i w:val="0"/>
          <w:caps w:val="0"/>
          <w:color w:val="000000"/>
          <w:spacing w:val="0"/>
          <w:sz w:val="32"/>
          <w:szCs w:val="32"/>
          <w:shd w:val="clear" w:fill="FFFFFF"/>
        </w:rPr>
        <w:t>绩效自评工作的通知》要求，我局认真组织开展了</w:t>
      </w:r>
      <w:r>
        <w:rPr>
          <w:rFonts w:hint="eastAsia" w:ascii="方正仿宋简体" w:hAnsi="方正仿宋简体" w:eastAsia="方正仿宋简体" w:cs="方正仿宋简体"/>
          <w:i w:val="0"/>
          <w:caps w:val="0"/>
          <w:color w:val="000000"/>
          <w:spacing w:val="0"/>
          <w:sz w:val="32"/>
          <w:szCs w:val="32"/>
          <w:shd w:val="clear" w:fill="FFFFFF"/>
          <w:lang w:val="en-US" w:eastAsia="zh-CN"/>
        </w:rPr>
        <w:t>2021</w:t>
      </w:r>
      <w:r>
        <w:rPr>
          <w:rFonts w:hint="eastAsia" w:ascii="方正仿宋简体" w:hAnsi="方正仿宋简体" w:eastAsia="方正仿宋简体" w:cs="方正仿宋简体"/>
          <w:i w:val="0"/>
          <w:caps w:val="0"/>
          <w:color w:val="000000"/>
          <w:spacing w:val="0"/>
          <w:sz w:val="32"/>
          <w:szCs w:val="32"/>
          <w:shd w:val="clear" w:fill="FFFFFF"/>
        </w:rPr>
        <w:t>年整体支出绩效自评工作。现将有关情况报告如下：</w:t>
      </w:r>
    </w:p>
    <w:p>
      <w:pPr>
        <w:keepNext w:val="0"/>
        <w:keepLines w:val="0"/>
        <w:pageBreakBefore w:val="0"/>
        <w:numPr>
          <w:ilvl w:val="0"/>
          <w:numId w:val="1"/>
        </w:numPr>
        <w:kinsoku/>
        <w:wordWrap/>
        <w:topLinePunct w:val="0"/>
        <w:autoSpaceDE/>
        <w:autoSpaceDN/>
        <w:bidi w:val="0"/>
        <w:adjustRightInd/>
        <w:spacing w:line="60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单位基本情况</w:t>
      </w:r>
    </w:p>
    <w:p>
      <w:pPr>
        <w:keepNext w:val="0"/>
        <w:keepLines w:val="0"/>
        <w:pageBreakBefore w:val="0"/>
        <w:kinsoku/>
        <w:wordWrap/>
        <w:topLinePunct w:val="0"/>
        <w:autoSpaceDE/>
        <w:autoSpaceDN/>
        <w:bidi w:val="0"/>
        <w:adjustRightInd/>
        <w:snapToGrid w:val="0"/>
        <w:spacing w:line="600" w:lineRule="exact"/>
        <w:ind w:firstLine="640" w:firstLineChars="200"/>
        <w:textAlignment w:val="auto"/>
        <w:rPr>
          <w:rFonts w:hint="eastAsia" w:ascii="方正仿宋简体" w:hAnsi="方正仿宋简体" w:eastAsia="方正仿宋简体" w:cs="方正仿宋简体"/>
          <w:b w:val="0"/>
          <w:bCs w:val="0"/>
          <w:sz w:val="32"/>
          <w:szCs w:val="32"/>
        </w:rPr>
      </w:pPr>
      <w:r>
        <w:rPr>
          <w:rFonts w:hint="eastAsia" w:ascii="方正仿宋简体" w:hAnsi="方正仿宋简体" w:eastAsia="方正仿宋简体" w:cs="方正仿宋简体"/>
          <w:b w:val="0"/>
          <w:bCs w:val="0"/>
          <w:sz w:val="32"/>
          <w:szCs w:val="32"/>
        </w:rPr>
        <w:t>益阳市城市管理和综合执法局是市政府工作部门，为正处级</w:t>
      </w:r>
      <w:r>
        <w:rPr>
          <w:rFonts w:hint="eastAsia" w:ascii="方正仿宋简体" w:hAnsi="方正仿宋简体" w:eastAsia="方正仿宋简体" w:cs="方正仿宋简体"/>
          <w:b w:val="0"/>
          <w:bCs w:val="0"/>
          <w:sz w:val="32"/>
          <w:szCs w:val="32"/>
          <w:lang w:eastAsia="zh-CN"/>
        </w:rPr>
        <w:t>机构</w:t>
      </w:r>
      <w:r>
        <w:rPr>
          <w:rFonts w:hint="eastAsia" w:ascii="方正仿宋简体" w:hAnsi="方正仿宋简体" w:eastAsia="方正仿宋简体" w:cs="方正仿宋简体"/>
          <w:b w:val="0"/>
          <w:bCs w:val="0"/>
          <w:sz w:val="32"/>
          <w:szCs w:val="32"/>
        </w:rPr>
        <w:t>。</w:t>
      </w:r>
      <w:r>
        <w:rPr>
          <w:rFonts w:hint="eastAsia" w:ascii="方正仿宋简体" w:hAnsi="方正仿宋简体" w:eastAsia="方正仿宋简体" w:cs="方正仿宋简体"/>
          <w:b w:val="0"/>
          <w:bCs w:val="0"/>
          <w:sz w:val="32"/>
          <w:szCs w:val="32"/>
          <w:lang w:eastAsia="zh-CN"/>
        </w:rPr>
        <w:t>主要职责是</w:t>
      </w:r>
      <w:r>
        <w:rPr>
          <w:rFonts w:hint="eastAsia" w:ascii="方正仿宋简体" w:hAnsi="方正仿宋简体" w:eastAsia="方正仿宋简体" w:cs="方正仿宋简体"/>
          <w:b w:val="0"/>
          <w:bCs w:val="0"/>
          <w:sz w:val="32"/>
          <w:szCs w:val="32"/>
        </w:rPr>
        <w:t>贯彻落实党中央关于城市管理和综合执法工作的方针政策和决策部署，全面落实省委、市委关于城市管理和综合执法工作的部署要求，在履行职责过程中坚持和加强党对城市管理和综合执法工作的集中统一领导。</w:t>
      </w:r>
    </w:p>
    <w:p>
      <w:pPr>
        <w:keepNext w:val="0"/>
        <w:keepLines w:val="0"/>
        <w:pageBreakBefore w:val="0"/>
        <w:kinsoku/>
        <w:wordWrap/>
        <w:topLinePunct w:val="0"/>
        <w:autoSpaceDE/>
        <w:autoSpaceDN/>
        <w:bidi w:val="0"/>
        <w:adjustRightInd/>
        <w:snapToGrid w:val="0"/>
        <w:spacing w:line="60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Cs/>
          <w:sz w:val="32"/>
          <w:szCs w:val="32"/>
        </w:rPr>
        <w:t>局本级编制232名</w:t>
      </w:r>
      <w:r>
        <w:rPr>
          <w:rFonts w:hint="eastAsia" w:ascii="方正仿宋简体" w:hAnsi="方正仿宋简体" w:eastAsia="方正仿宋简体" w:cs="方正仿宋简体"/>
          <w:bCs/>
          <w:sz w:val="32"/>
          <w:szCs w:val="32"/>
          <w:lang w:eastAsia="zh-CN"/>
        </w:rPr>
        <w:t>，</w:t>
      </w:r>
      <w:r>
        <w:rPr>
          <w:rFonts w:hint="eastAsia" w:ascii="方正仿宋简体" w:hAnsi="方正仿宋简体" w:eastAsia="方正仿宋简体" w:cs="方正仿宋简体"/>
          <w:sz w:val="32"/>
          <w:szCs w:val="32"/>
        </w:rPr>
        <w:t>20</w:t>
      </w:r>
      <w:r>
        <w:rPr>
          <w:rFonts w:hint="eastAsia" w:ascii="方正仿宋简体" w:hAnsi="方正仿宋简体" w:eastAsia="方正仿宋简体" w:cs="方正仿宋简体"/>
          <w:sz w:val="32"/>
          <w:szCs w:val="32"/>
          <w:lang w:val="en-US" w:eastAsia="zh-CN"/>
        </w:rPr>
        <w:t>21</w:t>
      </w:r>
      <w:r>
        <w:rPr>
          <w:rFonts w:hint="eastAsia" w:ascii="方正仿宋简体" w:hAnsi="方正仿宋简体" w:eastAsia="方正仿宋简体" w:cs="方正仿宋简体"/>
          <w:sz w:val="32"/>
          <w:szCs w:val="32"/>
        </w:rPr>
        <w:t>年年末实有人数</w:t>
      </w:r>
      <w:r>
        <w:rPr>
          <w:rFonts w:hint="eastAsia" w:ascii="方正仿宋简体" w:hAnsi="方正仿宋简体" w:eastAsia="方正仿宋简体" w:cs="方正仿宋简体"/>
          <w:sz w:val="32"/>
          <w:szCs w:val="32"/>
          <w:lang w:val="en-US" w:eastAsia="zh-CN"/>
        </w:rPr>
        <w:t>204</w:t>
      </w:r>
      <w:r>
        <w:rPr>
          <w:rFonts w:hint="eastAsia" w:ascii="方正仿宋简体" w:hAnsi="方正仿宋简体" w:eastAsia="方正仿宋简体" w:cs="方正仿宋简体"/>
          <w:sz w:val="32"/>
          <w:szCs w:val="32"/>
        </w:rPr>
        <w:t>人，退休</w:t>
      </w:r>
      <w:r>
        <w:rPr>
          <w:rFonts w:hint="eastAsia" w:ascii="方正仿宋简体" w:hAnsi="方正仿宋简体" w:eastAsia="方正仿宋简体" w:cs="方正仿宋简体"/>
          <w:sz w:val="32"/>
          <w:szCs w:val="32"/>
          <w:lang w:val="en-US" w:eastAsia="zh-CN"/>
        </w:rPr>
        <w:t>38</w:t>
      </w:r>
      <w:r>
        <w:rPr>
          <w:rFonts w:hint="eastAsia" w:ascii="方正仿宋简体" w:hAnsi="方正仿宋简体" w:eastAsia="方正仿宋简体" w:cs="方正仿宋简体"/>
          <w:sz w:val="32"/>
          <w:szCs w:val="32"/>
        </w:rPr>
        <w:t>人。</w:t>
      </w:r>
    </w:p>
    <w:p>
      <w:pPr>
        <w:spacing w:line="556" w:lineRule="exact"/>
        <w:ind w:left="-181" w:leftChars="-86" w:right="210" w:rightChars="100" w:firstLine="656" w:firstLineChars="205"/>
        <w:rPr>
          <w:rFonts w:hint="eastAsia" w:ascii="Times New Roman" w:hAnsi="Times New Roman" w:eastAsia="方正仿宋简体" w:cs="Times New Roman"/>
          <w:sz w:val="32"/>
          <w:szCs w:val="32"/>
          <w:lang w:eastAsia="zh-CN"/>
        </w:rPr>
      </w:pPr>
      <w:r>
        <w:rPr>
          <w:rFonts w:ascii="Times New Roman" w:hAnsi="Times New Roman" w:eastAsia="方正仿宋简体" w:cs="Times New Roman"/>
          <w:sz w:val="32"/>
          <w:szCs w:val="32"/>
        </w:rPr>
        <w:t>根据《</w:t>
      </w:r>
      <w:r>
        <w:rPr>
          <w:rFonts w:hint="eastAsia" w:ascii="Times New Roman" w:hAnsi="Times New Roman" w:eastAsia="方正仿宋简体" w:cs="Times New Roman"/>
          <w:sz w:val="32"/>
          <w:szCs w:val="32"/>
          <w:lang w:eastAsia="zh-CN"/>
        </w:rPr>
        <w:t>中共益阳市委办公室</w:t>
      </w:r>
      <w:r>
        <w:rPr>
          <w:rFonts w:hint="eastAsia" w:ascii="Times New Roman" w:hAnsi="Times New Roman" w:eastAsia="方正仿宋简体" w:cs="Times New Roman"/>
          <w:sz w:val="32"/>
          <w:szCs w:val="32"/>
          <w:lang w:val="en-US" w:eastAsia="zh-CN"/>
        </w:rPr>
        <w:t xml:space="preserve"> 益阳市人民政府办公室关于印发《益阳市城市管理和综合执法局职能配置、内设机构和人员编制规定》的通知</w:t>
      </w:r>
      <w:r>
        <w:rPr>
          <w:rFonts w:ascii="Times New Roman" w:hAnsi="Times New Roman" w:eastAsia="方正仿宋简体" w:cs="Times New Roman"/>
          <w:sz w:val="32"/>
          <w:szCs w:val="32"/>
        </w:rPr>
        <w:t>》（益办〔</w:t>
      </w:r>
      <w:r>
        <w:rPr>
          <w:rFonts w:hint="eastAsia" w:ascii="Times New Roman" w:hAnsi="Times New Roman" w:eastAsia="方正仿宋简体" w:cs="Times New Roman"/>
          <w:sz w:val="32"/>
          <w:szCs w:val="32"/>
          <w:lang w:val="en-US" w:eastAsia="zh-CN"/>
        </w:rPr>
        <w:t>2019</w:t>
      </w:r>
      <w:r>
        <w:rPr>
          <w:rFonts w:ascii="Times New Roman" w:hAnsi="Times New Roman" w:eastAsia="方正仿宋简体" w:cs="Times New Roman"/>
          <w:sz w:val="32"/>
          <w:szCs w:val="32"/>
        </w:rPr>
        <w:t>〕</w:t>
      </w:r>
      <w:r>
        <w:rPr>
          <w:rFonts w:hint="eastAsia" w:ascii="Times New Roman" w:hAnsi="Times New Roman" w:eastAsia="方正仿宋简体" w:cs="Times New Roman"/>
          <w:sz w:val="32"/>
          <w:szCs w:val="32"/>
          <w:lang w:val="en-US" w:eastAsia="zh-CN"/>
        </w:rPr>
        <w:t>60</w:t>
      </w:r>
      <w:r>
        <w:rPr>
          <w:rFonts w:ascii="Times New Roman" w:hAnsi="Times New Roman" w:eastAsia="方正仿宋简体" w:cs="Times New Roman"/>
          <w:sz w:val="32"/>
          <w:szCs w:val="32"/>
        </w:rPr>
        <w:t>号），机关内设办公室、法规科、</w:t>
      </w:r>
      <w:r>
        <w:rPr>
          <w:rFonts w:hint="eastAsia" w:ascii="Times New Roman" w:hAnsi="Times New Roman" w:eastAsia="方正仿宋简体" w:cs="Times New Roman"/>
          <w:sz w:val="32"/>
          <w:szCs w:val="32"/>
          <w:lang w:eastAsia="zh-CN"/>
        </w:rPr>
        <w:t>和行政审批改革科（政务服务协调科）、</w:t>
      </w:r>
      <w:r>
        <w:rPr>
          <w:rFonts w:ascii="Times New Roman" w:hAnsi="Times New Roman" w:eastAsia="方正仿宋简体" w:cs="Times New Roman"/>
          <w:sz w:val="32"/>
          <w:szCs w:val="32"/>
        </w:rPr>
        <w:t>市容科、</w:t>
      </w:r>
      <w:r>
        <w:rPr>
          <w:rFonts w:hint="eastAsia" w:ascii="Times New Roman" w:hAnsi="Times New Roman" w:eastAsia="方正仿宋简体" w:cs="Times New Roman"/>
          <w:sz w:val="32"/>
          <w:szCs w:val="32"/>
          <w:lang w:eastAsia="zh-CN"/>
        </w:rPr>
        <w:t>市政设施科、园林绿化科、城市管理科、</w:t>
      </w:r>
      <w:r>
        <w:rPr>
          <w:rFonts w:ascii="Times New Roman" w:hAnsi="Times New Roman" w:eastAsia="方正仿宋简体" w:cs="Times New Roman"/>
          <w:sz w:val="32"/>
          <w:szCs w:val="32"/>
        </w:rPr>
        <w:t>督察科、人事科、财务科</w:t>
      </w:r>
      <w:r>
        <w:rPr>
          <w:rFonts w:hint="eastAsia" w:ascii="Times New Roman" w:hAnsi="Times New Roman" w:eastAsia="方正仿宋简体" w:cs="Times New Roman"/>
          <w:sz w:val="32"/>
          <w:szCs w:val="32"/>
          <w:lang w:eastAsia="zh-CN"/>
        </w:rPr>
        <w:t>、党委办</w:t>
      </w:r>
      <w:r>
        <w:rPr>
          <w:rFonts w:hint="eastAsia" w:ascii="Times New Roman" w:hAnsi="Times New Roman" w:eastAsia="方正仿宋简体" w:cs="Times New Roman"/>
          <w:sz w:val="32"/>
          <w:szCs w:val="32"/>
          <w:lang w:val="en-US" w:eastAsia="zh-CN"/>
        </w:rPr>
        <w:t>11</w:t>
      </w:r>
      <w:r>
        <w:rPr>
          <w:rFonts w:ascii="Times New Roman" w:hAnsi="Times New Roman" w:eastAsia="方正仿宋简体" w:cs="Times New Roman"/>
          <w:sz w:val="32"/>
          <w:szCs w:val="32"/>
        </w:rPr>
        <w:t>个正科级职能科室，下设</w:t>
      </w:r>
      <w:r>
        <w:rPr>
          <w:rFonts w:hint="eastAsia" w:ascii="Times New Roman" w:hAnsi="Times New Roman" w:eastAsia="方正仿宋简体" w:cs="Times New Roman"/>
          <w:sz w:val="32"/>
          <w:szCs w:val="32"/>
          <w:lang w:eastAsia="zh-CN"/>
        </w:rPr>
        <w:t>七</w:t>
      </w:r>
      <w:r>
        <w:rPr>
          <w:rFonts w:ascii="Times New Roman" w:hAnsi="Times New Roman" w:eastAsia="方正仿宋简体" w:cs="Times New Roman"/>
          <w:sz w:val="32"/>
          <w:szCs w:val="32"/>
        </w:rPr>
        <w:t>个直属大队（一、二、三、四、五</w:t>
      </w:r>
      <w:r>
        <w:rPr>
          <w:rFonts w:hint="eastAsia" w:ascii="Times New Roman" w:hAnsi="Times New Roman" w:eastAsia="方正仿宋简体" w:cs="Times New Roman"/>
          <w:sz w:val="32"/>
          <w:szCs w:val="32"/>
          <w:lang w:eastAsia="zh-CN"/>
        </w:rPr>
        <w:t>、六、七</w:t>
      </w:r>
      <w:r>
        <w:rPr>
          <w:rFonts w:ascii="Times New Roman" w:hAnsi="Times New Roman" w:eastAsia="方正仿宋简体" w:cs="Times New Roman"/>
          <w:sz w:val="32"/>
          <w:szCs w:val="32"/>
        </w:rPr>
        <w:t>大队）、市城市管理指挥中心、市城区资江风貌带</w:t>
      </w:r>
      <w:r>
        <w:rPr>
          <w:rFonts w:hint="eastAsia" w:ascii="Times New Roman" w:hAnsi="Times New Roman" w:eastAsia="方正仿宋简体" w:cs="Times New Roman"/>
          <w:sz w:val="32"/>
          <w:szCs w:val="32"/>
          <w:lang w:eastAsia="zh-CN"/>
        </w:rPr>
        <w:t>综合执法大队、市市政工程服务中心、市大桥服务中心、市路灯灯饰服务中心</w:t>
      </w:r>
      <w:r>
        <w:rPr>
          <w:rFonts w:ascii="Times New Roman" w:hAnsi="Times New Roman" w:eastAsia="方正仿宋简体" w:cs="Times New Roman"/>
          <w:sz w:val="32"/>
          <w:szCs w:val="32"/>
        </w:rPr>
        <w:t>等</w:t>
      </w:r>
      <w:r>
        <w:rPr>
          <w:rFonts w:hint="eastAsia" w:ascii="Times New Roman" w:hAnsi="Times New Roman" w:eastAsia="方正仿宋简体" w:cs="Times New Roman"/>
          <w:sz w:val="32"/>
          <w:szCs w:val="32"/>
          <w:lang w:val="en-US" w:eastAsia="zh-CN"/>
        </w:rPr>
        <w:t>12</w:t>
      </w:r>
      <w:r>
        <w:rPr>
          <w:rFonts w:ascii="Times New Roman" w:hAnsi="Times New Roman" w:eastAsia="方正仿宋简体" w:cs="Times New Roman"/>
          <w:sz w:val="32"/>
          <w:szCs w:val="32"/>
        </w:rPr>
        <w:t>个正科级单位和市环境卫生</w:t>
      </w:r>
      <w:r>
        <w:rPr>
          <w:rFonts w:hint="eastAsia" w:ascii="Times New Roman" w:hAnsi="Times New Roman" w:eastAsia="方正仿宋简体" w:cs="Times New Roman"/>
          <w:sz w:val="32"/>
          <w:szCs w:val="32"/>
          <w:lang w:eastAsia="zh-CN"/>
        </w:rPr>
        <w:t>服务中心</w:t>
      </w:r>
      <w:r>
        <w:rPr>
          <w:rFonts w:ascii="Times New Roman" w:hAnsi="Times New Roman" w:eastAsia="方正仿宋简体" w:cs="Times New Roman"/>
          <w:sz w:val="32"/>
          <w:szCs w:val="32"/>
        </w:rPr>
        <w:t>、市规划</w:t>
      </w:r>
      <w:r>
        <w:rPr>
          <w:rFonts w:hint="eastAsia" w:ascii="Times New Roman" w:hAnsi="Times New Roman" w:eastAsia="方正仿宋简体" w:cs="Times New Roman"/>
          <w:sz w:val="32"/>
          <w:szCs w:val="32"/>
          <w:lang w:eastAsia="zh-CN"/>
        </w:rPr>
        <w:t>行政</w:t>
      </w:r>
      <w:r>
        <w:rPr>
          <w:rFonts w:ascii="Times New Roman" w:hAnsi="Times New Roman" w:eastAsia="方正仿宋简体" w:cs="Times New Roman"/>
          <w:sz w:val="32"/>
          <w:szCs w:val="32"/>
        </w:rPr>
        <w:t>执法支队</w:t>
      </w:r>
      <w:r>
        <w:rPr>
          <w:rFonts w:hint="eastAsia" w:ascii="Times New Roman" w:hAnsi="Times New Roman" w:eastAsia="方正仿宋简体" w:cs="Times New Roman"/>
          <w:sz w:val="32"/>
          <w:szCs w:val="32"/>
          <w:lang w:eastAsia="zh-CN"/>
        </w:rPr>
        <w:t>和、市园林绿化服务中心</w:t>
      </w:r>
      <w:r>
        <w:rPr>
          <w:rFonts w:hint="eastAsia" w:ascii="Times New Roman" w:hAnsi="Times New Roman" w:eastAsia="方正仿宋简体" w:cs="Times New Roman"/>
          <w:sz w:val="32"/>
          <w:szCs w:val="32"/>
          <w:lang w:val="en-US" w:eastAsia="zh-CN"/>
        </w:rPr>
        <w:t>3</w:t>
      </w:r>
      <w:r>
        <w:rPr>
          <w:rFonts w:ascii="Times New Roman" w:hAnsi="Times New Roman" w:eastAsia="方正仿宋简体" w:cs="Times New Roman"/>
          <w:sz w:val="32"/>
          <w:szCs w:val="32"/>
        </w:rPr>
        <w:t>个副处级单位</w:t>
      </w:r>
      <w:r>
        <w:rPr>
          <w:rFonts w:hint="eastAsia" w:ascii="Times New Roman" w:hAnsi="Times New Roman" w:eastAsia="方正仿宋简体" w:cs="Times New Roman"/>
          <w:sz w:val="32"/>
          <w:szCs w:val="32"/>
          <w:lang w:eastAsia="zh-CN"/>
        </w:rPr>
        <w:t>，</w:t>
      </w:r>
      <w:r>
        <w:rPr>
          <w:rFonts w:hint="eastAsia" w:ascii="Times New Roman" w:hAnsi="Times New Roman" w:eastAsia="方正仿宋简体" w:cs="Times New Roman"/>
          <w:sz w:val="32"/>
          <w:szCs w:val="32"/>
          <w:lang w:val="en-US" w:eastAsia="zh-CN"/>
        </w:rPr>
        <w:t>其中</w:t>
      </w:r>
      <w:r>
        <w:rPr>
          <w:rFonts w:hint="eastAsia" w:ascii="Times New Roman" w:hAnsi="Times New Roman" w:eastAsia="方正仿宋简体" w:cs="Times New Roman"/>
          <w:sz w:val="32"/>
          <w:szCs w:val="32"/>
          <w:lang w:eastAsia="zh-CN"/>
        </w:rPr>
        <w:t>七</w:t>
      </w:r>
      <w:r>
        <w:rPr>
          <w:rFonts w:ascii="Times New Roman" w:hAnsi="Times New Roman" w:eastAsia="方正仿宋简体" w:cs="Times New Roman"/>
          <w:sz w:val="32"/>
          <w:szCs w:val="32"/>
        </w:rPr>
        <w:t>个直属大队、市城市管理指挥中心、市城区资江风貌带</w:t>
      </w:r>
      <w:r>
        <w:rPr>
          <w:rFonts w:hint="eastAsia" w:ascii="Times New Roman" w:hAnsi="Times New Roman" w:eastAsia="方正仿宋简体" w:cs="Times New Roman"/>
          <w:sz w:val="32"/>
          <w:szCs w:val="32"/>
          <w:lang w:eastAsia="zh-CN"/>
        </w:rPr>
        <w:t>综合执法大队为非独立核算单位，市市政工程服务中心、市大桥服务中心、市路灯灯饰服务中心、</w:t>
      </w:r>
      <w:r>
        <w:rPr>
          <w:rFonts w:ascii="Times New Roman" w:hAnsi="Times New Roman" w:eastAsia="方正仿宋简体" w:cs="Times New Roman"/>
          <w:sz w:val="32"/>
          <w:szCs w:val="32"/>
        </w:rPr>
        <w:t>市环境卫生</w:t>
      </w:r>
      <w:r>
        <w:rPr>
          <w:rFonts w:hint="eastAsia" w:ascii="Times New Roman" w:hAnsi="Times New Roman" w:eastAsia="方正仿宋简体" w:cs="Times New Roman"/>
          <w:sz w:val="32"/>
          <w:szCs w:val="32"/>
          <w:lang w:eastAsia="zh-CN"/>
        </w:rPr>
        <w:t>服务中心</w:t>
      </w:r>
      <w:r>
        <w:rPr>
          <w:rFonts w:ascii="Times New Roman" w:hAnsi="Times New Roman" w:eastAsia="方正仿宋简体" w:cs="Times New Roman"/>
          <w:sz w:val="32"/>
          <w:szCs w:val="32"/>
        </w:rPr>
        <w:t>、市规划</w:t>
      </w:r>
      <w:r>
        <w:rPr>
          <w:rFonts w:hint="eastAsia" w:ascii="Times New Roman" w:hAnsi="Times New Roman" w:eastAsia="方正仿宋简体" w:cs="Times New Roman"/>
          <w:sz w:val="32"/>
          <w:szCs w:val="32"/>
          <w:lang w:eastAsia="zh-CN"/>
        </w:rPr>
        <w:t>行政</w:t>
      </w:r>
      <w:r>
        <w:rPr>
          <w:rFonts w:ascii="Times New Roman" w:hAnsi="Times New Roman" w:eastAsia="方正仿宋简体" w:cs="Times New Roman"/>
          <w:sz w:val="32"/>
          <w:szCs w:val="32"/>
        </w:rPr>
        <w:t>执法支队</w:t>
      </w:r>
      <w:r>
        <w:rPr>
          <w:rFonts w:hint="eastAsia" w:ascii="Times New Roman" w:hAnsi="Times New Roman" w:eastAsia="方正仿宋简体" w:cs="Times New Roman"/>
          <w:sz w:val="32"/>
          <w:szCs w:val="32"/>
          <w:lang w:eastAsia="zh-CN"/>
        </w:rPr>
        <w:t>和市园林绿化服务中心为独立核算单位。</w:t>
      </w:r>
    </w:p>
    <w:p>
      <w:pPr>
        <w:spacing w:line="556" w:lineRule="exact"/>
        <w:ind w:left="-181" w:leftChars="-86" w:right="210" w:rightChars="100" w:firstLine="656" w:firstLineChars="205"/>
        <w:rPr>
          <w:rFonts w:hint="eastAsia" w:ascii="Times New Roman" w:hAnsi="Times New Roman" w:eastAsia="方正仿宋简体" w:cs="Times New Roman"/>
          <w:sz w:val="32"/>
          <w:szCs w:val="32"/>
          <w:lang w:eastAsia="zh-CN"/>
        </w:rPr>
      </w:pPr>
      <w:r>
        <w:rPr>
          <w:rFonts w:hint="eastAsia" w:ascii="Times New Roman" w:hAnsi="Times New Roman" w:eastAsia="方正仿宋简体" w:cs="Times New Roman"/>
          <w:sz w:val="32"/>
          <w:szCs w:val="32"/>
          <w:lang w:eastAsia="zh-CN"/>
        </w:rPr>
        <w:t xml:space="preserve">纳入编制范围的预算单位包括：益阳市城市管理和综合执法局本级。 </w:t>
      </w:r>
    </w:p>
    <w:p>
      <w:pPr>
        <w:keepNext w:val="0"/>
        <w:keepLines w:val="0"/>
        <w:pageBreakBefore w:val="0"/>
        <w:numPr>
          <w:ilvl w:val="0"/>
          <w:numId w:val="2"/>
        </w:numPr>
        <w:kinsoku/>
        <w:wordWrap/>
        <w:topLinePunct w:val="0"/>
        <w:autoSpaceDE/>
        <w:autoSpaceDN/>
        <w:bidi w:val="0"/>
        <w:adjustRightInd/>
        <w:spacing w:line="600" w:lineRule="exact"/>
        <w:ind w:leftChars="0" w:firstLine="640" w:firstLineChars="200"/>
        <w:jc w:val="both"/>
        <w:textAlignment w:val="auto"/>
        <w:rPr>
          <w:rFonts w:hint="eastAsia" w:ascii="方正仿宋简体" w:hAnsi="方正仿宋简体" w:eastAsia="方正仿宋简体" w:cs="方正仿宋简体"/>
          <w:b w:val="0"/>
          <w:bCs w:val="0"/>
          <w:sz w:val="32"/>
          <w:szCs w:val="32"/>
          <w:lang w:val="en-US" w:eastAsia="zh-CN"/>
        </w:rPr>
      </w:pPr>
      <w:r>
        <w:rPr>
          <w:rFonts w:hint="eastAsia" w:ascii="方正仿宋简体" w:hAnsi="方正仿宋简体" w:eastAsia="方正仿宋简体" w:cs="方正仿宋简体"/>
          <w:b w:val="0"/>
          <w:bCs w:val="0"/>
          <w:sz w:val="32"/>
          <w:szCs w:val="32"/>
          <w:lang w:val="en-US" w:eastAsia="zh-CN"/>
        </w:rPr>
        <w:t>一般公共预算基本支出情况</w:t>
      </w:r>
    </w:p>
    <w:p>
      <w:pPr>
        <w:keepNext w:val="0"/>
        <w:keepLines w:val="0"/>
        <w:pageBreakBefore w:val="0"/>
        <w:numPr>
          <w:ilvl w:val="0"/>
          <w:numId w:val="0"/>
        </w:numPr>
        <w:kinsoku/>
        <w:wordWrap/>
        <w:topLinePunct w:val="0"/>
        <w:autoSpaceDE/>
        <w:autoSpaceDN/>
        <w:bidi w:val="0"/>
        <w:adjustRightInd/>
        <w:spacing w:line="600" w:lineRule="exact"/>
        <w:ind w:firstLine="640" w:firstLineChars="200"/>
        <w:jc w:val="both"/>
        <w:textAlignment w:val="auto"/>
        <w:rPr>
          <w:rFonts w:hint="eastAsia" w:ascii="方正仿宋简体" w:hAnsi="方正仿宋简体" w:eastAsia="方正仿宋简体" w:cs="方正仿宋简体"/>
          <w:b w:val="0"/>
          <w:bCs w:val="0"/>
          <w:sz w:val="32"/>
          <w:szCs w:val="32"/>
          <w:lang w:val="en-US" w:eastAsia="zh-CN"/>
        </w:rPr>
      </w:pPr>
      <w:r>
        <w:rPr>
          <w:rFonts w:ascii="仿宋" w:hAnsi="仿宋" w:eastAsia="仿宋" w:cs="仿宋"/>
          <w:i w:val="0"/>
          <w:caps w:val="0"/>
          <w:color w:val="000000"/>
          <w:spacing w:val="0"/>
          <w:sz w:val="32"/>
          <w:szCs w:val="32"/>
          <w:shd w:val="clear" w:fill="FFFFFF"/>
        </w:rPr>
        <w:t>基本支出是指用于保障机构正常运转、完成日常工作任务而发生的各项支出，包括在职和离退休人员基本工资、津贴补贴等人员经费以及办公费、印刷费、水电费、办公设备购置等日常公用经费。</w:t>
      </w:r>
    </w:p>
    <w:p>
      <w:pPr>
        <w:keepNext w:val="0"/>
        <w:keepLines w:val="0"/>
        <w:pageBreakBefore w:val="0"/>
        <w:numPr>
          <w:ilvl w:val="0"/>
          <w:numId w:val="0"/>
        </w:numPr>
        <w:kinsoku/>
        <w:wordWrap/>
        <w:topLinePunct w:val="0"/>
        <w:autoSpaceDE/>
        <w:autoSpaceDN/>
        <w:bidi w:val="0"/>
        <w:adjustRightInd/>
        <w:spacing w:line="600" w:lineRule="exact"/>
        <w:ind w:firstLine="640" w:firstLineChars="200"/>
        <w:jc w:val="both"/>
        <w:textAlignment w:val="auto"/>
        <w:rPr>
          <w:rFonts w:hint="eastAsia" w:ascii="方正仿宋简体" w:hAnsi="方正仿宋简体" w:eastAsia="方正仿宋简体" w:cs="方正仿宋简体"/>
          <w:b w:val="0"/>
          <w:bCs w:val="0"/>
          <w:sz w:val="32"/>
          <w:szCs w:val="32"/>
          <w:lang w:val="en-US" w:eastAsia="zh-CN"/>
        </w:rPr>
      </w:pPr>
      <w:r>
        <w:rPr>
          <w:rFonts w:hint="eastAsia" w:ascii="方正仿宋简体" w:hAnsi="方正仿宋简体" w:eastAsia="方正仿宋简体" w:cs="方正仿宋简体"/>
          <w:b w:val="0"/>
          <w:bCs w:val="0"/>
          <w:sz w:val="32"/>
          <w:szCs w:val="32"/>
          <w:lang w:val="en-US" w:eastAsia="zh-CN"/>
        </w:rPr>
        <w:t>2021年局本级一般公共预算财政拨款基本支出3319.7万元，其中工资福利支出2861万元，占总支出的86.18%；商品服务支出317.56万元，占总支出的9.57%；对个人和家庭的补助133.81万元，占总支出的4.03%；资本性支出7.33万元，占总支出的0.22%。</w:t>
      </w:r>
    </w:p>
    <w:p>
      <w:pPr>
        <w:keepNext w:val="0"/>
        <w:keepLines w:val="0"/>
        <w:pageBreakBefore w:val="0"/>
        <w:numPr>
          <w:ilvl w:val="0"/>
          <w:numId w:val="2"/>
        </w:numPr>
        <w:kinsoku/>
        <w:wordWrap/>
        <w:topLinePunct w:val="0"/>
        <w:autoSpaceDE/>
        <w:autoSpaceDN/>
        <w:bidi w:val="0"/>
        <w:adjustRightInd/>
        <w:spacing w:line="600" w:lineRule="exact"/>
        <w:ind w:left="0" w:leftChars="0" w:firstLine="640" w:firstLineChars="200"/>
        <w:jc w:val="both"/>
        <w:textAlignment w:val="auto"/>
        <w:rPr>
          <w:rFonts w:hint="eastAsia" w:ascii="方正仿宋简体" w:hAnsi="方正仿宋简体" w:eastAsia="方正仿宋简体" w:cs="方正仿宋简体"/>
          <w:b w:val="0"/>
          <w:bCs w:val="0"/>
          <w:sz w:val="32"/>
          <w:szCs w:val="32"/>
          <w:lang w:val="en-US" w:eastAsia="zh-CN"/>
        </w:rPr>
      </w:pPr>
      <w:r>
        <w:rPr>
          <w:rFonts w:hint="eastAsia" w:ascii="方正仿宋简体" w:hAnsi="方正仿宋简体" w:eastAsia="方正仿宋简体" w:cs="方正仿宋简体"/>
          <w:b w:val="0"/>
          <w:bCs w:val="0"/>
          <w:sz w:val="32"/>
          <w:szCs w:val="32"/>
          <w:lang w:val="en-US" w:eastAsia="zh-CN"/>
        </w:rPr>
        <w:t>一般公共预算项目支出情况</w:t>
      </w:r>
    </w:p>
    <w:p>
      <w:pPr>
        <w:keepNext w:val="0"/>
        <w:keepLines w:val="0"/>
        <w:pageBreakBefore w:val="0"/>
        <w:numPr>
          <w:ilvl w:val="0"/>
          <w:numId w:val="0"/>
        </w:numPr>
        <w:kinsoku/>
        <w:wordWrap/>
        <w:topLinePunct w:val="0"/>
        <w:autoSpaceDE/>
        <w:autoSpaceDN/>
        <w:bidi w:val="0"/>
        <w:adjustRightInd/>
        <w:spacing w:line="600" w:lineRule="exact"/>
        <w:ind w:leftChars="0" w:firstLine="640" w:firstLineChars="200"/>
        <w:jc w:val="both"/>
        <w:textAlignment w:val="auto"/>
        <w:rPr>
          <w:rFonts w:hint="eastAsia" w:ascii="方正仿宋简体" w:hAnsi="方正仿宋简体" w:eastAsia="方正仿宋简体" w:cs="方正仿宋简体"/>
          <w:b w:val="0"/>
          <w:bCs w:val="0"/>
          <w:sz w:val="32"/>
          <w:szCs w:val="32"/>
          <w:lang w:val="en-US" w:eastAsia="zh-CN"/>
        </w:rPr>
      </w:pPr>
      <w:r>
        <w:rPr>
          <w:rFonts w:ascii="仿宋" w:hAnsi="仿宋" w:eastAsia="仿宋" w:cs="仿宋"/>
          <w:i w:val="0"/>
          <w:caps w:val="0"/>
          <w:color w:val="000000"/>
          <w:spacing w:val="0"/>
          <w:sz w:val="32"/>
          <w:szCs w:val="32"/>
          <w:shd w:val="clear" w:fill="FFFFFF"/>
        </w:rPr>
        <w:t>项目支出是指为完成</w:t>
      </w:r>
      <w:r>
        <w:rPr>
          <w:rFonts w:hint="eastAsia" w:ascii="仿宋" w:hAnsi="仿宋" w:eastAsia="仿宋" w:cs="仿宋"/>
          <w:i w:val="0"/>
          <w:caps w:val="0"/>
          <w:color w:val="000000"/>
          <w:spacing w:val="0"/>
          <w:sz w:val="32"/>
          <w:szCs w:val="32"/>
          <w:shd w:val="clear" w:fill="FFFFFF"/>
          <w:lang w:eastAsia="zh-CN"/>
        </w:rPr>
        <w:t>城市</w:t>
      </w:r>
      <w:r>
        <w:rPr>
          <w:rFonts w:ascii="仿宋" w:hAnsi="仿宋" w:eastAsia="仿宋" w:cs="仿宋"/>
          <w:i w:val="0"/>
          <w:caps w:val="0"/>
          <w:color w:val="000000"/>
          <w:spacing w:val="0"/>
          <w:sz w:val="32"/>
          <w:szCs w:val="32"/>
          <w:shd w:val="clear" w:fill="FFFFFF"/>
        </w:rPr>
        <w:t>管理工作而发生的支出，主要用于</w:t>
      </w:r>
      <w:r>
        <w:rPr>
          <w:rFonts w:hint="eastAsia" w:ascii="仿宋" w:hAnsi="仿宋" w:eastAsia="仿宋" w:cs="仿宋"/>
          <w:i w:val="0"/>
          <w:caps w:val="0"/>
          <w:color w:val="000000"/>
          <w:spacing w:val="0"/>
          <w:sz w:val="32"/>
          <w:szCs w:val="32"/>
          <w:shd w:val="clear" w:fill="FFFFFF"/>
          <w:lang w:eastAsia="zh-CN"/>
        </w:rPr>
        <w:t>违章棚亭拆除和户外广告拆除、渣土管理、“牛皮癣”治理、餐饮油烟污染治理、数字城管网络建设和维护、风貌带长效</w:t>
      </w:r>
      <w:r>
        <w:rPr>
          <w:rFonts w:ascii="仿宋" w:hAnsi="仿宋" w:eastAsia="仿宋" w:cs="仿宋"/>
          <w:i w:val="0"/>
          <w:caps w:val="0"/>
          <w:color w:val="000000"/>
          <w:spacing w:val="0"/>
          <w:sz w:val="32"/>
          <w:szCs w:val="32"/>
          <w:shd w:val="clear" w:fill="FFFFFF"/>
        </w:rPr>
        <w:t>管理</w:t>
      </w:r>
      <w:r>
        <w:rPr>
          <w:rFonts w:hint="eastAsia" w:ascii="仿宋" w:hAnsi="仿宋" w:eastAsia="仿宋" w:cs="仿宋"/>
          <w:i w:val="0"/>
          <w:caps w:val="0"/>
          <w:color w:val="000000"/>
          <w:spacing w:val="0"/>
          <w:sz w:val="32"/>
          <w:szCs w:val="32"/>
          <w:shd w:val="clear" w:fill="FFFFFF"/>
          <w:lang w:eastAsia="zh-CN"/>
        </w:rPr>
        <w:t>维护</w:t>
      </w:r>
      <w:r>
        <w:rPr>
          <w:rFonts w:ascii="仿宋" w:hAnsi="仿宋" w:eastAsia="仿宋" w:cs="仿宋"/>
          <w:i w:val="0"/>
          <w:caps w:val="0"/>
          <w:color w:val="000000"/>
          <w:spacing w:val="0"/>
          <w:sz w:val="32"/>
          <w:szCs w:val="32"/>
          <w:shd w:val="clear" w:fill="FFFFFF"/>
        </w:rPr>
        <w:t>等方面。</w:t>
      </w:r>
    </w:p>
    <w:p>
      <w:pPr>
        <w:keepNext w:val="0"/>
        <w:keepLines w:val="0"/>
        <w:pageBreakBefore w:val="0"/>
        <w:numPr>
          <w:ilvl w:val="0"/>
          <w:numId w:val="0"/>
        </w:numPr>
        <w:kinsoku/>
        <w:wordWrap/>
        <w:topLinePunct w:val="0"/>
        <w:autoSpaceDE/>
        <w:autoSpaceDN/>
        <w:bidi w:val="0"/>
        <w:adjustRightInd/>
        <w:spacing w:line="600" w:lineRule="exact"/>
        <w:ind w:leftChars="0" w:firstLine="640" w:firstLineChars="200"/>
        <w:jc w:val="both"/>
        <w:textAlignment w:val="auto"/>
        <w:rPr>
          <w:rFonts w:hint="eastAsia" w:ascii="方正仿宋简体" w:hAnsi="方正仿宋简体" w:eastAsia="方正仿宋简体" w:cs="方正仿宋简体"/>
          <w:b w:val="0"/>
          <w:bCs w:val="0"/>
          <w:sz w:val="32"/>
          <w:szCs w:val="32"/>
          <w:lang w:val="en-US" w:eastAsia="zh-CN"/>
        </w:rPr>
      </w:pPr>
      <w:r>
        <w:rPr>
          <w:rFonts w:hint="eastAsia" w:ascii="方正仿宋简体" w:hAnsi="方正仿宋简体" w:eastAsia="方正仿宋简体" w:cs="方正仿宋简体"/>
          <w:b w:val="0"/>
          <w:bCs w:val="0"/>
          <w:sz w:val="32"/>
          <w:szCs w:val="32"/>
          <w:lang w:val="en-US" w:eastAsia="zh-CN"/>
        </w:rPr>
        <w:t>2021年局本级一般公共预算财政拨款项目支出2261.55万元，其中商品服务支出2064.5万元，占总支出的91.29%；资本性支出197.05万元，占总支出的8.71%。</w:t>
      </w:r>
    </w:p>
    <w:p>
      <w:pPr>
        <w:keepNext w:val="0"/>
        <w:keepLines w:val="0"/>
        <w:pageBreakBefore w:val="0"/>
        <w:numPr>
          <w:ilvl w:val="0"/>
          <w:numId w:val="0"/>
        </w:numPr>
        <w:kinsoku/>
        <w:wordWrap/>
        <w:topLinePunct w:val="0"/>
        <w:autoSpaceDE/>
        <w:autoSpaceDN/>
        <w:bidi w:val="0"/>
        <w:adjustRightInd/>
        <w:spacing w:line="600" w:lineRule="exact"/>
        <w:ind w:leftChars="0" w:firstLine="640" w:firstLineChars="200"/>
        <w:jc w:val="both"/>
        <w:textAlignment w:val="auto"/>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 xml:space="preserve">三、政府性基金预算支出情况 </w:t>
      </w:r>
    </w:p>
    <w:p>
      <w:pPr>
        <w:keepNext w:val="0"/>
        <w:keepLines w:val="0"/>
        <w:pageBreakBefore w:val="0"/>
        <w:numPr>
          <w:ilvl w:val="0"/>
          <w:numId w:val="0"/>
        </w:numPr>
        <w:kinsoku/>
        <w:wordWrap/>
        <w:topLinePunct w:val="0"/>
        <w:autoSpaceDE/>
        <w:autoSpaceDN/>
        <w:bidi w:val="0"/>
        <w:adjustRightInd/>
        <w:spacing w:line="600" w:lineRule="exact"/>
        <w:ind w:leftChars="0" w:firstLine="640" w:firstLineChars="200"/>
        <w:jc w:val="both"/>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b w:val="0"/>
          <w:bCs w:val="0"/>
          <w:sz w:val="32"/>
          <w:szCs w:val="32"/>
          <w:lang w:val="en-US" w:eastAsia="zh-CN"/>
        </w:rPr>
        <w:t>2021年政府性基金财政拨款支出1544.86万元，全部为项目支出。其中按科目分，</w:t>
      </w:r>
      <w:r>
        <w:rPr>
          <w:rFonts w:hint="eastAsia" w:ascii="方正仿宋简体" w:hAnsi="方正仿宋简体" w:eastAsia="方正仿宋简体" w:cs="方正仿宋简体"/>
          <w:sz w:val="32"/>
          <w:szCs w:val="32"/>
          <w:lang w:val="en-US" w:eastAsia="zh-CN"/>
        </w:rPr>
        <w:t>其他城市基础设施配套费安排的支出</w:t>
      </w:r>
      <w:r>
        <w:rPr>
          <w:rFonts w:hint="eastAsia" w:ascii="方正仿宋简体" w:hAnsi="方正仿宋简体" w:eastAsia="方正仿宋简体" w:cs="方正仿宋简体"/>
          <w:sz w:val="32"/>
          <w:szCs w:val="32"/>
        </w:rPr>
        <w:t>决算</w:t>
      </w:r>
      <w:r>
        <w:rPr>
          <w:rFonts w:hint="eastAsia" w:ascii="方正仿宋简体" w:hAnsi="方正仿宋简体" w:eastAsia="方正仿宋简体" w:cs="方正仿宋简体"/>
          <w:sz w:val="32"/>
          <w:szCs w:val="32"/>
          <w:lang w:eastAsia="zh-CN"/>
        </w:rPr>
        <w:t>支出</w:t>
      </w:r>
      <w:r>
        <w:rPr>
          <w:rFonts w:hint="eastAsia" w:ascii="方正仿宋简体" w:hAnsi="方正仿宋简体" w:eastAsia="方正仿宋简体" w:cs="方正仿宋简体"/>
          <w:sz w:val="32"/>
          <w:szCs w:val="32"/>
          <w:lang w:val="en-US" w:eastAsia="zh-CN"/>
        </w:rPr>
        <w:t>375.45万元，占总支出24.3%；其他国有土地使用权出让收入安排的支出1169.41万元，占总支出75.7%。</w:t>
      </w:r>
    </w:p>
    <w:p>
      <w:pPr>
        <w:keepNext w:val="0"/>
        <w:keepLines w:val="0"/>
        <w:pageBreakBefore w:val="0"/>
        <w:numPr>
          <w:ilvl w:val="0"/>
          <w:numId w:val="0"/>
        </w:numPr>
        <w:kinsoku/>
        <w:wordWrap/>
        <w:topLinePunct w:val="0"/>
        <w:autoSpaceDE/>
        <w:autoSpaceDN/>
        <w:bidi w:val="0"/>
        <w:adjustRightInd/>
        <w:spacing w:line="600" w:lineRule="exact"/>
        <w:ind w:leftChars="200" w:firstLine="320" w:firstLineChars="1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四、国有资本经营预算支出情况</w:t>
      </w:r>
    </w:p>
    <w:p>
      <w:pPr>
        <w:keepNext w:val="0"/>
        <w:keepLines w:val="0"/>
        <w:pageBreakBefore w:val="0"/>
        <w:numPr>
          <w:ilvl w:val="0"/>
          <w:numId w:val="0"/>
        </w:numPr>
        <w:kinsoku/>
        <w:wordWrap/>
        <w:topLinePunct w:val="0"/>
        <w:autoSpaceDE/>
        <w:autoSpaceDN/>
        <w:bidi w:val="0"/>
        <w:adjustRightInd/>
        <w:spacing w:line="600" w:lineRule="exact"/>
        <w:ind w:leftChars="0" w:firstLine="640" w:firstLineChars="200"/>
        <w:jc w:val="both"/>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我单位无国有资本经营预算支出。</w:t>
      </w:r>
    </w:p>
    <w:p>
      <w:pPr>
        <w:keepNext w:val="0"/>
        <w:keepLines w:val="0"/>
        <w:pageBreakBefore w:val="0"/>
        <w:numPr>
          <w:ilvl w:val="0"/>
          <w:numId w:val="3"/>
        </w:numPr>
        <w:kinsoku/>
        <w:wordWrap/>
        <w:topLinePunct w:val="0"/>
        <w:autoSpaceDE/>
        <w:autoSpaceDN/>
        <w:bidi w:val="0"/>
        <w:adjustRightInd/>
        <w:spacing w:line="600" w:lineRule="exact"/>
        <w:ind w:left="-10" w:leftChars="0" w:firstLine="640" w:firstLineChars="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社会保险基金预算支出情况</w:t>
      </w:r>
    </w:p>
    <w:p>
      <w:pPr>
        <w:keepNext w:val="0"/>
        <w:keepLines w:val="0"/>
        <w:pageBreakBefore w:val="0"/>
        <w:numPr>
          <w:ilvl w:val="0"/>
          <w:numId w:val="0"/>
        </w:numPr>
        <w:kinsoku/>
        <w:wordWrap/>
        <w:topLinePunct w:val="0"/>
        <w:autoSpaceDE/>
        <w:autoSpaceDN/>
        <w:bidi w:val="0"/>
        <w:adjustRightInd/>
        <w:spacing w:line="600" w:lineRule="exact"/>
        <w:ind w:leftChars="0" w:firstLine="640" w:firstLineChars="200"/>
        <w:jc w:val="both"/>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我单位无社会保险基金预算支出。</w:t>
      </w:r>
    </w:p>
    <w:p>
      <w:pPr>
        <w:keepNext w:val="0"/>
        <w:keepLines w:val="0"/>
        <w:pageBreakBefore w:val="0"/>
        <w:numPr>
          <w:ilvl w:val="0"/>
          <w:numId w:val="3"/>
        </w:numPr>
        <w:kinsoku/>
        <w:wordWrap/>
        <w:topLinePunct w:val="0"/>
        <w:autoSpaceDE/>
        <w:autoSpaceDN/>
        <w:bidi w:val="0"/>
        <w:adjustRightInd/>
        <w:spacing w:line="600" w:lineRule="exact"/>
        <w:ind w:left="-10" w:leftChars="0" w:firstLine="640" w:firstLineChars="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部门整体支出绩效情况</w:t>
      </w:r>
    </w:p>
    <w:p>
      <w:pPr>
        <w:keepNext w:val="0"/>
        <w:keepLines w:val="0"/>
        <w:pageBreakBefore w:val="0"/>
        <w:numPr>
          <w:ilvl w:val="0"/>
          <w:numId w:val="0"/>
        </w:numPr>
        <w:kinsoku/>
        <w:wordWrap/>
        <w:topLinePunct w:val="0"/>
        <w:autoSpaceDE/>
        <w:autoSpaceDN/>
        <w:bidi w:val="0"/>
        <w:adjustRightInd/>
        <w:spacing w:line="600" w:lineRule="exact"/>
        <w:ind w:firstLine="640" w:firstLineChars="200"/>
        <w:jc w:val="both"/>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（一）预算执行方面</w:t>
      </w:r>
    </w:p>
    <w:p>
      <w:pPr>
        <w:keepNext w:val="0"/>
        <w:keepLines w:val="0"/>
        <w:pageBreakBefore w:val="0"/>
        <w:numPr>
          <w:ilvl w:val="0"/>
          <w:numId w:val="0"/>
        </w:numPr>
        <w:kinsoku/>
        <w:wordWrap/>
        <w:topLinePunct w:val="0"/>
        <w:autoSpaceDE/>
        <w:autoSpaceDN/>
        <w:bidi w:val="0"/>
        <w:adjustRightInd/>
        <w:spacing w:line="600" w:lineRule="exact"/>
        <w:ind w:leftChars="0" w:firstLine="640" w:firstLineChars="200"/>
        <w:jc w:val="both"/>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2021年上年结转410.62万元，</w:t>
      </w:r>
      <w:r>
        <w:rPr>
          <w:rFonts w:hint="default" w:ascii="方正仿宋简体" w:hAnsi="方正仿宋简体" w:eastAsia="方正仿宋简体" w:cs="方正仿宋简体"/>
          <w:sz w:val="32"/>
          <w:szCs w:val="32"/>
          <w:lang w:val="en-US" w:eastAsia="zh-CN"/>
        </w:rPr>
        <w:t>20</w:t>
      </w:r>
      <w:r>
        <w:rPr>
          <w:rFonts w:hint="eastAsia" w:ascii="方正仿宋简体" w:hAnsi="方正仿宋简体" w:eastAsia="方正仿宋简体" w:cs="方正仿宋简体"/>
          <w:sz w:val="32"/>
          <w:szCs w:val="32"/>
          <w:lang w:val="en-US" w:eastAsia="zh-CN"/>
        </w:rPr>
        <w:t>21年年初预算3562.18万元，年中调整追加3529.7万元，调整后收入为7157.51万元，</w:t>
      </w:r>
      <w:r>
        <w:rPr>
          <w:rFonts w:hint="default" w:ascii="方正仿宋简体" w:hAnsi="方正仿宋简体" w:eastAsia="方正仿宋简体" w:cs="方正仿宋简体"/>
          <w:sz w:val="32"/>
          <w:szCs w:val="32"/>
          <w:lang w:val="en-US" w:eastAsia="zh-CN"/>
        </w:rPr>
        <w:t>20</w:t>
      </w:r>
      <w:r>
        <w:rPr>
          <w:rFonts w:hint="eastAsia" w:ascii="方正仿宋简体" w:hAnsi="方正仿宋简体" w:eastAsia="方正仿宋简体" w:cs="方正仿宋简体"/>
          <w:sz w:val="32"/>
          <w:szCs w:val="32"/>
          <w:lang w:val="en-US" w:eastAsia="zh-CN"/>
        </w:rPr>
        <w:t>21年实际完成预算7568.14万元，预算执行率100</w:t>
      </w:r>
      <w:r>
        <w:rPr>
          <w:rFonts w:hint="default"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lang w:val="en-US" w:eastAsia="zh-CN"/>
        </w:rPr>
        <w:t>。</w:t>
      </w:r>
      <w:r>
        <w:rPr>
          <w:rFonts w:hint="default" w:ascii="方正仿宋简体" w:hAnsi="方正仿宋简体" w:eastAsia="方正仿宋简体" w:cs="方正仿宋简体"/>
          <w:sz w:val="32"/>
          <w:szCs w:val="32"/>
          <w:lang w:val="en-US" w:eastAsia="zh-CN"/>
        </w:rPr>
        <w:t> </w:t>
      </w:r>
    </w:p>
    <w:p>
      <w:pPr>
        <w:keepNext w:val="0"/>
        <w:keepLines w:val="0"/>
        <w:pageBreakBefore w:val="0"/>
        <w:numPr>
          <w:ilvl w:val="0"/>
          <w:numId w:val="0"/>
        </w:numPr>
        <w:kinsoku/>
        <w:wordWrap/>
        <w:topLinePunct w:val="0"/>
        <w:autoSpaceDE/>
        <w:autoSpaceDN/>
        <w:bidi w:val="0"/>
        <w:adjustRightInd/>
        <w:spacing w:line="600" w:lineRule="exact"/>
        <w:ind w:leftChars="0" w:firstLine="640" w:firstLineChars="200"/>
        <w:jc w:val="both"/>
        <w:textAlignment w:val="auto"/>
        <w:rPr>
          <w:rFonts w:hint="eastAsia" w:ascii="仿宋" w:hAnsi="仿宋" w:eastAsia="仿宋" w:cs="仿宋"/>
          <w:i w:val="0"/>
          <w:caps w:val="0"/>
          <w:color w:val="000000"/>
          <w:spacing w:val="0"/>
          <w:sz w:val="32"/>
          <w:szCs w:val="32"/>
          <w:shd w:val="clear" w:fill="FFFFFF"/>
        </w:rPr>
      </w:pPr>
      <w:r>
        <w:rPr>
          <w:rFonts w:hint="eastAsia" w:ascii="方正仿宋简体" w:hAnsi="方正仿宋简体" w:eastAsia="方正仿宋简体" w:cs="方正仿宋简体"/>
          <w:sz w:val="32"/>
          <w:szCs w:val="32"/>
          <w:lang w:val="en-US" w:eastAsia="zh-CN"/>
        </w:rPr>
        <w:t>2021年“三公经费”预算批复数150.74万元，全年实际支出“三公经费”111.44万元，“三公经费”控制率73.93</w:t>
      </w:r>
      <w:r>
        <w:rPr>
          <w:rFonts w:hint="default"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lang w:val="en-US" w:eastAsia="zh-CN"/>
        </w:rPr>
        <w:t>。</w:t>
      </w:r>
    </w:p>
    <w:p>
      <w:pPr>
        <w:keepNext w:val="0"/>
        <w:keepLines w:val="0"/>
        <w:pageBreakBefore w:val="0"/>
        <w:numPr>
          <w:ilvl w:val="0"/>
          <w:numId w:val="0"/>
        </w:numPr>
        <w:kinsoku/>
        <w:wordWrap/>
        <w:topLinePunct w:val="0"/>
        <w:autoSpaceDE/>
        <w:autoSpaceDN/>
        <w:bidi w:val="0"/>
        <w:adjustRightInd/>
        <w:spacing w:line="600" w:lineRule="exact"/>
        <w:ind w:firstLine="640" w:firstLineChars="200"/>
        <w:jc w:val="both"/>
        <w:textAlignment w:val="auto"/>
        <w:rPr>
          <w:rFonts w:hint="eastAsia" w:ascii="仿宋" w:hAnsi="仿宋" w:eastAsia="仿宋" w:cs="仿宋"/>
          <w:i w:val="0"/>
          <w:caps w:val="0"/>
          <w:color w:val="000000"/>
          <w:spacing w:val="0"/>
          <w:sz w:val="32"/>
          <w:szCs w:val="32"/>
          <w:shd w:val="clear" w:fill="FFFFFF"/>
          <w:lang w:eastAsia="zh-CN"/>
        </w:rPr>
      </w:pPr>
      <w:r>
        <w:rPr>
          <w:rFonts w:hint="eastAsia" w:ascii="仿宋" w:hAnsi="仿宋" w:eastAsia="仿宋" w:cs="仿宋"/>
          <w:i w:val="0"/>
          <w:caps w:val="0"/>
          <w:color w:val="000000"/>
          <w:spacing w:val="0"/>
          <w:sz w:val="32"/>
          <w:szCs w:val="32"/>
          <w:shd w:val="clear" w:fill="FFFFFF"/>
          <w:lang w:eastAsia="zh-CN"/>
        </w:rPr>
        <w:t>（二）预算管理方面</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topLinePunct w:val="0"/>
        <w:autoSpaceDE/>
        <w:autoSpaceDN/>
        <w:bidi w:val="0"/>
        <w:adjustRightInd/>
        <w:spacing w:before="0" w:beforeAutospacing="0" w:after="0" w:afterAutospacing="0" w:line="600" w:lineRule="exact"/>
        <w:ind w:left="0" w:right="0" w:firstLine="640" w:firstLineChars="200"/>
        <w:jc w:val="both"/>
        <w:textAlignment w:val="auto"/>
        <w:rPr>
          <w:rFonts w:ascii="仿宋" w:hAnsi="仿宋" w:eastAsia="仿宋" w:cs="仿宋"/>
          <w:i w:val="0"/>
          <w:caps w:val="0"/>
          <w:color w:val="000000"/>
          <w:spacing w:val="0"/>
          <w:sz w:val="32"/>
          <w:szCs w:val="32"/>
          <w:shd w:val="clear" w:fill="FFFFFF"/>
        </w:rPr>
      </w:pPr>
      <w:r>
        <w:rPr>
          <w:rFonts w:hint="eastAsia" w:ascii="仿宋" w:hAnsi="仿宋" w:eastAsia="仿宋" w:cs="仿宋"/>
          <w:i w:val="0"/>
          <w:caps w:val="0"/>
          <w:color w:val="000000"/>
          <w:spacing w:val="0"/>
          <w:sz w:val="32"/>
          <w:szCs w:val="32"/>
          <w:shd w:val="clear" w:fill="FFFFFF"/>
          <w:lang w:eastAsia="zh-CN"/>
        </w:rPr>
        <w:t>严格</w:t>
      </w:r>
      <w:r>
        <w:rPr>
          <w:rFonts w:ascii="仿宋" w:hAnsi="仿宋" w:eastAsia="仿宋" w:cs="仿宋"/>
          <w:i w:val="0"/>
          <w:caps w:val="0"/>
          <w:color w:val="000000"/>
          <w:spacing w:val="0"/>
          <w:sz w:val="32"/>
          <w:szCs w:val="32"/>
          <w:shd w:val="clear" w:fill="FFFFFF"/>
        </w:rPr>
        <w:t>执行</w:t>
      </w:r>
      <w:r>
        <w:rPr>
          <w:rFonts w:hint="eastAsia" w:ascii="仿宋" w:hAnsi="仿宋" w:eastAsia="仿宋" w:cs="仿宋"/>
          <w:i w:val="0"/>
          <w:caps w:val="0"/>
          <w:color w:val="000000"/>
          <w:spacing w:val="0"/>
          <w:sz w:val="32"/>
          <w:szCs w:val="32"/>
          <w:shd w:val="clear" w:fill="FFFFFF"/>
          <w:lang w:eastAsia="zh-CN"/>
        </w:rPr>
        <w:t>财务管理制度</w:t>
      </w:r>
      <w:r>
        <w:rPr>
          <w:rFonts w:ascii="仿宋" w:hAnsi="仿宋" w:eastAsia="仿宋" w:cs="仿宋"/>
          <w:i w:val="0"/>
          <w:caps w:val="0"/>
          <w:color w:val="000000"/>
          <w:spacing w:val="0"/>
          <w:sz w:val="32"/>
          <w:szCs w:val="32"/>
          <w:shd w:val="clear" w:fill="FFFFFF"/>
        </w:rPr>
        <w:t>，规范财务审批程序，</w:t>
      </w:r>
      <w:r>
        <w:rPr>
          <w:rFonts w:hint="eastAsia" w:ascii="仿宋" w:hAnsi="仿宋" w:eastAsia="仿宋" w:cs="仿宋"/>
          <w:i w:val="0"/>
          <w:caps w:val="0"/>
          <w:color w:val="000000"/>
          <w:spacing w:val="0"/>
          <w:sz w:val="32"/>
          <w:szCs w:val="32"/>
          <w:shd w:val="clear" w:fill="FFFFFF"/>
          <w:lang w:eastAsia="zh-CN"/>
        </w:rPr>
        <w:t>严格经费</w:t>
      </w:r>
      <w:r>
        <w:rPr>
          <w:rFonts w:ascii="仿宋" w:hAnsi="仿宋" w:eastAsia="仿宋" w:cs="仿宋"/>
          <w:i w:val="0"/>
          <w:caps w:val="0"/>
          <w:color w:val="000000"/>
          <w:spacing w:val="0"/>
          <w:sz w:val="32"/>
          <w:szCs w:val="32"/>
          <w:shd w:val="clear" w:fill="FFFFFF"/>
        </w:rPr>
        <w:t>支出标准、范围和程序的审核，所有开支实行“先申报、后开支”，</w:t>
      </w:r>
      <w:r>
        <w:rPr>
          <w:rFonts w:hint="eastAsia" w:ascii="仿宋" w:hAnsi="仿宋" w:eastAsia="仿宋" w:cs="仿宋"/>
          <w:i w:val="0"/>
          <w:caps w:val="0"/>
          <w:color w:val="000000"/>
          <w:spacing w:val="0"/>
          <w:sz w:val="32"/>
          <w:szCs w:val="32"/>
          <w:shd w:val="clear" w:fill="FFFFFF"/>
          <w:lang w:eastAsia="zh-CN"/>
        </w:rPr>
        <w:t>防止和纠正无预算、超预算支出现象，</w:t>
      </w:r>
      <w:r>
        <w:rPr>
          <w:rFonts w:ascii="仿宋" w:hAnsi="仿宋" w:eastAsia="仿宋" w:cs="仿宋"/>
          <w:i w:val="0"/>
          <w:caps w:val="0"/>
          <w:color w:val="000000"/>
          <w:spacing w:val="0"/>
          <w:sz w:val="32"/>
          <w:szCs w:val="32"/>
          <w:shd w:val="clear" w:fill="FFFFFF"/>
        </w:rPr>
        <w:t>节约机关运行成本</w:t>
      </w:r>
      <w:r>
        <w:rPr>
          <w:rFonts w:hint="eastAsia" w:ascii="仿宋" w:hAnsi="仿宋" w:eastAsia="仿宋" w:cs="仿宋"/>
          <w:i w:val="0"/>
          <w:caps w:val="0"/>
          <w:color w:val="000000"/>
          <w:spacing w:val="0"/>
          <w:sz w:val="32"/>
          <w:szCs w:val="32"/>
          <w:shd w:val="clear" w:fill="FFFFFF"/>
          <w:lang w:eastAsia="zh-CN"/>
        </w:rPr>
        <w:t>，</w:t>
      </w:r>
      <w:r>
        <w:rPr>
          <w:rFonts w:ascii="仿宋" w:hAnsi="仿宋" w:eastAsia="仿宋" w:cs="仿宋"/>
          <w:i w:val="0"/>
          <w:caps w:val="0"/>
          <w:color w:val="000000"/>
          <w:spacing w:val="0"/>
          <w:sz w:val="32"/>
          <w:szCs w:val="32"/>
          <w:shd w:val="clear" w:fill="FFFFFF"/>
        </w:rPr>
        <w:t>提高资金使用效益。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topLinePunct w:val="0"/>
        <w:autoSpaceDE/>
        <w:autoSpaceDN/>
        <w:bidi w:val="0"/>
        <w:adjustRightInd/>
        <w:spacing w:before="0" w:beforeAutospacing="0" w:after="0" w:afterAutospacing="0" w:line="600" w:lineRule="exact"/>
        <w:ind w:left="0" w:right="0" w:firstLine="640" w:firstLineChars="200"/>
        <w:jc w:val="both"/>
        <w:textAlignment w:val="auto"/>
        <w:rPr>
          <w:rFonts w:hint="eastAsia" w:ascii="仿宋" w:hAnsi="仿宋" w:eastAsia="仿宋" w:cs="仿宋"/>
          <w:i w:val="0"/>
          <w:caps w:val="0"/>
          <w:color w:val="000000"/>
          <w:spacing w:val="0"/>
          <w:sz w:val="32"/>
          <w:szCs w:val="32"/>
          <w:shd w:val="clear" w:fill="FFFFFF"/>
          <w:lang w:eastAsia="zh-CN"/>
        </w:rPr>
      </w:pPr>
      <w:r>
        <w:rPr>
          <w:rFonts w:hint="eastAsia" w:ascii="仿宋" w:hAnsi="仿宋" w:eastAsia="仿宋" w:cs="仿宋"/>
          <w:i w:val="0"/>
          <w:caps w:val="0"/>
          <w:color w:val="000000"/>
          <w:spacing w:val="0"/>
          <w:sz w:val="32"/>
          <w:szCs w:val="32"/>
          <w:shd w:val="clear" w:fill="FFFFFF"/>
          <w:lang w:eastAsia="zh-CN"/>
        </w:rPr>
        <w:t>严控“三公经费”，确保“三公经费”不超标。公务接待严格按照公务接待的标准和要求，先审批后接待，不存在公款吃喝和高消费娱乐等情况；公务用车运行严格按照公务用车管理办法，实行油费核定、保险统一购买。</w:t>
      </w:r>
    </w:p>
    <w:p>
      <w:pPr>
        <w:keepNext w:val="0"/>
        <w:keepLines w:val="0"/>
        <w:pageBreakBefore w:val="0"/>
        <w:numPr>
          <w:ilvl w:val="0"/>
          <w:numId w:val="0"/>
        </w:numPr>
        <w:kinsoku/>
        <w:wordWrap/>
        <w:topLinePunct w:val="0"/>
        <w:autoSpaceDE/>
        <w:autoSpaceDN/>
        <w:bidi w:val="0"/>
        <w:adjustRightInd/>
        <w:spacing w:line="600" w:lineRule="exact"/>
        <w:ind w:firstLine="640" w:firstLineChars="200"/>
        <w:jc w:val="both"/>
        <w:textAlignment w:val="auto"/>
        <w:rPr>
          <w:rFonts w:hint="default" w:ascii="Times New Roman" w:hAnsi="Times New Roman" w:eastAsia="宋体" w:cs="Times New Roman"/>
          <w:i w:val="0"/>
          <w:caps w:val="0"/>
          <w:color w:val="000000"/>
          <w:spacing w:val="0"/>
          <w:sz w:val="32"/>
          <w:szCs w:val="32"/>
          <w:shd w:val="clear" w:fill="FFFFFF"/>
        </w:rPr>
      </w:pPr>
      <w:r>
        <w:rPr>
          <w:rFonts w:hint="eastAsia" w:ascii="仿宋" w:hAnsi="仿宋" w:eastAsia="仿宋" w:cs="仿宋"/>
          <w:i w:val="0"/>
          <w:caps w:val="0"/>
          <w:color w:val="000000"/>
          <w:spacing w:val="0"/>
          <w:sz w:val="32"/>
          <w:szCs w:val="32"/>
          <w:shd w:val="clear" w:fill="FFFFFF"/>
          <w:lang w:eastAsia="zh-CN"/>
        </w:rPr>
        <w:t>按要求</w:t>
      </w:r>
      <w:r>
        <w:rPr>
          <w:rFonts w:ascii="仿宋" w:hAnsi="仿宋" w:eastAsia="仿宋" w:cs="仿宋"/>
          <w:i w:val="0"/>
          <w:caps w:val="0"/>
          <w:color w:val="000000"/>
          <w:spacing w:val="0"/>
          <w:sz w:val="32"/>
          <w:szCs w:val="32"/>
          <w:shd w:val="clear" w:fill="FFFFFF"/>
        </w:rPr>
        <w:t>真实准确编制部门预算和决算</w:t>
      </w:r>
      <w:r>
        <w:rPr>
          <w:rFonts w:hint="eastAsia" w:ascii="仿宋" w:hAnsi="仿宋" w:eastAsia="仿宋" w:cs="仿宋"/>
          <w:i w:val="0"/>
          <w:caps w:val="0"/>
          <w:color w:val="000000"/>
          <w:spacing w:val="0"/>
          <w:sz w:val="32"/>
          <w:szCs w:val="32"/>
          <w:shd w:val="clear" w:fill="FFFFFF"/>
          <w:lang w:eastAsia="zh-CN"/>
        </w:rPr>
        <w:t>，</w:t>
      </w:r>
      <w:r>
        <w:rPr>
          <w:rFonts w:ascii="仿宋" w:hAnsi="仿宋" w:eastAsia="仿宋" w:cs="仿宋"/>
          <w:i w:val="0"/>
          <w:caps w:val="0"/>
          <w:color w:val="000000"/>
          <w:spacing w:val="0"/>
          <w:sz w:val="32"/>
          <w:szCs w:val="32"/>
          <w:shd w:val="clear" w:fill="FFFFFF"/>
        </w:rPr>
        <w:t>按规定时限和规定内容公开部门预算、部门决算以及绩效自评报告。部门预决算信息透明度进一步提高。</w:t>
      </w:r>
      <w:r>
        <w:rPr>
          <w:rFonts w:hint="default" w:ascii="Times New Roman" w:hAnsi="Times New Roman" w:eastAsia="宋体" w:cs="Times New Roman"/>
          <w:i w:val="0"/>
          <w:caps w:val="0"/>
          <w:color w:val="000000"/>
          <w:spacing w:val="0"/>
          <w:sz w:val="32"/>
          <w:szCs w:val="32"/>
          <w:shd w:val="clear" w:fill="FFFFFF"/>
        </w:rPr>
        <w:t> </w:t>
      </w:r>
    </w:p>
    <w:p>
      <w:pPr>
        <w:keepNext w:val="0"/>
        <w:keepLines w:val="0"/>
        <w:pageBreakBefore w:val="0"/>
        <w:numPr>
          <w:ilvl w:val="0"/>
          <w:numId w:val="0"/>
        </w:numPr>
        <w:kinsoku/>
        <w:wordWrap/>
        <w:topLinePunct w:val="0"/>
        <w:autoSpaceDE/>
        <w:autoSpaceDN/>
        <w:bidi w:val="0"/>
        <w:adjustRightInd/>
        <w:spacing w:line="600" w:lineRule="exact"/>
        <w:ind w:leftChars="0" w:firstLine="640" w:firstLineChars="200"/>
        <w:jc w:val="both"/>
        <w:textAlignment w:val="auto"/>
        <w:rPr>
          <w:rFonts w:hint="eastAsia" w:ascii="Times New Roman" w:hAnsi="Times New Roman" w:eastAsia="宋体" w:cs="Times New Roman"/>
          <w:i w:val="0"/>
          <w:caps w:val="0"/>
          <w:color w:val="000000"/>
          <w:spacing w:val="0"/>
          <w:sz w:val="32"/>
          <w:szCs w:val="32"/>
          <w:shd w:val="clear" w:fill="FFFFFF"/>
          <w:lang w:eastAsia="zh-CN"/>
        </w:rPr>
      </w:pPr>
      <w:r>
        <w:rPr>
          <w:rFonts w:hint="eastAsia" w:ascii="方正仿宋简体" w:hAnsi="方正仿宋简体" w:eastAsia="方正仿宋简体" w:cs="方正仿宋简体"/>
          <w:b w:val="0"/>
          <w:bCs w:val="0"/>
          <w:sz w:val="32"/>
          <w:szCs w:val="32"/>
          <w:lang w:val="en-US" w:eastAsia="zh-CN"/>
        </w:rPr>
        <w:t>（三）资产管理方面</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topLinePunct w:val="0"/>
        <w:autoSpaceDE/>
        <w:autoSpaceDN/>
        <w:bidi w:val="0"/>
        <w:adjustRightInd/>
        <w:spacing w:before="0" w:beforeAutospacing="0" w:after="0" w:afterAutospacing="0" w:line="600" w:lineRule="exact"/>
        <w:ind w:left="0" w:right="0" w:firstLine="640" w:firstLineChars="200"/>
        <w:jc w:val="both"/>
        <w:textAlignment w:val="auto"/>
        <w:rPr>
          <w:rFonts w:ascii="Calibri" w:hAnsi="Calibri" w:cs="Calibri"/>
          <w:i w:val="0"/>
          <w:caps w:val="0"/>
          <w:color w:val="333333"/>
          <w:spacing w:val="0"/>
          <w:sz w:val="24"/>
          <w:szCs w:val="24"/>
        </w:rPr>
      </w:pPr>
      <w:r>
        <w:rPr>
          <w:rFonts w:ascii="仿宋" w:hAnsi="仿宋" w:eastAsia="仿宋" w:cs="仿宋"/>
          <w:i w:val="0"/>
          <w:caps w:val="0"/>
          <w:color w:val="000000"/>
          <w:spacing w:val="0"/>
          <w:sz w:val="32"/>
          <w:szCs w:val="32"/>
          <w:shd w:val="clear" w:fill="FFFFFF"/>
        </w:rPr>
        <w:t>严格落实《益阳市财政局固定资产管理办法》等有关资产管理</w:t>
      </w:r>
      <w:r>
        <w:rPr>
          <w:rFonts w:hint="eastAsia" w:ascii="仿宋" w:hAnsi="仿宋" w:eastAsia="仿宋" w:cs="仿宋"/>
          <w:i w:val="0"/>
          <w:caps w:val="0"/>
          <w:color w:val="000000"/>
          <w:spacing w:val="0"/>
          <w:sz w:val="32"/>
          <w:szCs w:val="32"/>
          <w:shd w:val="clear" w:fill="FFFFFF"/>
          <w:lang w:eastAsia="zh-CN"/>
        </w:rPr>
        <w:t>的文件精神</w:t>
      </w:r>
      <w:r>
        <w:rPr>
          <w:rFonts w:ascii="仿宋" w:hAnsi="仿宋" w:eastAsia="仿宋" w:cs="仿宋"/>
          <w:i w:val="0"/>
          <w:caps w:val="0"/>
          <w:color w:val="000000"/>
          <w:spacing w:val="0"/>
          <w:sz w:val="32"/>
          <w:szCs w:val="32"/>
          <w:shd w:val="clear" w:fill="FFFFFF"/>
        </w:rPr>
        <w:t>，</w:t>
      </w:r>
      <w:r>
        <w:rPr>
          <w:rFonts w:hint="eastAsia" w:ascii="仿宋" w:hAnsi="仿宋" w:eastAsia="仿宋" w:cs="仿宋"/>
          <w:i w:val="0"/>
          <w:caps w:val="0"/>
          <w:color w:val="000000"/>
          <w:spacing w:val="0"/>
          <w:sz w:val="32"/>
          <w:szCs w:val="32"/>
          <w:shd w:val="clear" w:fill="FFFFFF"/>
          <w:lang w:eastAsia="zh-CN"/>
        </w:rPr>
        <w:t>制定了资产管理制度。严格资产购置，</w:t>
      </w:r>
      <w:r>
        <w:rPr>
          <w:rFonts w:ascii="仿宋" w:hAnsi="仿宋" w:eastAsia="仿宋" w:cs="仿宋"/>
          <w:i w:val="0"/>
          <w:caps w:val="0"/>
          <w:color w:val="000000"/>
          <w:spacing w:val="0"/>
          <w:sz w:val="32"/>
          <w:szCs w:val="32"/>
          <w:shd w:val="clear" w:fill="FFFFFF"/>
        </w:rPr>
        <w:t>办公设备等资产购置严格实行事前审批，按照年初部门预算以及实际工作需要、资产购置标准进行统一配置。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topLinePunct w:val="0"/>
        <w:autoSpaceDE/>
        <w:autoSpaceDN/>
        <w:bidi w:val="0"/>
        <w:adjustRightInd/>
        <w:spacing w:before="0" w:beforeAutospacing="0" w:after="0" w:afterAutospacing="0" w:line="600" w:lineRule="exact"/>
        <w:ind w:left="0" w:right="0" w:firstLine="640" w:firstLineChars="200"/>
        <w:jc w:val="both"/>
        <w:textAlignment w:val="auto"/>
        <w:rPr>
          <w:rFonts w:hint="default" w:ascii="Calibri" w:hAnsi="Calibri" w:cs="Calibri"/>
          <w:i w:val="0"/>
          <w:caps w:val="0"/>
          <w:color w:val="333333"/>
          <w:spacing w:val="0"/>
          <w:sz w:val="24"/>
          <w:szCs w:val="24"/>
        </w:rPr>
      </w:pPr>
      <w:r>
        <w:rPr>
          <w:rFonts w:hint="eastAsia" w:ascii="仿宋" w:hAnsi="仿宋" w:eastAsia="仿宋" w:cs="仿宋"/>
          <w:i w:val="0"/>
          <w:caps w:val="0"/>
          <w:color w:val="000000"/>
          <w:spacing w:val="0"/>
          <w:sz w:val="32"/>
          <w:szCs w:val="32"/>
          <w:shd w:val="clear" w:fill="FFFFFF"/>
          <w:lang w:eastAsia="zh-CN"/>
        </w:rPr>
        <w:t>统一由局</w:t>
      </w:r>
      <w:r>
        <w:rPr>
          <w:rFonts w:hint="eastAsia" w:ascii="仿宋" w:hAnsi="仿宋" w:eastAsia="仿宋" w:cs="仿宋"/>
          <w:i w:val="0"/>
          <w:caps w:val="0"/>
          <w:color w:val="000000"/>
          <w:spacing w:val="0"/>
          <w:sz w:val="32"/>
          <w:szCs w:val="32"/>
          <w:shd w:val="clear" w:fill="FFFFFF"/>
        </w:rPr>
        <w:t>办公室调配资产，提高固定资产利用率，尽量避免资产闲置浪费</w:t>
      </w:r>
      <w:r>
        <w:rPr>
          <w:rFonts w:hint="eastAsia" w:ascii="仿宋" w:hAnsi="仿宋" w:eastAsia="仿宋" w:cs="仿宋"/>
          <w:i w:val="0"/>
          <w:caps w:val="0"/>
          <w:color w:val="000000"/>
          <w:spacing w:val="0"/>
          <w:sz w:val="32"/>
          <w:szCs w:val="32"/>
          <w:shd w:val="clear" w:fill="FFFFFF"/>
          <w:lang w:eastAsia="zh-CN"/>
        </w:rPr>
        <w:t>。</w:t>
      </w:r>
      <w:r>
        <w:rPr>
          <w:rFonts w:hint="eastAsia" w:ascii="仿宋" w:hAnsi="仿宋" w:eastAsia="仿宋" w:cs="仿宋"/>
          <w:i w:val="0"/>
          <w:caps w:val="0"/>
          <w:color w:val="000000"/>
          <w:spacing w:val="0"/>
          <w:sz w:val="32"/>
          <w:szCs w:val="32"/>
          <w:shd w:val="clear" w:fill="FFFFFF"/>
        </w:rPr>
        <w:t>资产及时入账销账，严格按照有关程序处置资产，确保资产保存完整、使用合规、账实相符。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topLinePunct w:val="0"/>
        <w:autoSpaceDE/>
        <w:autoSpaceDN/>
        <w:bidi w:val="0"/>
        <w:adjustRightInd/>
        <w:spacing w:before="0" w:beforeAutospacing="0" w:after="0" w:afterAutospacing="0" w:line="600" w:lineRule="exact"/>
        <w:ind w:right="0" w:firstLine="640" w:firstLineChars="200"/>
        <w:jc w:val="both"/>
        <w:textAlignment w:val="auto"/>
        <w:rPr>
          <w:rFonts w:hint="eastAsia" w:ascii="方正仿宋简体" w:hAnsi="方正仿宋简体" w:eastAsia="方正仿宋简体" w:cs="方正仿宋简体"/>
          <w:i w:val="0"/>
          <w:caps w:val="0"/>
          <w:color w:val="333333"/>
          <w:spacing w:val="0"/>
          <w:sz w:val="32"/>
          <w:szCs w:val="32"/>
        </w:rPr>
      </w:pPr>
      <w:r>
        <w:rPr>
          <w:rFonts w:hint="eastAsia" w:ascii="方正仿宋简体" w:hAnsi="方正仿宋简体" w:eastAsia="方正仿宋简体" w:cs="方正仿宋简体"/>
          <w:b w:val="0"/>
          <w:i w:val="0"/>
          <w:caps w:val="0"/>
          <w:color w:val="000000"/>
          <w:spacing w:val="0"/>
          <w:sz w:val="32"/>
          <w:szCs w:val="32"/>
          <w:shd w:val="clear" w:fill="FFFFFF"/>
          <w:lang w:eastAsia="zh-CN"/>
        </w:rPr>
        <w:t>（四）</w:t>
      </w:r>
      <w:r>
        <w:rPr>
          <w:rFonts w:hint="eastAsia" w:ascii="方正仿宋简体" w:hAnsi="方正仿宋简体" w:eastAsia="方正仿宋简体" w:cs="方正仿宋简体"/>
          <w:b w:val="0"/>
          <w:i w:val="0"/>
          <w:caps w:val="0"/>
          <w:color w:val="000000"/>
          <w:spacing w:val="0"/>
          <w:sz w:val="32"/>
          <w:szCs w:val="32"/>
          <w:shd w:val="clear" w:fill="FFFFFF"/>
        </w:rPr>
        <w:t>职责履行和履职效益方面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spacing w:val="0"/>
          <w:sz w:val="32"/>
          <w:szCs w:val="32"/>
          <w:lang w:val="en-US" w:eastAsia="zh-CN"/>
        </w:rPr>
      </w:pPr>
      <w:r>
        <w:rPr>
          <w:rFonts w:hint="eastAsia" w:ascii="仿宋" w:hAnsi="仿宋" w:eastAsia="仿宋" w:cs="仿宋"/>
          <w:b w:val="0"/>
          <w:bCs w:val="0"/>
          <w:sz w:val="32"/>
          <w:szCs w:val="32"/>
          <w:lang w:val="en-US" w:eastAsia="zh-CN"/>
        </w:rPr>
        <w:t>一是切实做好国卫迎复审迎检工作。对照国家卫生城市标准，强化目标责任，逐条分解任务，层层细化要求，牵头开展专项整治，确保复审期间的动态性问题能及时有效解决，</w:t>
      </w:r>
      <w:r>
        <w:rPr>
          <w:rFonts w:hint="eastAsia" w:ascii="仿宋" w:hAnsi="仿宋" w:eastAsia="仿宋" w:cs="仿宋"/>
          <w:b w:val="0"/>
          <w:bCs w:val="0"/>
          <w:spacing w:val="0"/>
          <w:sz w:val="32"/>
          <w:szCs w:val="32"/>
          <w:lang w:val="en-US" w:eastAsia="zh-CN"/>
        </w:rPr>
        <w:t>通过宣传教育、疏堵结合、行政执法等手段对辖区市容秩序进行管控，全年累计组织集中行动240余次，劝离、整治游商摊贩、门店越门经营等违法违规行为34000余处。在便民市场、居民小区等附近设置“自产自销瓜果蔬菜临时疏导点”，春节、清明、中元节期间在鹿角园路设置售卖祭祀品疏导点，既维护了市容秩序，又方便了市民群众，实现服务民生和城市治理水平的整体提升。</w:t>
      </w:r>
      <w:r>
        <w:rPr>
          <w:rFonts w:hint="eastAsia" w:ascii="仿宋" w:hAnsi="仿宋" w:eastAsia="仿宋" w:cs="仿宋"/>
          <w:b w:val="0"/>
          <w:bCs w:val="0"/>
          <w:sz w:val="32"/>
          <w:szCs w:val="32"/>
          <w:lang w:val="en-US" w:eastAsia="zh-CN"/>
        </w:rPr>
        <w:t>市容环境卫生全面达到《城市容貌标准》要求，顺利通过了国家卫生城市复审。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spacing w:val="0"/>
          <w:sz w:val="32"/>
          <w:szCs w:val="32"/>
          <w:lang w:val="en-US" w:eastAsia="zh-CN"/>
        </w:rPr>
      </w:pPr>
      <w:r>
        <w:rPr>
          <w:rFonts w:hint="eastAsia" w:ascii="仿宋" w:hAnsi="仿宋" w:eastAsia="仿宋" w:cs="仿宋"/>
          <w:b w:val="0"/>
          <w:bCs w:val="0"/>
          <w:spacing w:val="0"/>
          <w:sz w:val="32"/>
          <w:szCs w:val="32"/>
          <w:lang w:val="en-US" w:eastAsia="zh-CN"/>
        </w:rPr>
        <w:t>二是科学规范停车秩序。强力清理违停乱象，完成城管违停执法平台与交警系统对接，记录违停数据13万余条，是2020年的近3倍。科学施划停车泊位，全年新增机动车停车泊位3300余个，电动车停车位近2000个，全力解决“车难停”问题。定期开展抄牌队员技能知识培训，组织违停抄牌人员进行集体廉政谈话，完善抄牌制度和工作流程，要求全体执法人员坚持做到依法依规抄牌。目前，录入数据在城管违停执法平台审核通过率为96.7%，较去年增长近10个百分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spacing w:val="0"/>
          <w:sz w:val="32"/>
          <w:szCs w:val="32"/>
          <w:lang w:val="en-US" w:eastAsia="zh-CN"/>
        </w:rPr>
      </w:pPr>
      <w:r>
        <w:rPr>
          <w:rFonts w:hint="eastAsia" w:ascii="仿宋" w:hAnsi="仿宋" w:eastAsia="仿宋" w:cs="仿宋"/>
          <w:b w:val="0"/>
          <w:bCs w:val="0"/>
          <w:spacing w:val="0"/>
          <w:sz w:val="32"/>
          <w:szCs w:val="32"/>
          <w:lang w:val="en-US" w:eastAsia="zh-CN"/>
        </w:rPr>
        <w:t>三是严格餐厨垃圾管理。进一步</w:t>
      </w:r>
      <w:r>
        <w:rPr>
          <w:rFonts w:hint="eastAsia" w:ascii="仿宋" w:hAnsi="仿宋" w:eastAsia="仿宋" w:cs="仿宋"/>
          <w:sz w:val="32"/>
          <w:szCs w:val="32"/>
          <w:lang w:val="en-US" w:eastAsia="zh-CN"/>
        </w:rPr>
        <w:t>加大城区餐厨垃圾违规收运的执法力度，全年共立案处罚81起，查处违规运输车辆76台次，处罚餐饮门店5家、学校2所，取缔餐厨废弃油脂加工窝点5处，</w:t>
      </w:r>
      <w:r>
        <w:rPr>
          <w:rFonts w:hint="eastAsia" w:ascii="仿宋" w:hAnsi="仿宋" w:eastAsia="仿宋" w:cs="仿宋"/>
          <w:b w:val="0"/>
          <w:bCs w:val="0"/>
          <w:spacing w:val="0"/>
          <w:sz w:val="32"/>
          <w:szCs w:val="32"/>
          <w:lang w:val="en-US" w:eastAsia="zh-CN"/>
        </w:rPr>
        <w:t>收缴违规收运餐厨废弃油脂近10吨，</w:t>
      </w:r>
      <w:r>
        <w:rPr>
          <w:rFonts w:hint="eastAsia" w:ascii="仿宋" w:hAnsi="仿宋" w:eastAsia="仿宋" w:cs="仿宋"/>
          <w:sz w:val="32"/>
          <w:szCs w:val="32"/>
          <w:lang w:val="en-US" w:eastAsia="zh-CN"/>
        </w:rPr>
        <w:t>发放限期整改通知书176份，</w:t>
      </w:r>
      <w:r>
        <w:rPr>
          <w:rFonts w:hint="eastAsia" w:ascii="仿宋" w:hAnsi="仿宋" w:eastAsia="仿宋" w:cs="仿宋"/>
          <w:b w:val="0"/>
          <w:bCs w:val="0"/>
          <w:spacing w:val="0"/>
          <w:sz w:val="32"/>
          <w:szCs w:val="32"/>
          <w:lang w:val="en-US" w:eastAsia="zh-CN"/>
        </w:rPr>
        <w:t>有效遏制非法处置乱象。着力推进垃圾减量化、无害化、资源化，2021年1月，餐厨垃圾无害化处置项目正式运行，共启用餐厨垃圾收运处置专用车13辆，优化整合收运线路8条，日均收运23车次，日均收运处置量从30吨上涨到100吨，增长幅度达到333%，全年无害化处理餐厨垃圾达25000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rPr>
          <w:rFonts w:hint="eastAsia" w:ascii="仿宋" w:hAnsi="仿宋" w:eastAsia="仿宋" w:cs="仿宋"/>
          <w:b w:val="0"/>
          <w:bCs w:val="0"/>
          <w:i w:val="0"/>
          <w:iCs w:val="0"/>
          <w:caps w:val="0"/>
          <w:color w:val="000000"/>
          <w:spacing w:val="0"/>
          <w:sz w:val="32"/>
          <w:szCs w:val="32"/>
          <w:vertAlign w:val="baseline"/>
        </w:rPr>
      </w:pPr>
      <w:r>
        <w:rPr>
          <w:rFonts w:hint="eastAsia" w:ascii="仿宋" w:hAnsi="仿宋" w:eastAsia="仿宋" w:cs="仿宋"/>
          <w:b w:val="0"/>
          <w:bCs w:val="0"/>
          <w:i w:val="0"/>
          <w:caps w:val="0"/>
          <w:color w:val="000000"/>
          <w:spacing w:val="0"/>
          <w:kern w:val="2"/>
          <w:sz w:val="32"/>
          <w:szCs w:val="32"/>
          <w:u w:val="none"/>
          <w:shd w:val="clear" w:color="auto" w:fill="FFFFFF"/>
          <w:lang w:val="en-US" w:eastAsia="zh-CN" w:bidi="ar-SA"/>
        </w:rPr>
        <w:t>四是空间提质“清爽行动”有力有效。紧紧围绕“服务”、“安全”两个关键词，</w:t>
      </w:r>
      <w:r>
        <w:rPr>
          <w:rFonts w:hint="eastAsia" w:ascii="仿宋" w:hAnsi="仿宋" w:eastAsia="仿宋" w:cs="仿宋"/>
          <w:b w:val="0"/>
          <w:bCs w:val="0"/>
          <w:i w:val="0"/>
          <w:iCs w:val="0"/>
          <w:caps w:val="0"/>
          <w:color w:val="000000"/>
          <w:spacing w:val="0"/>
          <w:sz w:val="32"/>
          <w:szCs w:val="32"/>
          <w:vertAlign w:val="baseline"/>
          <w:lang w:val="en-US" w:eastAsia="zh-CN"/>
        </w:rPr>
        <w:t>进一步加强</w:t>
      </w:r>
      <w:r>
        <w:rPr>
          <w:rFonts w:hint="eastAsia" w:ascii="仿宋" w:hAnsi="仿宋" w:eastAsia="仿宋" w:cs="仿宋"/>
          <w:b w:val="0"/>
          <w:bCs w:val="0"/>
          <w:i w:val="0"/>
          <w:iCs w:val="0"/>
          <w:caps w:val="0"/>
          <w:color w:val="000000"/>
          <w:spacing w:val="0"/>
          <w:sz w:val="32"/>
          <w:szCs w:val="32"/>
          <w:vertAlign w:val="baseline"/>
        </w:rPr>
        <w:t>户外广告</w:t>
      </w:r>
      <w:r>
        <w:rPr>
          <w:rFonts w:hint="eastAsia" w:ascii="仿宋" w:hAnsi="仿宋" w:eastAsia="仿宋" w:cs="仿宋"/>
          <w:b w:val="0"/>
          <w:bCs w:val="0"/>
          <w:i w:val="0"/>
          <w:iCs w:val="0"/>
          <w:caps w:val="0"/>
          <w:color w:val="000000"/>
          <w:spacing w:val="0"/>
          <w:sz w:val="32"/>
          <w:szCs w:val="32"/>
          <w:vertAlign w:val="baseline"/>
          <w:lang w:val="en-US" w:eastAsia="zh-CN"/>
        </w:rPr>
        <w:t>设置</w:t>
      </w:r>
      <w:r>
        <w:rPr>
          <w:rFonts w:hint="eastAsia" w:ascii="仿宋" w:hAnsi="仿宋" w:eastAsia="仿宋" w:cs="仿宋"/>
          <w:b w:val="0"/>
          <w:bCs w:val="0"/>
          <w:i w:val="0"/>
          <w:iCs w:val="0"/>
          <w:caps w:val="0"/>
          <w:color w:val="000000"/>
          <w:spacing w:val="0"/>
          <w:sz w:val="32"/>
          <w:szCs w:val="32"/>
          <w:vertAlign w:val="baseline"/>
        </w:rPr>
        <w:t>管理。集中</w:t>
      </w:r>
      <w:r>
        <w:rPr>
          <w:rFonts w:hint="eastAsia" w:ascii="仿宋" w:hAnsi="仿宋" w:eastAsia="仿宋" w:cs="仿宋"/>
          <w:b w:val="0"/>
          <w:bCs w:val="0"/>
          <w:i w:val="0"/>
          <w:iCs w:val="0"/>
          <w:caps w:val="0"/>
          <w:color w:val="000000"/>
          <w:spacing w:val="0"/>
          <w:sz w:val="32"/>
          <w:szCs w:val="32"/>
          <w:vertAlign w:val="baseline"/>
          <w:lang w:eastAsia="zh-CN"/>
        </w:rPr>
        <w:t>力量</w:t>
      </w:r>
      <w:r>
        <w:rPr>
          <w:rFonts w:hint="eastAsia" w:ascii="仿宋" w:hAnsi="仿宋" w:eastAsia="仿宋" w:cs="仿宋"/>
          <w:b w:val="0"/>
          <w:bCs w:val="0"/>
          <w:i w:val="0"/>
          <w:iCs w:val="0"/>
          <w:caps w:val="0"/>
          <w:color w:val="000000"/>
          <w:spacing w:val="0"/>
          <w:sz w:val="32"/>
          <w:szCs w:val="32"/>
          <w:vertAlign w:val="baseline"/>
        </w:rPr>
        <w:t>开展夜间管理</w:t>
      </w:r>
      <w:r>
        <w:rPr>
          <w:rFonts w:hint="eastAsia" w:ascii="仿宋" w:hAnsi="仿宋" w:eastAsia="仿宋" w:cs="仿宋"/>
          <w:b w:val="0"/>
          <w:bCs w:val="0"/>
          <w:i w:val="0"/>
          <w:iCs w:val="0"/>
          <w:caps w:val="0"/>
          <w:color w:val="000000"/>
          <w:spacing w:val="0"/>
          <w:sz w:val="32"/>
          <w:szCs w:val="32"/>
          <w:vertAlign w:val="baseline"/>
          <w:lang w:eastAsia="zh-CN"/>
        </w:rPr>
        <w:t>专</w:t>
      </w:r>
      <w:r>
        <w:rPr>
          <w:rFonts w:hint="eastAsia" w:ascii="仿宋" w:hAnsi="仿宋" w:eastAsia="仿宋" w:cs="仿宋"/>
          <w:b w:val="0"/>
          <w:bCs w:val="0"/>
          <w:i w:val="0"/>
          <w:iCs w:val="0"/>
          <w:caps w:val="0"/>
          <w:color w:val="000000"/>
          <w:spacing w:val="0"/>
          <w:sz w:val="32"/>
          <w:szCs w:val="32"/>
          <w:vertAlign w:val="baseline"/>
        </w:rPr>
        <w:t>项整治行动，共排摸城区户外广告霓虹灯、电子显示屏等存在短路、破损、脱落、缺字、断亮情况94处，均及时</w:t>
      </w:r>
      <w:r>
        <w:rPr>
          <w:rFonts w:hint="eastAsia" w:ascii="仿宋" w:hAnsi="仿宋" w:eastAsia="仿宋" w:cs="仿宋"/>
          <w:b w:val="0"/>
          <w:bCs w:val="0"/>
          <w:i w:val="0"/>
          <w:iCs w:val="0"/>
          <w:caps w:val="0"/>
          <w:color w:val="000000"/>
          <w:spacing w:val="0"/>
          <w:sz w:val="32"/>
          <w:szCs w:val="32"/>
          <w:vertAlign w:val="baseline"/>
          <w:lang w:eastAsia="zh-CN"/>
        </w:rPr>
        <w:t>督促</w:t>
      </w:r>
      <w:r>
        <w:rPr>
          <w:rFonts w:hint="eastAsia" w:ascii="仿宋" w:hAnsi="仿宋" w:eastAsia="仿宋" w:cs="仿宋"/>
          <w:b w:val="0"/>
          <w:bCs w:val="0"/>
          <w:i w:val="0"/>
          <w:iCs w:val="0"/>
          <w:caps w:val="0"/>
          <w:color w:val="000000"/>
          <w:spacing w:val="0"/>
          <w:sz w:val="32"/>
          <w:szCs w:val="32"/>
          <w:vertAlign w:val="baseline"/>
        </w:rPr>
        <w:t>商户</w:t>
      </w:r>
      <w:r>
        <w:rPr>
          <w:rFonts w:hint="eastAsia" w:ascii="仿宋" w:hAnsi="仿宋" w:eastAsia="仿宋" w:cs="仿宋"/>
          <w:b w:val="0"/>
          <w:bCs w:val="0"/>
          <w:i w:val="0"/>
          <w:iCs w:val="0"/>
          <w:caps w:val="0"/>
          <w:color w:val="000000"/>
          <w:spacing w:val="0"/>
          <w:sz w:val="32"/>
          <w:szCs w:val="32"/>
          <w:vertAlign w:val="baseline"/>
          <w:lang w:eastAsia="zh-CN"/>
        </w:rPr>
        <w:t>完成</w:t>
      </w:r>
      <w:r>
        <w:rPr>
          <w:rFonts w:hint="eastAsia" w:ascii="仿宋" w:hAnsi="仿宋" w:eastAsia="仿宋" w:cs="仿宋"/>
          <w:b w:val="0"/>
          <w:bCs w:val="0"/>
          <w:i w:val="0"/>
          <w:iCs w:val="0"/>
          <w:caps w:val="0"/>
          <w:color w:val="000000"/>
          <w:spacing w:val="0"/>
          <w:sz w:val="32"/>
          <w:szCs w:val="32"/>
          <w:vertAlign w:val="baseline"/>
        </w:rPr>
        <w:t>维修更换，确保城区户外广告整齐、完好、安全</w:t>
      </w:r>
      <w:r>
        <w:rPr>
          <w:rFonts w:hint="eastAsia" w:ascii="仿宋" w:hAnsi="仿宋" w:eastAsia="仿宋" w:cs="仿宋"/>
          <w:b w:val="0"/>
          <w:bCs w:val="0"/>
          <w:i w:val="0"/>
          <w:iCs w:val="0"/>
          <w:caps w:val="0"/>
          <w:color w:val="000000"/>
          <w:spacing w:val="0"/>
          <w:sz w:val="32"/>
          <w:szCs w:val="32"/>
          <w:vertAlign w:val="baseline"/>
          <w:lang w:eastAsia="zh-CN"/>
        </w:rPr>
        <w:t>、</w:t>
      </w:r>
      <w:r>
        <w:rPr>
          <w:rFonts w:hint="eastAsia" w:ascii="仿宋" w:hAnsi="仿宋" w:eastAsia="仿宋" w:cs="仿宋"/>
          <w:b w:val="0"/>
          <w:bCs w:val="0"/>
          <w:i w:val="0"/>
          <w:iCs w:val="0"/>
          <w:caps w:val="0"/>
          <w:color w:val="000000"/>
          <w:spacing w:val="0"/>
          <w:sz w:val="32"/>
          <w:szCs w:val="32"/>
          <w:vertAlign w:val="baseline"/>
        </w:rPr>
        <w:t>有序。</w:t>
      </w:r>
      <w:r>
        <w:rPr>
          <w:rFonts w:hint="eastAsia" w:ascii="仿宋" w:hAnsi="仿宋" w:eastAsia="仿宋" w:cs="仿宋"/>
          <w:b w:val="0"/>
          <w:bCs w:val="0"/>
          <w:i w:val="0"/>
          <w:iCs w:val="0"/>
          <w:caps w:val="0"/>
          <w:color w:val="000000"/>
          <w:spacing w:val="0"/>
          <w:sz w:val="32"/>
          <w:szCs w:val="32"/>
          <w:vertAlign w:val="baseline"/>
          <w:lang w:eastAsia="zh-CN"/>
        </w:rPr>
        <w:t>下大力</w:t>
      </w:r>
      <w:r>
        <w:rPr>
          <w:rFonts w:hint="eastAsia" w:ascii="仿宋" w:hAnsi="仿宋" w:eastAsia="仿宋" w:cs="仿宋"/>
          <w:b w:val="0"/>
          <w:bCs w:val="0"/>
          <w:i w:val="0"/>
          <w:iCs w:val="0"/>
          <w:caps w:val="0"/>
          <w:color w:val="000000"/>
          <w:spacing w:val="0"/>
          <w:sz w:val="32"/>
          <w:szCs w:val="32"/>
          <w:vertAlign w:val="baseline"/>
        </w:rPr>
        <w:t>对中心城区违法违规设置、破损未及时修复、存在安全隐患的户外广告（招牌）设施进行统一拆除，</w:t>
      </w:r>
      <w:r>
        <w:rPr>
          <w:rFonts w:hint="eastAsia" w:ascii="仿宋" w:hAnsi="仿宋" w:eastAsia="仿宋" w:cs="仿宋"/>
          <w:b w:val="0"/>
          <w:bCs w:val="0"/>
          <w:i w:val="0"/>
          <w:iCs w:val="0"/>
          <w:caps w:val="0"/>
          <w:color w:val="000000"/>
          <w:spacing w:val="0"/>
          <w:sz w:val="32"/>
          <w:szCs w:val="32"/>
          <w:vertAlign w:val="baseline"/>
          <w:lang w:eastAsia="zh-CN"/>
        </w:rPr>
        <w:t>全年共组织</w:t>
      </w:r>
      <w:r>
        <w:rPr>
          <w:rFonts w:hint="eastAsia" w:ascii="仿宋" w:hAnsi="仿宋" w:eastAsia="仿宋" w:cs="仿宋"/>
          <w:b w:val="0"/>
          <w:bCs w:val="0"/>
          <w:i w:val="0"/>
          <w:iCs w:val="0"/>
          <w:caps w:val="0"/>
          <w:color w:val="000000"/>
          <w:spacing w:val="0"/>
          <w:sz w:val="32"/>
          <w:szCs w:val="32"/>
          <w:vertAlign w:val="baseline"/>
        </w:rPr>
        <w:t>行动18次，拆除违规设置或</w:t>
      </w:r>
      <w:r>
        <w:rPr>
          <w:rFonts w:hint="eastAsia" w:ascii="仿宋" w:hAnsi="仿宋" w:eastAsia="仿宋" w:cs="仿宋"/>
          <w:b w:val="0"/>
          <w:bCs w:val="0"/>
          <w:i w:val="0"/>
          <w:iCs w:val="0"/>
          <w:caps w:val="0"/>
          <w:color w:val="000000"/>
          <w:spacing w:val="0"/>
          <w:sz w:val="32"/>
          <w:szCs w:val="32"/>
          <w:vertAlign w:val="baseline"/>
          <w:lang w:eastAsia="zh-CN"/>
        </w:rPr>
        <w:t>存在</w:t>
      </w:r>
      <w:r>
        <w:rPr>
          <w:rFonts w:hint="eastAsia" w:ascii="仿宋" w:hAnsi="仿宋" w:eastAsia="仿宋" w:cs="仿宋"/>
          <w:b w:val="0"/>
          <w:bCs w:val="0"/>
          <w:i w:val="0"/>
          <w:iCs w:val="0"/>
          <w:caps w:val="0"/>
          <w:color w:val="000000"/>
          <w:spacing w:val="0"/>
          <w:sz w:val="32"/>
          <w:szCs w:val="32"/>
          <w:vertAlign w:val="baseline"/>
        </w:rPr>
        <w:t>安全隐患的二楼以上户外广告（招牌）设施4000</w:t>
      </w:r>
      <w:r>
        <w:rPr>
          <w:rFonts w:hint="eastAsia" w:ascii="仿宋" w:hAnsi="仿宋" w:eastAsia="仿宋" w:cs="仿宋"/>
          <w:b w:val="0"/>
          <w:bCs w:val="0"/>
          <w:i w:val="0"/>
          <w:iCs w:val="0"/>
          <w:caps w:val="0"/>
          <w:color w:val="000000"/>
          <w:spacing w:val="0"/>
          <w:sz w:val="32"/>
          <w:szCs w:val="32"/>
          <w:vertAlign w:val="baseline"/>
          <w:lang w:eastAsia="zh-CN"/>
        </w:rPr>
        <w:t>余平方米，</w:t>
      </w:r>
      <w:r>
        <w:rPr>
          <w:rFonts w:hint="eastAsia" w:ascii="仿宋" w:hAnsi="仿宋" w:eastAsia="仿宋" w:cs="仿宋"/>
          <w:b w:val="0"/>
          <w:bCs w:val="0"/>
          <w:i w:val="0"/>
          <w:iCs w:val="0"/>
          <w:caps w:val="0"/>
          <w:color w:val="000000"/>
          <w:spacing w:val="0"/>
          <w:sz w:val="32"/>
          <w:szCs w:val="32"/>
          <w:vertAlign w:val="baseline"/>
        </w:rPr>
        <w:t>拆除拱门50余个</w:t>
      </w:r>
      <w:r>
        <w:rPr>
          <w:rFonts w:hint="eastAsia" w:ascii="仿宋" w:hAnsi="仿宋" w:eastAsia="仿宋" w:cs="仿宋"/>
          <w:b w:val="0"/>
          <w:bCs w:val="0"/>
          <w:i w:val="0"/>
          <w:iCs w:val="0"/>
          <w:caps w:val="0"/>
          <w:color w:val="000000"/>
          <w:spacing w:val="0"/>
          <w:sz w:val="32"/>
          <w:szCs w:val="32"/>
          <w:vertAlign w:val="baseline"/>
          <w:lang w:eastAsia="zh-CN"/>
        </w:rPr>
        <w:t>，</w:t>
      </w:r>
      <w:r>
        <w:rPr>
          <w:rFonts w:hint="eastAsia" w:ascii="仿宋" w:hAnsi="仿宋" w:eastAsia="仿宋" w:cs="仿宋"/>
          <w:b w:val="0"/>
          <w:bCs w:val="0"/>
          <w:i w:val="0"/>
          <w:iCs w:val="0"/>
          <w:caps w:val="0"/>
          <w:color w:val="000000"/>
          <w:spacing w:val="0"/>
          <w:sz w:val="32"/>
          <w:szCs w:val="32"/>
          <w:vertAlign w:val="baseline"/>
        </w:rPr>
        <w:t>清除各类横幅广告700多条，清除破损工地围挡公益广告500余处。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baseline"/>
        <w:rPr>
          <w:rFonts w:hint="eastAsia" w:ascii="仿宋" w:hAnsi="仿宋" w:eastAsia="仿宋" w:cs="仿宋"/>
          <w:b w:val="0"/>
          <w:bCs w:val="0"/>
          <w:spacing w:val="0"/>
          <w:kern w:val="2"/>
          <w:sz w:val="32"/>
          <w:szCs w:val="32"/>
          <w:lang w:val="en-US" w:eastAsia="zh-CN" w:bidi="ar-SA"/>
        </w:rPr>
      </w:pPr>
      <w:r>
        <w:rPr>
          <w:rFonts w:hint="eastAsia" w:ascii="仿宋" w:hAnsi="仿宋" w:eastAsia="仿宋" w:cs="仿宋"/>
          <w:b w:val="0"/>
          <w:bCs w:val="0"/>
          <w:i w:val="0"/>
          <w:iCs w:val="0"/>
          <w:caps w:val="0"/>
          <w:color w:val="000000"/>
          <w:spacing w:val="0"/>
          <w:kern w:val="2"/>
          <w:sz w:val="32"/>
          <w:szCs w:val="32"/>
          <w:vertAlign w:val="baseline"/>
          <w:lang w:val="en-US" w:eastAsia="zh-CN" w:bidi="ar-SA"/>
        </w:rPr>
        <w:t>五是加强扬尘污染管控。根据环保督察标准，严把渣土处置源头关，按照“一个工地一套档案、一台车辆一套档案、一个公司一套档案”原则，对城区所有渣土工地、运输车辆、运输企业分门别类建立了完善的精细化管理台账。运用“互联网＋”大数据技术，</w:t>
      </w:r>
      <w:r>
        <w:rPr>
          <w:rFonts w:hint="eastAsia" w:ascii="仿宋" w:hAnsi="仿宋" w:eastAsia="仿宋" w:cs="仿宋"/>
          <w:b w:val="0"/>
          <w:bCs w:val="0"/>
          <w:color w:val="000000"/>
          <w:spacing w:val="0"/>
          <w:kern w:val="0"/>
          <w:sz w:val="32"/>
          <w:szCs w:val="32"/>
          <w:lang w:val="en-US" w:eastAsia="zh-CN" w:bidi="ar-SA"/>
        </w:rPr>
        <w:t>完成“智慧渣管”平台硬件建设，目前已有197台渣土车完成智能终端安装，年底已初步实现对全市区渣土运输智能化管控。</w:t>
      </w:r>
      <w:r>
        <w:rPr>
          <w:rFonts w:hint="eastAsia" w:ascii="仿宋" w:hAnsi="仿宋" w:eastAsia="仿宋" w:cs="仿宋"/>
          <w:b w:val="0"/>
          <w:bCs w:val="0"/>
          <w:spacing w:val="0"/>
          <w:kern w:val="2"/>
          <w:sz w:val="32"/>
          <w:szCs w:val="32"/>
          <w:lang w:val="en-US" w:eastAsia="zh-CN" w:bidi="ar-SA"/>
        </w:rPr>
        <w:t>深入开展专项整治行动，全年共组织“铁锤治渣”行动8次，现场整改车辆21台次，查扣违规车辆26台次，发放限期整改通知书73份，整改工地9处，立案处罚73宗，罚款67.3万元。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baseline"/>
        <w:rPr>
          <w:rFonts w:hint="eastAsia" w:ascii="仿宋" w:hAnsi="仿宋" w:eastAsia="仿宋" w:cs="仿宋"/>
          <w:b w:val="0"/>
          <w:bCs w:val="0"/>
          <w:i w:val="0"/>
          <w:iCs w:val="0"/>
          <w:caps w:val="0"/>
          <w:color w:val="000000"/>
          <w:spacing w:val="0"/>
          <w:kern w:val="2"/>
          <w:sz w:val="32"/>
          <w:szCs w:val="32"/>
          <w:vertAlign w:val="baseline"/>
          <w:lang w:val="en-US" w:eastAsia="zh-CN" w:bidi="ar-SA"/>
        </w:rPr>
      </w:pPr>
      <w:r>
        <w:rPr>
          <w:rFonts w:hint="eastAsia" w:ascii="仿宋" w:hAnsi="仿宋" w:eastAsia="仿宋" w:cs="仿宋"/>
          <w:b w:val="0"/>
          <w:bCs w:val="0"/>
          <w:i w:val="0"/>
          <w:iCs w:val="0"/>
          <w:caps w:val="0"/>
          <w:color w:val="000000"/>
          <w:spacing w:val="0"/>
          <w:kern w:val="2"/>
          <w:sz w:val="32"/>
          <w:szCs w:val="32"/>
          <w:vertAlign w:val="baseline"/>
          <w:lang w:val="en-US" w:eastAsia="zh-CN" w:bidi="ar-SA"/>
        </w:rPr>
        <w:t>六是加强餐饮油烟治理。通过加强宣传与严格执法相结合，扎实开展经营性餐饮油烟污染整治、中心城区企事业单位食堂油烟净化器安装等工作。今年以来，中心城区经营性餐饮门店新安装油烟净化设备204台，企事业单位食堂新安装油烟净化设备154台，202家餐饮门店安装油烟在线监测系统，</w:t>
      </w:r>
      <w:r>
        <w:rPr>
          <w:rFonts w:hint="eastAsia" w:ascii="仿宋" w:hAnsi="仿宋" w:eastAsia="仿宋" w:cs="仿宋"/>
          <w:b w:val="0"/>
          <w:bCs w:val="0"/>
          <w:spacing w:val="0"/>
          <w:kern w:val="2"/>
          <w:sz w:val="32"/>
          <w:szCs w:val="32"/>
          <w:lang w:val="en-US" w:eastAsia="zh-CN" w:bidi="ar-SA"/>
        </w:rPr>
        <w:t>实现了主次干道规模以上餐饮单位安装全覆盖。</w:t>
      </w:r>
      <w:r>
        <w:rPr>
          <w:rFonts w:hint="eastAsia" w:ascii="仿宋" w:hAnsi="仿宋" w:eastAsia="仿宋" w:cs="仿宋"/>
          <w:b w:val="0"/>
          <w:bCs w:val="0"/>
          <w:i w:val="0"/>
          <w:iCs w:val="0"/>
          <w:caps w:val="0"/>
          <w:color w:val="000000"/>
          <w:spacing w:val="0"/>
          <w:kern w:val="2"/>
          <w:sz w:val="32"/>
          <w:szCs w:val="32"/>
          <w:vertAlign w:val="baseline"/>
          <w:lang w:val="en-US" w:eastAsia="zh-CN" w:bidi="ar-SA"/>
        </w:rPr>
        <w:t>此外，发放《温馨提示》等宣传资料6000余份，处置油烟扰民热线投诉119起，做到了件件有反馈，事事有结果。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baseline"/>
        <w:rPr>
          <w:rFonts w:hint="eastAsia" w:ascii="仿宋" w:hAnsi="仿宋" w:eastAsia="仿宋" w:cs="仿宋"/>
          <w:b w:val="0"/>
          <w:bCs w:val="0"/>
          <w:i w:val="0"/>
          <w:iCs w:val="0"/>
          <w:caps w:val="0"/>
          <w:color w:val="000000"/>
          <w:spacing w:val="0"/>
          <w:kern w:val="2"/>
          <w:sz w:val="32"/>
          <w:szCs w:val="32"/>
          <w:vertAlign w:val="baseline"/>
          <w:lang w:val="en-US" w:eastAsia="zh-CN" w:bidi="ar-SA"/>
        </w:rPr>
      </w:pPr>
      <w:r>
        <w:rPr>
          <w:rFonts w:hint="eastAsia" w:ascii="仿宋" w:hAnsi="仿宋" w:eastAsia="仿宋" w:cs="仿宋"/>
          <w:b w:val="0"/>
          <w:bCs w:val="0"/>
          <w:i w:val="0"/>
          <w:iCs w:val="0"/>
          <w:caps w:val="0"/>
          <w:color w:val="000000"/>
          <w:spacing w:val="0"/>
          <w:kern w:val="2"/>
          <w:sz w:val="32"/>
          <w:szCs w:val="32"/>
          <w:vertAlign w:val="baseline"/>
          <w:lang w:val="en-US" w:eastAsia="zh-CN" w:bidi="ar-SA"/>
        </w:rPr>
        <w:t>七是加强禁燃禁放整治。</w:t>
      </w:r>
      <w:r>
        <w:rPr>
          <w:rFonts w:hint="eastAsia" w:ascii="仿宋" w:hAnsi="仿宋" w:eastAsia="仿宋" w:cs="仿宋"/>
          <w:b w:val="0"/>
          <w:bCs w:val="0"/>
          <w:color w:val="212121"/>
          <w:spacing w:val="0"/>
          <w:kern w:val="2"/>
          <w:sz w:val="32"/>
          <w:szCs w:val="32"/>
          <w:shd w:val="clear" w:color="auto" w:fill="FFFFFF"/>
          <w:lang w:val="en-US" w:eastAsia="zh-CN" w:bidi="ar-SA"/>
        </w:rPr>
        <w:t>严控秸秆落叶、垃圾焚烧、烟花爆竹燃放，</w:t>
      </w:r>
      <w:r>
        <w:rPr>
          <w:rFonts w:hint="eastAsia" w:ascii="仿宋" w:hAnsi="仿宋" w:eastAsia="仿宋" w:cs="仿宋"/>
          <w:sz w:val="32"/>
          <w:szCs w:val="32"/>
          <w:lang w:val="en-US" w:eastAsia="zh-CN"/>
        </w:rPr>
        <w:t>在春节、清明、</w:t>
      </w:r>
      <w:r>
        <w:rPr>
          <w:rFonts w:hint="eastAsia" w:ascii="仿宋" w:hAnsi="仿宋" w:eastAsia="仿宋" w:cs="仿宋"/>
          <w:b w:val="0"/>
          <w:bCs w:val="0"/>
          <w:i w:val="0"/>
          <w:iCs w:val="0"/>
          <w:caps w:val="0"/>
          <w:color w:val="000000"/>
          <w:spacing w:val="0"/>
          <w:kern w:val="2"/>
          <w:sz w:val="32"/>
          <w:szCs w:val="32"/>
          <w:vertAlign w:val="baseline"/>
          <w:lang w:val="en-US" w:eastAsia="zh-CN" w:bidi="ar-SA"/>
        </w:rPr>
        <w:t>中元节等重要节点发放禁烧禁放相关宣传单280余份，及时制止燃放烟花爆竹270余起，没收烟花爆竹2000多件，查处露天烧烤、违规夜市7000余起。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b w:val="0"/>
          <w:bCs w:val="0"/>
          <w:i w:val="0"/>
          <w:iCs w:val="0"/>
          <w:caps w:val="0"/>
          <w:color w:val="000000"/>
          <w:spacing w:val="0"/>
          <w:kern w:val="2"/>
          <w:sz w:val="32"/>
          <w:szCs w:val="32"/>
          <w:vertAlign w:val="baseline"/>
          <w:lang w:val="en-US" w:eastAsia="zh-CN" w:bidi="ar-SA"/>
        </w:rPr>
        <w:t>八是加强黑臭水体治理。自2021年2月1日起，强化对白马山渠、接城堤渠、龙山港渠、中干渠、</w:t>
      </w:r>
      <w:bookmarkStart w:id="0" w:name="_GoBack"/>
      <w:bookmarkEnd w:id="0"/>
      <w:r>
        <w:rPr>
          <w:rFonts w:hint="eastAsia" w:ascii="仿宋" w:hAnsi="仿宋" w:eastAsia="仿宋" w:cs="仿宋"/>
          <w:b w:val="0"/>
          <w:bCs w:val="0"/>
          <w:i w:val="0"/>
          <w:iCs w:val="0"/>
          <w:caps w:val="0"/>
          <w:color w:val="000000"/>
          <w:spacing w:val="0"/>
          <w:kern w:val="2"/>
          <w:sz w:val="32"/>
          <w:szCs w:val="32"/>
          <w:vertAlign w:val="baseline"/>
          <w:lang w:val="en-US" w:eastAsia="zh-CN" w:bidi="ar-SA"/>
        </w:rPr>
        <w:t>泄洪渠、团洲渠、总干渠等7个渠道的日常维护管理。每日组织17人进行维护清理，日均保洁清理渠道（河道及边坡）面积约2.5万平方米，全年共维护维修渠道截污井681座次，截污管道设施 223处；疏浚管道约2000米，清理7条明渠截污井902座，清理垃圾及漂浮物1000余车1200吨，在市住建、水利、生态环境、财政等部门联合检查考核中得到一致认可和高度评价。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rPr>
          <w:rFonts w:hint="eastAsia" w:ascii="仿宋" w:hAnsi="仿宋" w:eastAsia="仿宋" w:cs="仿宋"/>
          <w:b w:val="0"/>
          <w:bCs w:val="0"/>
          <w:spacing w:val="0"/>
          <w:sz w:val="32"/>
          <w:szCs w:val="32"/>
          <w:lang w:val="zh-CN" w:eastAsia="zh-CN"/>
        </w:rPr>
      </w:pPr>
      <w:r>
        <w:rPr>
          <w:rFonts w:hint="eastAsia" w:ascii="仿宋" w:hAnsi="仿宋" w:eastAsia="仿宋" w:cs="仿宋"/>
          <w:b w:val="0"/>
          <w:bCs w:val="0"/>
          <w:spacing w:val="0"/>
          <w:sz w:val="32"/>
          <w:szCs w:val="32"/>
          <w:lang w:val="en-US" w:eastAsia="zh-CN"/>
        </w:rPr>
        <w:t>九是开展营商环境大优化攻坚行动。严格按照“放管服”改革要求简政放权，全面启动证明事项告知承诺制工作，“主动适用告知承诺容缺办理排水许可”作为益阳市证明事项告知承诺制适用典型优秀案例报送省司法厅，同时作为基层行政审批制度改革典型优秀案例报送益阳市委全面深化改革委员会办公室；对从事生活垃圾经营性清扫、收集、运输、处理服务涉企经营实行告知承诺制作为优化营商环境典型优秀案例报送益阳市政务服务管理局和益阳市优办。全力推进“互联网+政务服务”工作，开通行政审批办理绿色通道，优化工程建设项目市政报装审批流程，强化政务服务窗口作风建设，全年受理办理各类行政许可421件，连续四年获得优秀政务窗口称号。常态化开展服务企业大走访活动，走访服务对象、企业门店等140余处，查摆整改各类问题100余个，</w:t>
      </w:r>
      <w:r>
        <w:rPr>
          <w:rFonts w:hint="eastAsia" w:ascii="仿宋" w:hAnsi="仿宋" w:eastAsia="仿宋" w:cs="仿宋"/>
          <w:b w:val="0"/>
          <w:bCs w:val="0"/>
          <w:spacing w:val="0"/>
          <w:sz w:val="32"/>
          <w:szCs w:val="32"/>
          <w:lang w:val="zh-CN" w:eastAsia="zh-CN"/>
        </w:rPr>
        <w:t>全力推动全市营商环境加速改善。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rPr>
          <w:rFonts w:hint="eastAsia" w:ascii="仿宋" w:hAnsi="仿宋" w:eastAsia="仿宋" w:cs="仿宋"/>
          <w:b w:val="0"/>
          <w:bCs w:val="0"/>
          <w:spacing w:val="0"/>
          <w:kern w:val="2"/>
          <w:sz w:val="32"/>
          <w:szCs w:val="32"/>
          <w:lang w:val="en-US" w:eastAsia="zh-CN" w:bidi="ar-SA"/>
        </w:rPr>
      </w:pPr>
      <w:r>
        <w:rPr>
          <w:rFonts w:hint="eastAsia" w:ascii="仿宋" w:hAnsi="仿宋" w:eastAsia="仿宋" w:cs="仿宋"/>
          <w:b w:val="0"/>
          <w:bCs w:val="0"/>
          <w:spacing w:val="0"/>
          <w:sz w:val="32"/>
          <w:szCs w:val="32"/>
          <w:lang w:val="en-US" w:eastAsia="zh-CN"/>
        </w:rPr>
        <w:t>十是推动“门前三包”信息化管理。利用智慧城管平台，通过“一户一档”“一店一码”，实现在线查询门店产权主体、责任单位等信息，对门店“门前三包”责任履行情况、违规行为等跟踪监管，协助执法大队执法办案，不断提升城市管理科学化、精细化、智能化水平。</w:t>
      </w:r>
      <w:r>
        <w:rPr>
          <w:rFonts w:hint="eastAsia" w:ascii="仿宋" w:hAnsi="仿宋" w:eastAsia="仿宋" w:cs="仿宋"/>
          <w:b w:val="0"/>
          <w:bCs w:val="0"/>
          <w:spacing w:val="0"/>
          <w:kern w:val="2"/>
          <w:sz w:val="32"/>
          <w:szCs w:val="32"/>
          <w:lang w:val="en-US" w:eastAsia="zh-CN" w:bidi="ar-SA"/>
        </w:rPr>
        <w:t>目前已更新“门前三包”责任主体2056家，绑定二维码2056个。系统试运行以来，采集上报事件1134起，形成“门前三包”案件230件，实现“全方位、全流程、智能化”的动态监管。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rPr>
          <w:rFonts w:hint="eastAsia" w:ascii="仿宋" w:hAnsi="仿宋" w:eastAsia="仿宋" w:cs="仿宋"/>
          <w:b w:val="0"/>
          <w:bCs w:val="0"/>
          <w:spacing w:val="0"/>
          <w:kern w:val="2"/>
          <w:sz w:val="32"/>
          <w:szCs w:val="32"/>
          <w:lang w:val="en-US" w:eastAsia="zh-CN" w:bidi="ar-SA"/>
        </w:rPr>
      </w:pPr>
      <w:r>
        <w:rPr>
          <w:rFonts w:hint="eastAsia" w:ascii="仿宋" w:hAnsi="仿宋" w:eastAsia="仿宋" w:cs="仿宋"/>
          <w:b w:val="0"/>
          <w:bCs w:val="0"/>
          <w:spacing w:val="0"/>
          <w:sz w:val="32"/>
          <w:szCs w:val="32"/>
          <w:lang w:val="en-US" w:eastAsia="zh-CN"/>
        </w:rPr>
        <w:t>十一是深化城市生活垃圾分类工作。我市垃圾分类工作已逐步实现市直党政机关、公共机构全覆盖，并列入市政府重点工作、为民办实事项目和绩效考核内容。进一步加强组织领导，各级均成立了以主要负责人为组长的生活垃圾分类领导小组，建立健全生活垃圾分类工作例会制度，市、区、街道、社区四级联动机制和“一日一督查、一月一通报、每季一点评、年度总考核”的督查考评机制。进一步加强宣传引导，全年开展专项宣传106次，发放宣传资料68.8万份、垃圾袋45万个、环保袋4.7万个，签定垃圾分类承诺书21560份，组建社区志愿者队伍28支，开展培训教育294场次，参加培训人数13000余人。进一步加强设施建设，为居民配置分类垃圾桶2793套，公共区域设置垃圾分类亭417个、督导员亭20个，安装更换各类垃圾桶9500余个，</w:t>
      </w:r>
      <w:r>
        <w:rPr>
          <w:rFonts w:hint="eastAsia" w:ascii="仿宋" w:hAnsi="仿宋" w:eastAsia="仿宋" w:cs="仿宋"/>
          <w:b w:val="0"/>
          <w:bCs w:val="0"/>
          <w:spacing w:val="0"/>
          <w:kern w:val="2"/>
          <w:sz w:val="32"/>
          <w:szCs w:val="32"/>
          <w:lang w:val="en-US" w:eastAsia="zh-CN" w:bidi="ar-SA"/>
        </w:rPr>
        <w:t>垃圾分类终端处理设施建设走在全省前列。进一步创新工作方法，人民路社区设置“可回收物”专用小屋开展垃圾分类案例做为益阳典型纳入全省（慧分类V惠潇湘）学习视频，资</w:t>
      </w:r>
      <w:r>
        <w:rPr>
          <w:rFonts w:hint="eastAsia" w:ascii="仿宋" w:hAnsi="仿宋" w:eastAsia="仿宋" w:cs="仿宋"/>
          <w:b w:val="0"/>
          <w:i w:val="0"/>
          <w:caps w:val="0"/>
          <w:spacing w:val="0"/>
          <w:w w:val="100"/>
          <w:sz w:val="32"/>
          <w:szCs w:val="32"/>
          <w:lang w:val="en-US" w:eastAsia="zh-CN"/>
        </w:rPr>
        <w:t>阳区南岳宫社区指纹投放垃圾做法多次被省、市、区媒体宣传推介。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rPr>
          <w:rFonts w:hint="eastAsia" w:ascii="仿宋" w:hAnsi="仿宋" w:eastAsia="仿宋" w:cs="仿宋"/>
          <w:b w:val="0"/>
          <w:bCs w:val="0"/>
          <w:spacing w:val="0"/>
          <w:sz w:val="32"/>
          <w:szCs w:val="32"/>
          <w:lang w:val="en-US" w:eastAsia="zh-CN"/>
        </w:rPr>
      </w:pPr>
      <w:r>
        <w:rPr>
          <w:rFonts w:hint="eastAsia" w:ascii="仿宋" w:hAnsi="仿宋" w:eastAsia="仿宋" w:cs="仿宋"/>
          <w:b w:val="0"/>
          <w:bCs w:val="0"/>
          <w:i w:val="0"/>
          <w:caps w:val="0"/>
          <w:color w:val="000000"/>
          <w:spacing w:val="0"/>
          <w:kern w:val="2"/>
          <w:sz w:val="32"/>
          <w:szCs w:val="32"/>
          <w:u w:val="none"/>
          <w:shd w:val="clear" w:color="auto" w:fill="FFFFFF"/>
          <w:lang w:val="en-US" w:eastAsia="zh-CN" w:bidi="ar-SA"/>
        </w:rPr>
        <w:t>十二是加强城管综合管理服务平台建设。着力加快平台科技升级，增强支撑能力。新增78路视频监控和3路高空瞭望，建成公园、林场、资江风貌带等重要区域视频监控。推进城市管理事（部）件信息视频巡查车AI采集试运行，引进配备热成像装置无人机，投入禁燃禁放、扬尘污染防控、重点区域违建摸底等工作，加强视频监控系统、餐饮油烟监测系统等的应用。通过智能技术手段发现受理禁燃禁放、车辆违停、占道经营、乱堆乱放等问题4488件。做细做实市民对城市管理问题诉求的受理、转办、督查等工作，提升服务品质，全年共受理城市管理事（部）件问题147364件，</w:t>
      </w:r>
      <w:r>
        <w:rPr>
          <w:rFonts w:hint="eastAsia" w:ascii="仿宋" w:hAnsi="仿宋" w:eastAsia="仿宋" w:cs="仿宋"/>
          <w:b w:val="0"/>
          <w:bCs w:val="0"/>
          <w:spacing w:val="0"/>
          <w:sz w:val="32"/>
          <w:szCs w:val="32"/>
          <w:lang w:eastAsia="zh-CN"/>
        </w:rPr>
        <w:t>较</w:t>
      </w:r>
      <w:r>
        <w:rPr>
          <w:rFonts w:hint="eastAsia" w:ascii="仿宋" w:hAnsi="仿宋" w:eastAsia="仿宋" w:cs="仿宋"/>
          <w:b w:val="0"/>
          <w:bCs w:val="0"/>
          <w:spacing w:val="0"/>
          <w:sz w:val="32"/>
          <w:szCs w:val="32"/>
          <w:lang w:val="en-US" w:eastAsia="zh-CN"/>
        </w:rPr>
        <w:t>2020年同比增长31%；</w:t>
      </w:r>
      <w:r>
        <w:rPr>
          <w:rFonts w:hint="eastAsia" w:ascii="仿宋" w:hAnsi="仿宋" w:eastAsia="仿宋" w:cs="仿宋"/>
          <w:b w:val="0"/>
          <w:bCs w:val="0"/>
          <w:spacing w:val="0"/>
          <w:sz w:val="32"/>
          <w:szCs w:val="32"/>
          <w:lang w:eastAsia="zh-CN"/>
        </w:rPr>
        <w:t>处置率</w:t>
      </w:r>
      <w:r>
        <w:rPr>
          <w:rFonts w:hint="eastAsia" w:ascii="仿宋" w:hAnsi="仿宋" w:eastAsia="仿宋" w:cs="仿宋"/>
          <w:b w:val="0"/>
          <w:bCs w:val="0"/>
          <w:spacing w:val="0"/>
          <w:sz w:val="32"/>
          <w:szCs w:val="32"/>
          <w:lang w:val="en-US" w:eastAsia="zh-CN"/>
        </w:rPr>
        <w:t>98.2%，比2020年提高8个百分点。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rPr>
          <w:rFonts w:hint="eastAsia" w:ascii="仿宋" w:hAnsi="仿宋" w:eastAsia="仿宋" w:cs="仿宋"/>
          <w:b w:val="0"/>
          <w:bCs w:val="0"/>
          <w:spacing w:val="0"/>
          <w:sz w:val="32"/>
          <w:szCs w:val="32"/>
          <w:lang w:val="en-US" w:eastAsia="zh-CN"/>
        </w:rPr>
      </w:pPr>
      <w:r>
        <w:rPr>
          <w:rFonts w:hint="eastAsia" w:ascii="仿宋" w:hAnsi="仿宋" w:eastAsia="仿宋" w:cs="仿宋"/>
          <w:b w:val="0"/>
          <w:bCs w:val="0"/>
          <w:i w:val="0"/>
          <w:caps w:val="0"/>
          <w:color w:val="000000"/>
          <w:spacing w:val="0"/>
          <w:kern w:val="2"/>
          <w:sz w:val="32"/>
          <w:szCs w:val="32"/>
          <w:u w:val="none"/>
          <w:shd w:val="clear" w:color="auto" w:fill="FFFFFF"/>
          <w:lang w:val="en-US" w:eastAsia="zh-CN" w:bidi="ar-SA"/>
        </w:rPr>
        <w:t>十三是助力推动绿色低碳出行。着眼优化交通资源配置，鼓励引导市民绿色出行，解决市民“最后一公里”出行难题，起草《益阳市中心城区投放共享电动车的实施方案》，</w:t>
      </w:r>
      <w:r>
        <w:rPr>
          <w:rFonts w:hint="eastAsia" w:ascii="仿宋" w:hAnsi="仿宋" w:eastAsia="仿宋" w:cs="仿宋"/>
          <w:b w:val="0"/>
          <w:bCs w:val="0"/>
          <w:spacing w:val="0"/>
          <w:sz w:val="32"/>
          <w:szCs w:val="32"/>
          <w:lang w:val="en-US" w:eastAsia="zh-CN"/>
        </w:rPr>
        <w:t>引进七七出行、哈啰等5家共享电动车运营企业，投放共享电动车9500辆，丰富市民的出行方式。强力整治共享电动车乱象，针对共享电动车乱停乱放等突出问题，联合市公安局交通警察支队印发《益阳市城区共享电动车运营服务管理考核方案（试行）》，督促各运营企业加大运维管理力度，定期组织对中心城区共享电车运营服务管理检查考核，及时解决市民群众反映难题，共处理相关投诉热线302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rPr>
          <w:rFonts w:hint="eastAsia" w:ascii="仿宋" w:hAnsi="仿宋" w:eastAsia="仿宋" w:cs="仿宋"/>
          <w:b w:val="0"/>
          <w:bCs w:val="0"/>
          <w:spacing w:val="0"/>
          <w:sz w:val="32"/>
          <w:szCs w:val="32"/>
          <w:lang w:eastAsia="zh-CN"/>
        </w:rPr>
      </w:pPr>
      <w:r>
        <w:rPr>
          <w:rFonts w:hint="eastAsia" w:ascii="仿宋" w:hAnsi="仿宋" w:eastAsia="仿宋" w:cs="仿宋"/>
          <w:b w:val="0"/>
          <w:bCs w:val="0"/>
          <w:spacing w:val="0"/>
          <w:sz w:val="32"/>
          <w:szCs w:val="32"/>
          <w:lang w:val="en-US" w:eastAsia="zh-CN"/>
        </w:rPr>
        <w:t>十四是</w:t>
      </w:r>
      <w:r>
        <w:rPr>
          <w:rFonts w:hint="eastAsia" w:ascii="仿宋" w:hAnsi="仿宋" w:eastAsia="仿宋" w:cs="仿宋"/>
          <w:b w:val="0"/>
          <w:bCs w:val="0"/>
          <w:spacing w:val="0"/>
          <w:sz w:val="32"/>
          <w:szCs w:val="32"/>
        </w:rPr>
        <w:t>推进中心城区养犬</w:t>
      </w:r>
      <w:r>
        <w:rPr>
          <w:rFonts w:hint="eastAsia" w:ascii="仿宋" w:hAnsi="仿宋" w:eastAsia="仿宋" w:cs="仿宋"/>
          <w:b w:val="0"/>
          <w:bCs w:val="0"/>
          <w:spacing w:val="0"/>
          <w:sz w:val="32"/>
          <w:szCs w:val="32"/>
          <w:lang w:eastAsia="zh-CN"/>
        </w:rPr>
        <w:t>办证</w:t>
      </w:r>
      <w:r>
        <w:rPr>
          <w:rFonts w:hint="eastAsia" w:ascii="仿宋" w:hAnsi="仿宋" w:eastAsia="仿宋" w:cs="仿宋"/>
          <w:b w:val="0"/>
          <w:bCs w:val="0"/>
          <w:spacing w:val="0"/>
          <w:sz w:val="32"/>
          <w:szCs w:val="32"/>
          <w:lang w:val="en-US" w:eastAsia="zh-CN"/>
        </w:rPr>
        <w:t>工作</w:t>
      </w:r>
      <w:r>
        <w:rPr>
          <w:rFonts w:hint="eastAsia" w:ascii="仿宋" w:hAnsi="仿宋" w:eastAsia="仿宋" w:cs="仿宋"/>
          <w:b w:val="0"/>
          <w:bCs w:val="0"/>
          <w:spacing w:val="0"/>
          <w:sz w:val="32"/>
          <w:szCs w:val="32"/>
        </w:rPr>
        <w:t>。</w:t>
      </w:r>
      <w:r>
        <w:rPr>
          <w:rFonts w:hint="eastAsia" w:ascii="仿宋" w:hAnsi="仿宋" w:eastAsia="仿宋" w:cs="仿宋"/>
          <w:b w:val="0"/>
          <w:bCs w:val="0"/>
          <w:spacing w:val="0"/>
          <w:sz w:val="32"/>
          <w:szCs w:val="32"/>
          <w:lang w:eastAsia="zh-CN"/>
        </w:rPr>
        <w:t>进一步</w:t>
      </w:r>
      <w:r>
        <w:rPr>
          <w:rFonts w:hint="eastAsia" w:ascii="仿宋" w:hAnsi="仿宋" w:eastAsia="仿宋" w:cs="仿宋"/>
          <w:b w:val="0"/>
          <w:bCs w:val="0"/>
          <w:spacing w:val="0"/>
          <w:sz w:val="32"/>
          <w:szCs w:val="32"/>
        </w:rPr>
        <w:t>强化市民文明养犬意识，规范文明养犬行为，切实维护社会公共秩序和市容环境卫生</w:t>
      </w:r>
      <w:r>
        <w:rPr>
          <w:rFonts w:hint="eastAsia" w:ascii="仿宋" w:hAnsi="仿宋" w:eastAsia="仿宋" w:cs="仿宋"/>
          <w:b w:val="0"/>
          <w:bCs w:val="0"/>
          <w:spacing w:val="0"/>
          <w:sz w:val="32"/>
          <w:szCs w:val="32"/>
          <w:lang w:eastAsia="zh-CN"/>
        </w:rPr>
        <w:t>。积极</w:t>
      </w:r>
      <w:r>
        <w:rPr>
          <w:rFonts w:hint="eastAsia" w:ascii="仿宋" w:hAnsi="仿宋" w:eastAsia="仿宋" w:cs="仿宋"/>
          <w:b w:val="0"/>
          <w:bCs w:val="0"/>
          <w:spacing w:val="0"/>
          <w:sz w:val="32"/>
          <w:szCs w:val="32"/>
        </w:rPr>
        <w:t>联合相关部门，在加强宣传引导基础上，深入开展“不文明养犬专项整治”工作，</w:t>
      </w:r>
      <w:r>
        <w:rPr>
          <w:rFonts w:hint="eastAsia" w:ascii="仿宋" w:hAnsi="仿宋" w:eastAsia="仿宋" w:cs="仿宋"/>
          <w:b w:val="0"/>
          <w:bCs w:val="0"/>
          <w:spacing w:val="0"/>
          <w:sz w:val="32"/>
          <w:szCs w:val="32"/>
          <w:lang w:eastAsia="zh-CN"/>
        </w:rPr>
        <w:t>对</w:t>
      </w:r>
      <w:r>
        <w:rPr>
          <w:rFonts w:hint="eastAsia" w:ascii="仿宋" w:hAnsi="仿宋" w:eastAsia="仿宋" w:cs="仿宋"/>
          <w:b w:val="0"/>
          <w:bCs w:val="0"/>
          <w:spacing w:val="0"/>
          <w:sz w:val="32"/>
          <w:szCs w:val="32"/>
        </w:rPr>
        <w:t>辖区内公共区域及居民小区内养犬不登记、违规饲养大型犬、犬只扰民等不文明行为</w:t>
      </w:r>
      <w:r>
        <w:rPr>
          <w:rFonts w:hint="eastAsia" w:ascii="仿宋" w:hAnsi="仿宋" w:eastAsia="仿宋" w:cs="仿宋"/>
          <w:b w:val="0"/>
          <w:bCs w:val="0"/>
          <w:spacing w:val="0"/>
          <w:sz w:val="32"/>
          <w:szCs w:val="32"/>
          <w:lang w:eastAsia="zh-CN"/>
        </w:rPr>
        <w:t>严格依法依规处理。加强流浪犬整治工作，对</w:t>
      </w:r>
      <w:r>
        <w:rPr>
          <w:rFonts w:hint="eastAsia" w:ascii="仿宋" w:hAnsi="仿宋" w:eastAsia="仿宋" w:cs="仿宋"/>
          <w:b w:val="0"/>
          <w:bCs w:val="0"/>
          <w:spacing w:val="0"/>
          <w:sz w:val="32"/>
          <w:szCs w:val="32"/>
        </w:rPr>
        <w:t>群众反映强烈的居民小区、公园（广场）、学校周边等流浪犬比较集中的区域加大巡查整治力度</w:t>
      </w:r>
      <w:r>
        <w:rPr>
          <w:rFonts w:hint="eastAsia" w:ascii="仿宋" w:hAnsi="仿宋" w:eastAsia="仿宋" w:cs="仿宋"/>
          <w:b w:val="0"/>
          <w:bCs w:val="0"/>
          <w:spacing w:val="0"/>
          <w:sz w:val="32"/>
          <w:szCs w:val="32"/>
          <w:lang w:eastAsia="zh-CN"/>
        </w:rPr>
        <w:t>，</w:t>
      </w:r>
      <w:r>
        <w:rPr>
          <w:rFonts w:hint="eastAsia" w:ascii="仿宋" w:hAnsi="仿宋" w:eastAsia="仿宋" w:cs="仿宋"/>
          <w:b w:val="0"/>
          <w:bCs w:val="0"/>
          <w:spacing w:val="0"/>
          <w:sz w:val="32"/>
          <w:szCs w:val="32"/>
        </w:rPr>
        <w:t>最大限度遏制流浪犬蔓延趋势，较好地防范了流浪犬扰民、伤人等安全隐患</w:t>
      </w:r>
      <w:r>
        <w:rPr>
          <w:rFonts w:hint="eastAsia" w:ascii="仿宋" w:hAnsi="仿宋" w:eastAsia="仿宋" w:cs="仿宋"/>
          <w:b w:val="0"/>
          <w:bCs w:val="0"/>
          <w:spacing w:val="0"/>
          <w:sz w:val="32"/>
          <w:szCs w:val="32"/>
          <w:lang w:eastAsia="zh-CN"/>
        </w:rPr>
        <w:t>。持续</w:t>
      </w:r>
      <w:r>
        <w:rPr>
          <w:rFonts w:hint="eastAsia" w:ascii="仿宋" w:hAnsi="仿宋" w:eastAsia="仿宋" w:cs="仿宋"/>
          <w:b w:val="0"/>
          <w:bCs w:val="0"/>
          <w:spacing w:val="0"/>
          <w:sz w:val="32"/>
          <w:szCs w:val="32"/>
        </w:rPr>
        <w:t>推进城区犬证办理工作，截</w:t>
      </w:r>
      <w:r>
        <w:rPr>
          <w:rFonts w:hint="eastAsia" w:ascii="仿宋" w:hAnsi="仿宋" w:eastAsia="仿宋" w:cs="仿宋"/>
          <w:b w:val="0"/>
          <w:bCs w:val="0"/>
          <w:spacing w:val="0"/>
          <w:sz w:val="32"/>
          <w:szCs w:val="32"/>
          <w:lang w:eastAsia="zh-CN"/>
        </w:rPr>
        <w:t>至</w:t>
      </w:r>
      <w:r>
        <w:rPr>
          <w:rFonts w:hint="eastAsia" w:ascii="仿宋" w:hAnsi="仿宋" w:eastAsia="仿宋" w:cs="仿宋"/>
          <w:b w:val="0"/>
          <w:bCs w:val="0"/>
          <w:spacing w:val="0"/>
          <w:sz w:val="32"/>
          <w:szCs w:val="32"/>
        </w:rPr>
        <w:t>目前，共申请4011只，审核通过3970只，领牌3708只</w:t>
      </w:r>
      <w:r>
        <w:rPr>
          <w:rFonts w:hint="eastAsia" w:ascii="仿宋" w:hAnsi="仿宋" w:eastAsia="仿宋" w:cs="仿宋"/>
          <w:b w:val="0"/>
          <w:bCs w:val="0"/>
          <w:spacing w:val="0"/>
          <w:sz w:val="32"/>
          <w:szCs w:val="32"/>
          <w:lang w:eastAsia="zh-CN"/>
        </w:rPr>
        <w:t>，</w:t>
      </w:r>
      <w:r>
        <w:rPr>
          <w:rFonts w:hint="eastAsia" w:ascii="仿宋" w:hAnsi="仿宋" w:eastAsia="仿宋" w:cs="仿宋"/>
          <w:b w:val="0"/>
          <w:bCs w:val="0"/>
          <w:spacing w:val="0"/>
          <w:sz w:val="32"/>
          <w:szCs w:val="32"/>
          <w:lang w:val="en-US" w:eastAsia="zh-CN"/>
        </w:rPr>
        <w:t>是2020年的14倍。</w:t>
      </w:r>
    </w:p>
    <w:p>
      <w:pPr>
        <w:keepNext w:val="0"/>
        <w:keepLines w:val="0"/>
        <w:pageBreakBefore w:val="0"/>
        <w:widowControl/>
        <w:shd w:val="clear" w:color="auto" w:fill="FFFFFF"/>
        <w:kinsoku/>
        <w:wordWrap/>
        <w:overflowPunct/>
        <w:topLinePunct w:val="0"/>
        <w:autoSpaceDE/>
        <w:autoSpaceDN/>
        <w:bidi w:val="0"/>
        <w:adjustRightInd/>
        <w:snapToGrid/>
        <w:spacing w:line="600" w:lineRule="exact"/>
        <w:ind w:right="0" w:firstLine="640" w:firstLineChars="200"/>
        <w:jc w:val="left"/>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七、存在的问题及原因分析</w:t>
      </w:r>
    </w:p>
    <w:p>
      <w:pPr>
        <w:keepNext w:val="0"/>
        <w:keepLines w:val="0"/>
        <w:pageBreakBefore w:val="0"/>
        <w:widowControl/>
        <w:shd w:val="clear" w:color="auto" w:fill="FFFFFF"/>
        <w:kinsoku/>
        <w:wordWrap/>
        <w:overflowPunct/>
        <w:topLinePunct w:val="0"/>
        <w:autoSpaceDE/>
        <w:autoSpaceDN/>
        <w:bidi w:val="0"/>
        <w:adjustRightInd/>
        <w:snapToGrid/>
        <w:spacing w:line="600" w:lineRule="exact"/>
        <w:ind w:right="0" w:firstLine="640" w:firstLineChars="200"/>
        <w:jc w:val="left"/>
        <w:textAlignment w:val="auto"/>
        <w:rPr>
          <w:rFonts w:hint="default" w:ascii="方正仿宋简体" w:hAnsi="方正仿宋简体" w:eastAsia="方正仿宋简体" w:cs="方正仿宋简体"/>
          <w:b w:val="0"/>
          <w:bCs w:val="0"/>
          <w:sz w:val="32"/>
          <w:szCs w:val="32"/>
          <w:lang w:val="en-US" w:eastAsia="zh-CN"/>
        </w:rPr>
      </w:pPr>
      <w:r>
        <w:rPr>
          <w:rFonts w:hint="eastAsia" w:ascii="方正仿宋简体" w:hAnsi="方正仿宋简体" w:eastAsia="方正仿宋简体" w:cs="方正仿宋简体"/>
          <w:b w:val="0"/>
          <w:bCs w:val="0"/>
          <w:sz w:val="32"/>
          <w:szCs w:val="32"/>
          <w:lang w:eastAsia="zh-CN"/>
        </w:rPr>
        <w:t>预算编制准确性仍需加强。</w:t>
      </w:r>
      <w:r>
        <w:rPr>
          <w:rFonts w:hint="eastAsia" w:ascii="方正仿宋简体" w:hAnsi="方正仿宋简体" w:eastAsia="方正仿宋简体" w:cs="方正仿宋简体"/>
          <w:b w:val="0"/>
          <w:bCs w:val="0"/>
          <w:sz w:val="32"/>
          <w:szCs w:val="32"/>
          <w:lang w:val="en-US" w:eastAsia="zh-CN"/>
        </w:rPr>
        <w:t xml:space="preserve">预算调整率较高的主要原因一是城市维护资金计划单独编制，未在年初部门预算系统体现；二是综治奖励、绩效奖励和增人增资等未纳入年初预算范围，影响了整体预算编制的准确率。    </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600" w:lineRule="exact"/>
        <w:ind w:leftChars="400" w:right="0" w:rightChars="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八、下一步的改进措施</w:t>
      </w:r>
    </w:p>
    <w:p>
      <w:pPr>
        <w:keepNext w:val="0"/>
        <w:keepLines w:val="0"/>
        <w:pageBreakBefore w:val="0"/>
        <w:widowControl/>
        <w:numPr>
          <w:ilvl w:val="0"/>
          <w:numId w:val="4"/>
        </w:numPr>
        <w:shd w:val="clear" w:color="auto" w:fill="FFFFFF"/>
        <w:kinsoku/>
        <w:wordWrap/>
        <w:overflowPunct/>
        <w:topLinePunct w:val="0"/>
        <w:autoSpaceDE/>
        <w:autoSpaceDN/>
        <w:bidi w:val="0"/>
        <w:adjustRightInd/>
        <w:snapToGrid/>
        <w:spacing w:line="600" w:lineRule="exact"/>
        <w:ind w:left="0" w:leftChars="0" w:right="0" w:firstLine="641" w:firstLineChars="0"/>
        <w:jc w:val="left"/>
        <w:textAlignment w:val="auto"/>
        <w:rPr>
          <w:rFonts w:hint="eastAsia" w:ascii="方正仿宋简体" w:hAnsi="方正仿宋简体" w:eastAsia="方正仿宋简体" w:cs="方正仿宋简体"/>
          <w:b w:val="0"/>
          <w:bCs w:val="0"/>
          <w:sz w:val="32"/>
          <w:szCs w:val="32"/>
          <w:lang w:eastAsia="zh-CN"/>
        </w:rPr>
      </w:pPr>
      <w:r>
        <w:rPr>
          <w:rFonts w:hint="eastAsia" w:ascii="方正仿宋简体" w:hAnsi="方正仿宋简体" w:eastAsia="方正仿宋简体" w:cs="方正仿宋简体"/>
          <w:b w:val="0"/>
          <w:bCs w:val="0"/>
          <w:sz w:val="32"/>
          <w:szCs w:val="32"/>
          <w:lang w:eastAsia="zh-CN"/>
        </w:rPr>
        <w:t>严格预算管理，增强预算控制意识。加强预算编制的前瞻性，按照新《预算法》及其实施条例的相关规定，结合上一年度预算执行情况和本年度预算收支变化因素，科学、合理地编制本年预算草案。严格按照预算使用资金，在执行中确需调剂预算的，按规定程序报经批准。</w:t>
      </w:r>
    </w:p>
    <w:p>
      <w:pPr>
        <w:keepNext w:val="0"/>
        <w:keepLines w:val="0"/>
        <w:pageBreakBefore w:val="0"/>
        <w:widowControl/>
        <w:shd w:val="clear" w:color="auto" w:fill="FFFFFF"/>
        <w:kinsoku/>
        <w:wordWrap/>
        <w:overflowPunct/>
        <w:topLinePunct w:val="0"/>
        <w:autoSpaceDE/>
        <w:autoSpaceDN/>
        <w:bidi w:val="0"/>
        <w:adjustRightInd/>
        <w:snapToGrid/>
        <w:spacing w:line="600" w:lineRule="exact"/>
        <w:ind w:right="0" w:firstLine="640" w:firstLineChars="200"/>
        <w:jc w:val="left"/>
        <w:textAlignment w:val="auto"/>
        <w:rPr>
          <w:rFonts w:hint="eastAsia" w:ascii="方正仿宋简体" w:hAnsi="方正仿宋简体" w:eastAsia="方正仿宋简体" w:cs="方正仿宋简体"/>
          <w:b w:val="0"/>
          <w:bCs w:val="0"/>
          <w:sz w:val="32"/>
          <w:szCs w:val="32"/>
          <w:lang w:eastAsia="zh-CN"/>
        </w:rPr>
      </w:pPr>
      <w:r>
        <w:rPr>
          <w:rFonts w:hint="eastAsia" w:ascii="方正仿宋简体" w:hAnsi="方正仿宋简体" w:eastAsia="方正仿宋简体" w:cs="方正仿宋简体"/>
          <w:b w:val="0"/>
          <w:bCs w:val="0"/>
          <w:sz w:val="32"/>
          <w:szCs w:val="32"/>
          <w:lang w:eastAsia="zh-CN"/>
        </w:rPr>
        <w:t>（二）加强预算学习培训，加强内部管理控制。加强新《预算法》的学习培训，提高对预算编制和绩效管理的工作水平，增强预算的约束力和严肃性。同时根据工作实际，不断完善内部控制制度，确保部门预算和相关制度有效执行。</w:t>
      </w:r>
    </w:p>
    <w:p>
      <w:pPr>
        <w:keepNext w:val="0"/>
        <w:keepLines w:val="0"/>
        <w:pageBreakBefore w:val="0"/>
        <w:widowControl/>
        <w:numPr>
          <w:numId w:val="0"/>
        </w:numPr>
        <w:shd w:val="clear" w:color="auto" w:fill="FFFFFF"/>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 w:hAnsi="仿宋" w:eastAsia="仿宋" w:cs="仿宋"/>
          <w:i w:val="0"/>
          <w:caps w:val="0"/>
          <w:color w:val="000000"/>
          <w:spacing w:val="0"/>
          <w:sz w:val="32"/>
          <w:szCs w:val="32"/>
          <w:shd w:val="clear" w:fill="FFFFFF"/>
          <w:lang w:eastAsia="zh-CN"/>
        </w:rPr>
      </w:pPr>
      <w:r>
        <w:rPr>
          <w:rFonts w:hint="eastAsia" w:ascii="方正仿宋简体" w:hAnsi="方正仿宋简体" w:eastAsia="方正仿宋简体" w:cs="方正仿宋简体"/>
          <w:b w:val="0"/>
          <w:bCs w:val="0"/>
          <w:sz w:val="32"/>
          <w:szCs w:val="32"/>
          <w:lang w:eastAsia="zh-CN"/>
        </w:rPr>
        <w:t>（三）严格财务审核，完善财务管理制度。</w:t>
      </w:r>
      <w:r>
        <w:rPr>
          <w:rFonts w:ascii="仿宋" w:hAnsi="仿宋" w:eastAsia="仿宋" w:cs="仿宋"/>
          <w:i w:val="0"/>
          <w:caps w:val="0"/>
          <w:color w:val="000000"/>
          <w:spacing w:val="0"/>
          <w:sz w:val="32"/>
          <w:szCs w:val="32"/>
          <w:shd w:val="clear" w:fill="FFFFFF"/>
        </w:rPr>
        <w:t>严格费用报账审核，在预算金额内严格控制费用的支出，控制超支现象的发生</w:t>
      </w:r>
      <w:r>
        <w:rPr>
          <w:rFonts w:hint="eastAsia" w:ascii="仿宋" w:hAnsi="仿宋" w:eastAsia="仿宋" w:cs="仿宋"/>
          <w:i w:val="0"/>
          <w:caps w:val="0"/>
          <w:color w:val="000000"/>
          <w:spacing w:val="0"/>
          <w:sz w:val="32"/>
          <w:szCs w:val="32"/>
          <w:shd w:val="clear" w:fill="FFFFFF"/>
          <w:lang w:eastAsia="zh-CN"/>
        </w:rPr>
        <w:t>。盘活存量资金，统筹使用各项资金，提高预算执行率。进一步完善财务管理制度，加强资金支出管理、资产管理、政府采购等财务管理。</w:t>
      </w:r>
    </w:p>
    <w:p>
      <w:pPr>
        <w:keepNext w:val="0"/>
        <w:keepLines w:val="0"/>
        <w:pageBreakBefore w:val="0"/>
        <w:widowControl/>
        <w:numPr>
          <w:ilvl w:val="0"/>
          <w:numId w:val="5"/>
        </w:numPr>
        <w:shd w:val="clear" w:color="auto" w:fill="FFFFFF"/>
        <w:kinsoku/>
        <w:wordWrap/>
        <w:overflowPunct/>
        <w:topLinePunct w:val="0"/>
        <w:autoSpaceDE/>
        <w:autoSpaceDN/>
        <w:bidi w:val="0"/>
        <w:adjustRightInd/>
        <w:snapToGrid/>
        <w:spacing w:line="600" w:lineRule="exact"/>
        <w:ind w:right="0"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部门整体支出绩效自评结果拟应用和公开情况</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600" w:lineRule="exact"/>
        <w:ind w:leftChars="0" w:right="0" w:rightChars="0" w:firstLine="640" w:firstLineChars="200"/>
        <w:jc w:val="left"/>
        <w:textAlignment w:val="auto"/>
        <w:rPr>
          <w:rFonts w:hint="eastAsia" w:ascii="仿宋" w:hAnsi="仿宋" w:eastAsia="仿宋" w:cs="仿宋"/>
          <w:i w:val="0"/>
          <w:caps w:val="0"/>
          <w:color w:val="000000"/>
          <w:spacing w:val="0"/>
          <w:sz w:val="32"/>
          <w:szCs w:val="32"/>
          <w:shd w:val="clear" w:fill="FFFFFF"/>
          <w:lang w:val="en-US" w:eastAsia="zh-CN"/>
        </w:rPr>
      </w:pPr>
      <w:r>
        <w:rPr>
          <w:rFonts w:hint="eastAsia" w:ascii="仿宋" w:hAnsi="仿宋" w:eastAsia="仿宋" w:cs="仿宋"/>
          <w:i w:val="0"/>
          <w:caps w:val="0"/>
          <w:color w:val="000000"/>
          <w:spacing w:val="0"/>
          <w:sz w:val="32"/>
          <w:szCs w:val="32"/>
          <w:shd w:val="clear" w:fill="FFFFFF"/>
          <w:lang w:val="en-US" w:eastAsia="zh-CN"/>
        </w:rPr>
        <w:t>本单位部门整体支出绩效自评结果将在益阳市城市管理和综合执法局门户网公开。</w:t>
      </w:r>
    </w:p>
    <w:p>
      <w:pPr>
        <w:pStyle w:val="2"/>
        <w:rPr>
          <w:rFonts w:hint="eastAsia"/>
          <w:lang w:val="en-US" w:eastAsia="zh-CN"/>
        </w:rPr>
      </w:pP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600" w:lineRule="exact"/>
        <w:ind w:leftChars="0" w:right="0" w:rightChars="0" w:firstLine="640" w:firstLineChars="200"/>
        <w:jc w:val="left"/>
        <w:textAlignment w:val="auto"/>
        <w:rPr>
          <w:rFonts w:hint="eastAsia" w:ascii="仿宋" w:hAnsi="仿宋" w:eastAsia="仿宋" w:cs="仿宋"/>
          <w:i w:val="0"/>
          <w:caps w:val="0"/>
          <w:color w:val="000000"/>
          <w:spacing w:val="0"/>
          <w:sz w:val="32"/>
          <w:szCs w:val="32"/>
          <w:shd w:val="clear" w:fill="FFFFFF"/>
          <w:lang w:val="en-US" w:eastAsia="zh-CN"/>
        </w:rPr>
      </w:pPr>
      <w:r>
        <w:rPr>
          <w:rFonts w:hint="eastAsia" w:ascii="仿宋" w:hAnsi="仿宋" w:eastAsia="仿宋" w:cs="仿宋"/>
          <w:i w:val="0"/>
          <w:caps w:val="0"/>
          <w:color w:val="000000"/>
          <w:spacing w:val="0"/>
          <w:sz w:val="32"/>
          <w:szCs w:val="32"/>
          <w:shd w:val="clear" w:fill="FFFFFF"/>
          <w:lang w:val="en-US" w:eastAsia="zh-CN"/>
        </w:rPr>
        <w:t>附件1.2021年度部门整体支出绩效评价基础数据表</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600" w:lineRule="exact"/>
        <w:ind w:leftChars="0" w:right="0" w:rightChars="0" w:firstLine="640" w:firstLineChars="200"/>
        <w:jc w:val="left"/>
        <w:textAlignment w:val="auto"/>
        <w:rPr>
          <w:rFonts w:hint="default" w:ascii="仿宋" w:hAnsi="仿宋" w:eastAsia="仿宋" w:cs="仿宋"/>
          <w:i w:val="0"/>
          <w:caps w:val="0"/>
          <w:color w:val="000000"/>
          <w:spacing w:val="0"/>
          <w:sz w:val="32"/>
          <w:szCs w:val="32"/>
          <w:shd w:val="clear" w:fill="FFFFFF"/>
          <w:lang w:val="en-US" w:eastAsia="zh-CN"/>
        </w:rPr>
      </w:pPr>
      <w:r>
        <w:rPr>
          <w:rFonts w:hint="eastAsia" w:ascii="仿宋" w:hAnsi="仿宋" w:eastAsia="仿宋" w:cs="仿宋"/>
          <w:i w:val="0"/>
          <w:caps w:val="0"/>
          <w:color w:val="000000"/>
          <w:spacing w:val="0"/>
          <w:sz w:val="32"/>
          <w:szCs w:val="32"/>
          <w:shd w:val="clear" w:fill="FFFFFF"/>
          <w:lang w:val="en-US" w:eastAsia="zh-CN"/>
        </w:rPr>
        <w:t>附件2.2021年度部门整体支出绩效自评表</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600" w:lineRule="exact"/>
        <w:ind w:left="740" w:leftChars="0" w:right="0" w:rightChars="0"/>
        <w:jc w:val="left"/>
        <w:textAlignment w:val="auto"/>
        <w:rPr>
          <w:rFonts w:hint="default" w:ascii="仿宋" w:hAnsi="仿宋" w:eastAsia="仿宋" w:cs="仿宋"/>
          <w:i w:val="0"/>
          <w:caps w:val="0"/>
          <w:color w:val="000000"/>
          <w:spacing w:val="0"/>
          <w:sz w:val="32"/>
          <w:szCs w:val="32"/>
          <w:shd w:val="clear" w:fill="FFFFFF"/>
          <w:lang w:val="en-US" w:eastAsia="zh-CN"/>
        </w:rPr>
      </w:pP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600" w:lineRule="exact"/>
        <w:ind w:right="0" w:rightChars="0"/>
        <w:jc w:val="right"/>
        <w:textAlignment w:val="auto"/>
        <w:rPr>
          <w:rFonts w:hint="eastAsia" w:ascii="仿宋" w:hAnsi="仿宋" w:eastAsia="仿宋" w:cs="仿宋"/>
          <w:i w:val="0"/>
          <w:caps w:val="0"/>
          <w:color w:val="000000"/>
          <w:spacing w:val="0"/>
          <w:sz w:val="32"/>
          <w:szCs w:val="32"/>
          <w:shd w:val="clear" w:fill="FFFFFF"/>
          <w:lang w:val="en-US" w:eastAsia="zh-CN"/>
        </w:rPr>
      </w:pPr>
      <w:r>
        <w:rPr>
          <w:rFonts w:hint="eastAsia" w:ascii="仿宋" w:hAnsi="仿宋" w:eastAsia="仿宋" w:cs="仿宋"/>
          <w:i w:val="0"/>
          <w:caps w:val="0"/>
          <w:color w:val="000000"/>
          <w:spacing w:val="0"/>
          <w:sz w:val="32"/>
          <w:szCs w:val="32"/>
          <w:shd w:val="clear" w:fill="FFFFFF"/>
          <w:lang w:val="en-US" w:eastAsia="zh-CN"/>
        </w:rPr>
        <w:t>益阳市城市管理和综合执法局</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600" w:lineRule="exact"/>
        <w:ind w:right="0" w:rightChars="0"/>
        <w:jc w:val="center"/>
        <w:textAlignment w:val="auto"/>
        <w:rPr>
          <w:rFonts w:hint="eastAsia" w:ascii="方正仿宋简体" w:hAnsi="方正仿宋简体" w:eastAsia="方正仿宋简体" w:cs="方正仿宋简体"/>
          <w:b w:val="0"/>
          <w:bCs w:val="0"/>
          <w:sz w:val="32"/>
          <w:szCs w:val="32"/>
          <w:lang w:val="en-US" w:eastAsia="zh-CN"/>
        </w:rPr>
      </w:pPr>
      <w:r>
        <w:rPr>
          <w:rFonts w:hint="eastAsia" w:ascii="仿宋" w:hAnsi="仿宋" w:eastAsia="仿宋" w:cs="仿宋"/>
          <w:i w:val="0"/>
          <w:caps w:val="0"/>
          <w:color w:val="000000"/>
          <w:spacing w:val="0"/>
          <w:sz w:val="32"/>
          <w:szCs w:val="32"/>
          <w:shd w:val="clear" w:fill="FFFFFF"/>
          <w:lang w:val="en-US" w:eastAsia="zh-CN"/>
        </w:rPr>
        <w:t xml:space="preserve">                          2022年4月18日</w:t>
      </w:r>
    </w:p>
    <w:p>
      <w:pPr>
        <w:keepNext w:val="0"/>
        <w:keepLines w:val="0"/>
        <w:pageBreakBefore w:val="0"/>
        <w:widowControl/>
        <w:shd w:val="clear" w:color="auto" w:fill="FFFFFF"/>
        <w:kinsoku/>
        <w:wordWrap/>
        <w:overflowPunct/>
        <w:topLinePunct w:val="0"/>
        <w:autoSpaceDE/>
        <w:autoSpaceDN/>
        <w:bidi w:val="0"/>
        <w:adjustRightInd/>
        <w:snapToGrid/>
        <w:spacing w:line="600" w:lineRule="exact"/>
        <w:ind w:right="0" w:firstLine="640" w:firstLineChars="200"/>
        <w:jc w:val="left"/>
        <w:textAlignment w:val="auto"/>
        <w:rPr>
          <w:rFonts w:hint="eastAsia" w:ascii="方正仿宋简体" w:hAnsi="方正仿宋简体" w:eastAsia="方正仿宋简体" w:cs="方正仿宋简体"/>
          <w:b w:val="0"/>
          <w:bCs w:val="0"/>
          <w:sz w:val="32"/>
          <w:szCs w:val="32"/>
          <w:lang w:val="en-US" w:eastAsia="zh-CN"/>
        </w:rPr>
      </w:pPr>
      <w:r>
        <w:rPr>
          <w:rFonts w:hint="eastAsia" w:ascii="方正仿宋简体" w:hAnsi="方正仿宋简体" w:eastAsia="方正仿宋简体" w:cs="方正仿宋简体"/>
          <w:b w:val="0"/>
          <w:bCs w:val="0"/>
          <w:sz w:val="32"/>
          <w:szCs w:val="32"/>
          <w:lang w:val="en-US" w:eastAsia="zh-CN"/>
        </w:rPr>
        <w:t xml:space="preserve">    </w:t>
      </w:r>
    </w:p>
    <w:p>
      <w:pPr>
        <w:keepNext w:val="0"/>
        <w:keepLines w:val="0"/>
        <w:pageBreakBefore w:val="0"/>
        <w:widowControl/>
        <w:shd w:val="clear" w:color="auto" w:fill="FFFFFF"/>
        <w:kinsoku/>
        <w:wordWrap/>
        <w:overflowPunct/>
        <w:topLinePunct w:val="0"/>
        <w:autoSpaceDE/>
        <w:autoSpaceDN/>
        <w:bidi w:val="0"/>
        <w:adjustRightInd/>
        <w:snapToGrid/>
        <w:spacing w:line="600" w:lineRule="exact"/>
        <w:ind w:right="0" w:firstLine="640" w:firstLineChars="200"/>
        <w:jc w:val="left"/>
        <w:textAlignment w:val="auto"/>
        <w:rPr>
          <w:rFonts w:hint="eastAsia" w:ascii="方正仿宋简体" w:hAnsi="方正仿宋简体" w:eastAsia="方正仿宋简体" w:cs="方正仿宋简体"/>
          <w:b w:val="0"/>
          <w:bCs w:val="0"/>
          <w:sz w:val="32"/>
          <w:szCs w:val="32"/>
          <w:lang w:val="en-US" w:eastAsia="zh-CN"/>
        </w:rPr>
      </w:pPr>
    </w:p>
    <w:p>
      <w:pPr>
        <w:pStyle w:val="2"/>
        <w:rPr>
          <w:rFonts w:hint="default"/>
          <w:lang w:val="en-US" w:eastAsia="zh-CN"/>
        </w:rPr>
      </w:pPr>
      <w:r>
        <w:rPr>
          <w:rFonts w:hint="eastAsia" w:ascii="方正仿宋简体" w:hAnsi="方正仿宋简体" w:eastAsia="方正仿宋简体" w:cs="方正仿宋简体"/>
          <w:b w:val="0"/>
          <w:bCs w:val="0"/>
          <w:sz w:val="32"/>
          <w:szCs w:val="32"/>
          <w:lang w:val="en-US" w:eastAsia="zh-CN"/>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简体">
    <w:panose1 w:val="02010601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27BC1A"/>
    <w:multiLevelType w:val="singleLevel"/>
    <w:tmpl w:val="8227BC1A"/>
    <w:lvl w:ilvl="0" w:tentative="0">
      <w:start w:val="9"/>
      <w:numFmt w:val="chineseCounting"/>
      <w:suff w:val="nothing"/>
      <w:lvlText w:val="%1、"/>
      <w:lvlJc w:val="left"/>
      <w:rPr>
        <w:rFonts w:hint="eastAsia"/>
      </w:rPr>
    </w:lvl>
  </w:abstractNum>
  <w:abstractNum w:abstractNumId="1">
    <w:nsid w:val="AC26CA07"/>
    <w:multiLevelType w:val="singleLevel"/>
    <w:tmpl w:val="AC26CA07"/>
    <w:lvl w:ilvl="0" w:tentative="0">
      <w:start w:val="1"/>
      <w:numFmt w:val="chineseCounting"/>
      <w:suff w:val="nothing"/>
      <w:lvlText w:val="（%1）"/>
      <w:lvlJc w:val="left"/>
      <w:pPr>
        <w:ind w:left="200"/>
      </w:pPr>
      <w:rPr>
        <w:rFonts w:hint="eastAsia"/>
      </w:rPr>
    </w:lvl>
  </w:abstractNum>
  <w:abstractNum w:abstractNumId="2">
    <w:nsid w:val="B6841CBA"/>
    <w:multiLevelType w:val="singleLevel"/>
    <w:tmpl w:val="B6841CBA"/>
    <w:lvl w:ilvl="0" w:tentative="0">
      <w:start w:val="1"/>
      <w:numFmt w:val="chineseCounting"/>
      <w:suff w:val="nothing"/>
      <w:lvlText w:val="（%1）"/>
      <w:lvlJc w:val="left"/>
      <w:rPr>
        <w:rFonts w:hint="eastAsia"/>
      </w:rPr>
    </w:lvl>
  </w:abstractNum>
  <w:abstractNum w:abstractNumId="3">
    <w:nsid w:val="6D932CC3"/>
    <w:multiLevelType w:val="singleLevel"/>
    <w:tmpl w:val="6D932CC3"/>
    <w:lvl w:ilvl="0" w:tentative="0">
      <w:start w:val="5"/>
      <w:numFmt w:val="chineseCounting"/>
      <w:suff w:val="nothing"/>
      <w:lvlText w:val="%1、"/>
      <w:lvlJc w:val="left"/>
      <w:pPr>
        <w:ind w:left="-10"/>
      </w:pPr>
      <w:rPr>
        <w:rFonts w:hint="eastAsia"/>
      </w:rPr>
    </w:lvl>
  </w:abstractNum>
  <w:abstractNum w:abstractNumId="4">
    <w:nsid w:val="6F66DD55"/>
    <w:multiLevelType w:val="singleLevel"/>
    <w:tmpl w:val="6F66DD55"/>
    <w:lvl w:ilvl="0" w:tentative="0">
      <w:start w:val="1"/>
      <w:numFmt w:val="chineseCounting"/>
      <w:suff w:val="nothing"/>
      <w:lvlText w:val="%1、"/>
      <w:lvlJc w:val="left"/>
      <w:rPr>
        <w:rFonts w:hint="eastAsia"/>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F6B5B"/>
    <w:rsid w:val="03C548C9"/>
    <w:rsid w:val="079B131C"/>
    <w:rsid w:val="0AF71D1F"/>
    <w:rsid w:val="0DEE4C33"/>
    <w:rsid w:val="10F05693"/>
    <w:rsid w:val="124826EE"/>
    <w:rsid w:val="13073556"/>
    <w:rsid w:val="19173CA7"/>
    <w:rsid w:val="1A68422A"/>
    <w:rsid w:val="1ADC29C2"/>
    <w:rsid w:val="1AED0820"/>
    <w:rsid w:val="1C237E18"/>
    <w:rsid w:val="1EB677C6"/>
    <w:rsid w:val="24A80C6A"/>
    <w:rsid w:val="27083E64"/>
    <w:rsid w:val="27F417F3"/>
    <w:rsid w:val="2D717867"/>
    <w:rsid w:val="2E6F192C"/>
    <w:rsid w:val="31D067FB"/>
    <w:rsid w:val="35292D5D"/>
    <w:rsid w:val="39645B13"/>
    <w:rsid w:val="3DD57980"/>
    <w:rsid w:val="3E1E60C4"/>
    <w:rsid w:val="3E1F1BAE"/>
    <w:rsid w:val="45285397"/>
    <w:rsid w:val="48CD4351"/>
    <w:rsid w:val="4AA64A44"/>
    <w:rsid w:val="530C53D8"/>
    <w:rsid w:val="54981135"/>
    <w:rsid w:val="59381167"/>
    <w:rsid w:val="5A285AF1"/>
    <w:rsid w:val="5E5B4785"/>
    <w:rsid w:val="6242031E"/>
    <w:rsid w:val="65111E86"/>
    <w:rsid w:val="655E5172"/>
    <w:rsid w:val="6B9068DC"/>
    <w:rsid w:val="6C816027"/>
    <w:rsid w:val="6F3E0091"/>
    <w:rsid w:val="707700B0"/>
    <w:rsid w:val="71623BF6"/>
    <w:rsid w:val="72B80AF6"/>
    <w:rsid w:val="78C73B5B"/>
    <w:rsid w:val="79446280"/>
    <w:rsid w:val="7A9F4B1C"/>
    <w:rsid w:val="7CB47B26"/>
    <w:rsid w:val="7D2E553C"/>
    <w:rsid w:val="7DC87C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rPr>
      <w:rFonts w:ascii="Calibri" w:hAnsi="Calibri" w:cs="宋体"/>
      <w:szCs w:val="2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5870</Words>
  <Characters>6253</Characters>
  <Lines>0</Lines>
  <Paragraphs>0</Paragraphs>
  <TotalTime>52</TotalTime>
  <ScaleCrop>false</ScaleCrop>
  <LinksUpToDate>false</LinksUpToDate>
  <CharactersWithSpaces>6296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2021-03-22T03:46:00Z</dcterms:created>
  <dc:creator>Administrator</dc:creator>
  <cp:lastModifiedBy>Administrator</cp:lastModifiedBy>
  <cp:lastPrinted>2022-04-24T01:21:41Z</cp:lastPrinted>
  <dcterms:modified xsi:type="dcterms:W3CDTF">2022-04-24T01:50:55Z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38F70F1CD1234AB0A445CDFBF85FA0D3</vt:lpwstr>
  </property>
  <property fmtid="{D5CDD505-2E9C-101B-9397-08002B2CF9AE}" pid="4" name="commondata">
    <vt:lpwstr>eyJoZGlkIjoiMTljZDAwMzk2OGMxNzAzNWE1NzNjNGIzN2IyMjFjYTgifQ==</vt:lpwstr>
  </property>
</Properties>
</file>