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仿宋_GB2312"/>
          <w:sz w:val="28"/>
        </w:rPr>
      </w:pPr>
      <w:r>
        <w:rPr>
          <w:rFonts w:eastAsia="仿宋_GB2312"/>
          <w:sz w:val="32"/>
          <w:szCs w:val="32"/>
        </w:rPr>
        <w:t>HNPR-202</w:t>
      </w:r>
      <w:r>
        <w:rPr>
          <w:rFonts w:hint="eastAsia" w:eastAsia="仿宋_GB2312"/>
          <w:sz w:val="32"/>
          <w:szCs w:val="32"/>
        </w:rPr>
        <w:t>3</w:t>
      </w:r>
      <w:r>
        <w:rPr>
          <w:rFonts w:eastAsia="仿宋_GB2312"/>
          <w:sz w:val="32"/>
          <w:szCs w:val="32"/>
        </w:rPr>
        <w:t>-150</w:t>
      </w:r>
      <w:r>
        <w:rPr>
          <w:rFonts w:hint="eastAsia" w:eastAsia="仿宋_GB2312"/>
          <w:sz w:val="32"/>
          <w:szCs w:val="32"/>
        </w:rPr>
        <w:t>05</w:t>
      </w:r>
    </w:p>
    <w:p>
      <w:pPr>
        <w:jc w:val="center"/>
        <w:rPr>
          <w:rFonts w:ascii="仿宋_GB2312" w:eastAsia="仿宋_GB2312"/>
          <w:sz w:val="28"/>
        </w:rPr>
      </w:pPr>
    </w:p>
    <w:p>
      <w:pPr>
        <w:jc w:val="center"/>
        <w:rPr>
          <w:rFonts w:ascii="仿宋_GB2312" w:eastAsia="仿宋_GB2312"/>
          <w:sz w:val="28"/>
        </w:rPr>
      </w:pPr>
      <w:bookmarkStart w:id="0" w:name="_GoBack"/>
      <w:bookmarkEnd w:id="0"/>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Cs w:val="21"/>
        </w:rPr>
      </w:pPr>
    </w:p>
    <w:p>
      <w:pPr>
        <w:jc w:val="center"/>
        <w:rPr>
          <w:rFonts w:ascii="仿宋_GB2312" w:eastAsia="仿宋_GB2312"/>
          <w:sz w:val="28"/>
        </w:rPr>
      </w:pPr>
    </w:p>
    <w:p>
      <w:pPr>
        <w:jc w:val="center"/>
        <w:rPr>
          <w:rFonts w:ascii="仿宋_GB2312" w:eastAsia="仿宋_GB2312"/>
          <w:sz w:val="32"/>
        </w:rPr>
      </w:pPr>
      <w:r>
        <w:rPr>
          <w:rFonts w:hint="eastAsia" w:ascii="仿宋_GB2312" w:eastAsia="仿宋_GB2312"/>
          <w:sz w:val="32"/>
        </w:rPr>
        <w:t>湘交港航规〔2023〕4号</w:t>
      </w:r>
    </w:p>
    <w:p>
      <w:pPr>
        <w:spacing w:line="440" w:lineRule="exact"/>
        <w:jc w:val="center"/>
        <w:rPr>
          <w:rFonts w:ascii="仿宋_GB2312" w:eastAsia="仿宋_GB2312"/>
          <w:sz w:val="28"/>
          <w:szCs w:val="28"/>
        </w:rPr>
      </w:pPr>
    </w:p>
    <w:p>
      <w:pPr>
        <w:spacing w:line="440" w:lineRule="exact"/>
        <w:jc w:val="center"/>
        <w:rPr>
          <w:rFonts w:ascii="仿宋_GB2312" w:eastAsia="仿宋_GB2312"/>
          <w:sz w:val="24"/>
        </w:rPr>
      </w:pPr>
    </w:p>
    <w:p>
      <w:pPr>
        <w:adjustRightInd w:val="0"/>
        <w:snapToGrid w:val="0"/>
        <w:spacing w:line="440" w:lineRule="exact"/>
        <w:jc w:val="center"/>
        <w:rPr>
          <w:rFonts w:ascii="方正小标宋简体" w:eastAsia="方正小标宋简体"/>
          <w:sz w:val="44"/>
          <w:szCs w:val="44"/>
        </w:rPr>
      </w:pPr>
    </w:p>
    <w:p>
      <w:pPr>
        <w:pStyle w:val="6"/>
        <w:shd w:val="clear" w:color="auto" w:fill="FFFFFF"/>
        <w:spacing w:beforeAutospacing="0" w:afterAutospacing="0" w:line="620" w:lineRule="exact"/>
        <w:jc w:val="center"/>
        <w:textAlignment w:val="baseline"/>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湖南省交通运输厅</w:t>
      </w:r>
    </w:p>
    <w:p>
      <w:pPr>
        <w:pStyle w:val="6"/>
        <w:shd w:val="clear" w:color="auto" w:fill="FFFFFF"/>
        <w:spacing w:beforeAutospacing="0" w:afterAutospacing="0" w:line="620" w:lineRule="exact"/>
        <w:jc w:val="center"/>
        <w:textAlignment w:val="baseline"/>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关于印发《湖南省水运工程施工企业信用</w:t>
      </w:r>
    </w:p>
    <w:p>
      <w:pPr>
        <w:pStyle w:val="6"/>
        <w:shd w:val="clear" w:color="auto" w:fill="FFFFFF"/>
        <w:spacing w:beforeAutospacing="0" w:afterAutospacing="0" w:line="620" w:lineRule="exact"/>
        <w:jc w:val="center"/>
        <w:textAlignment w:val="baseline"/>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评价实施细则》的通知</w:t>
      </w:r>
    </w:p>
    <w:p>
      <w:pPr>
        <w:pStyle w:val="6"/>
        <w:shd w:val="clear" w:color="auto" w:fill="FFFFFF"/>
        <w:spacing w:beforeAutospacing="0" w:afterAutospacing="0" w:line="520" w:lineRule="exact"/>
        <w:jc w:val="both"/>
        <w:textAlignment w:val="baseline"/>
        <w:rPr>
          <w:rFonts w:ascii="仿宋_GB2312" w:hAnsi="仿宋" w:eastAsia="仿宋_GB2312"/>
          <w:color w:val="000000"/>
          <w:sz w:val="32"/>
          <w:szCs w:val="32"/>
        </w:rPr>
      </w:pPr>
    </w:p>
    <w:p>
      <w:pPr>
        <w:pStyle w:val="6"/>
        <w:shd w:val="clear" w:color="auto" w:fill="FFFFFF"/>
        <w:spacing w:beforeAutospacing="0" w:afterAutospacing="0" w:line="560" w:lineRule="exact"/>
        <w:jc w:val="both"/>
        <w:textAlignment w:val="baseline"/>
        <w:rPr>
          <w:rFonts w:ascii="仿宋_GB2312" w:hAnsi="仿宋" w:eastAsia="仿宋_GB2312"/>
          <w:color w:val="000000"/>
          <w:sz w:val="32"/>
          <w:szCs w:val="32"/>
        </w:rPr>
      </w:pPr>
      <w:r>
        <w:rPr>
          <w:rFonts w:hint="eastAsia" w:ascii="仿宋_GB2312" w:hAnsi="仿宋" w:eastAsia="仿宋_GB2312"/>
          <w:color w:val="000000"/>
          <w:sz w:val="32"/>
          <w:szCs w:val="32"/>
        </w:rPr>
        <w:t>各市州交通运输局，厅直相关单位，省湘水集团，各水运项目建设单位：</w:t>
      </w:r>
    </w:p>
    <w:p>
      <w:pPr>
        <w:pStyle w:val="6"/>
        <w:shd w:val="clear" w:color="auto" w:fill="FFFFFF"/>
        <w:spacing w:beforeAutospacing="0" w:afterAutospacing="0" w:line="560" w:lineRule="exact"/>
        <w:ind w:firstLine="640"/>
        <w:jc w:val="both"/>
        <w:textAlignment w:val="baseline"/>
        <w:rPr>
          <w:rFonts w:ascii="仿宋_GB2312" w:hAnsi="仿宋" w:eastAsia="仿宋_GB2312"/>
          <w:color w:val="000000"/>
          <w:sz w:val="32"/>
          <w:szCs w:val="32"/>
        </w:rPr>
      </w:pPr>
      <w:r>
        <w:rPr>
          <w:rFonts w:hint="eastAsia" w:ascii="仿宋_GB2312" w:hAnsi="仿宋" w:eastAsia="仿宋_GB2312"/>
          <w:color w:val="000000"/>
          <w:sz w:val="32"/>
          <w:szCs w:val="32"/>
        </w:rPr>
        <w:t>现将《湖南省水运工程施工企业信用评价实施细则》印发给你们，请遵照执行。</w:t>
      </w:r>
    </w:p>
    <w:p>
      <w:pPr>
        <w:pStyle w:val="6"/>
        <w:shd w:val="clear" w:color="auto" w:fill="FFFFFF"/>
        <w:spacing w:beforeAutospacing="0" w:afterAutospacing="0" w:line="400" w:lineRule="exact"/>
        <w:ind w:firstLine="641"/>
        <w:jc w:val="both"/>
        <w:textAlignment w:val="baseline"/>
        <w:rPr>
          <w:rFonts w:ascii="仿宋_GB2312" w:hAnsi="仿宋" w:eastAsia="仿宋_GB2312"/>
          <w:color w:val="000000"/>
          <w:sz w:val="32"/>
          <w:szCs w:val="32"/>
        </w:rPr>
      </w:pPr>
    </w:p>
    <w:p>
      <w:pPr>
        <w:pStyle w:val="6"/>
        <w:shd w:val="clear" w:color="auto" w:fill="FFFFFF"/>
        <w:spacing w:beforeAutospacing="0" w:afterAutospacing="0" w:line="400" w:lineRule="exact"/>
        <w:ind w:firstLine="641"/>
        <w:jc w:val="both"/>
        <w:textAlignment w:val="baseline"/>
        <w:rPr>
          <w:rFonts w:ascii="仿宋_GB2312" w:hAnsi="仿宋" w:eastAsia="仿宋_GB2312"/>
          <w:color w:val="000000"/>
          <w:sz w:val="32"/>
          <w:szCs w:val="32"/>
        </w:rPr>
      </w:pPr>
    </w:p>
    <w:p>
      <w:pPr>
        <w:spacing w:line="560" w:lineRule="exact"/>
        <w:ind w:firstLine="5280" w:firstLineChars="1650"/>
        <w:rPr>
          <w:rFonts w:ascii="仿宋_GB2312" w:eastAsia="仿宋_GB2312"/>
          <w:sz w:val="32"/>
        </w:rPr>
      </w:pPr>
      <w:r>
        <w:rPr>
          <w:rFonts w:hint="eastAsia" w:ascii="仿宋_GB2312" w:eastAsia="仿宋_GB2312"/>
          <w:sz w:val="32"/>
        </w:rPr>
        <w:t xml:space="preserve">湖南省交通运输厅    </w:t>
      </w:r>
    </w:p>
    <w:p>
      <w:pPr>
        <w:spacing w:line="560" w:lineRule="exact"/>
        <w:ind w:firstLine="5280" w:firstLineChars="1650"/>
        <w:rPr>
          <w:rFonts w:ascii="仿宋_GB2312" w:eastAsia="仿宋_GB2312"/>
          <w:sz w:val="32"/>
        </w:rPr>
      </w:pPr>
      <w:r>
        <w:rPr>
          <w:rFonts w:hint="eastAsia" w:ascii="仿宋_GB2312" w:eastAsia="仿宋_GB2312"/>
          <w:sz w:val="32"/>
        </w:rPr>
        <w:t>2023年2月13日</w:t>
      </w:r>
    </w:p>
    <w:p>
      <w:pPr>
        <w:pStyle w:val="6"/>
        <w:shd w:val="clear" w:color="auto" w:fill="FFFFFF"/>
        <w:spacing w:beforeAutospacing="0" w:afterAutospacing="0" w:line="600" w:lineRule="exact"/>
        <w:jc w:val="center"/>
        <w:textAlignment w:val="baseline"/>
        <w:rPr>
          <w:rFonts w:ascii="仿宋_GB2312" w:hAnsi="仿宋" w:eastAsia="仿宋_GB2312"/>
          <w:color w:val="000000"/>
          <w:sz w:val="44"/>
          <w:szCs w:val="44"/>
        </w:rPr>
      </w:pPr>
    </w:p>
    <w:p>
      <w:pPr>
        <w:pStyle w:val="6"/>
        <w:shd w:val="clear" w:color="auto" w:fill="FFFFFF"/>
        <w:spacing w:beforeAutospacing="0" w:afterAutospacing="0" w:line="600" w:lineRule="exact"/>
        <w:jc w:val="center"/>
        <w:textAlignment w:val="baseline"/>
        <w:rPr>
          <w:rFonts w:ascii="仿宋_GB2312" w:hAnsi="仿宋" w:eastAsia="仿宋_GB2312"/>
          <w:color w:val="000000"/>
          <w:sz w:val="44"/>
          <w:szCs w:val="44"/>
        </w:rPr>
      </w:pPr>
    </w:p>
    <w:p>
      <w:pPr>
        <w:spacing w:line="700" w:lineRule="exact"/>
        <w:jc w:val="center"/>
        <w:rPr>
          <w:rFonts w:eastAsia="方正小标宋简体"/>
          <w:sz w:val="44"/>
          <w:szCs w:val="44"/>
        </w:rPr>
      </w:pPr>
      <w:r>
        <w:rPr>
          <w:rFonts w:hint="eastAsia" w:eastAsia="方正小标宋简体"/>
          <w:sz w:val="44"/>
          <w:szCs w:val="44"/>
        </w:rPr>
        <w:t>湖南省水运工程施工企业信用评价</w:t>
      </w:r>
    </w:p>
    <w:p>
      <w:pPr>
        <w:spacing w:line="700" w:lineRule="exact"/>
        <w:jc w:val="center"/>
        <w:rPr>
          <w:rFonts w:eastAsia="方正小标宋简体"/>
          <w:sz w:val="44"/>
          <w:szCs w:val="44"/>
        </w:rPr>
      </w:pPr>
      <w:r>
        <w:rPr>
          <w:rFonts w:hint="eastAsia" w:eastAsia="方正小标宋简体"/>
          <w:sz w:val="44"/>
          <w:szCs w:val="44"/>
        </w:rPr>
        <w:t>实施细则</w:t>
      </w:r>
    </w:p>
    <w:p>
      <w:pPr>
        <w:spacing w:line="600" w:lineRule="exact"/>
        <w:rPr>
          <w:rFonts w:eastAsia="仿宋_GB2312"/>
          <w:kern w:val="0"/>
          <w:sz w:val="32"/>
          <w:szCs w:val="32"/>
        </w:rPr>
      </w:pPr>
    </w:p>
    <w:p>
      <w:pPr>
        <w:spacing w:line="600" w:lineRule="exact"/>
        <w:jc w:val="center"/>
        <w:rPr>
          <w:rFonts w:eastAsia="黑体"/>
          <w:sz w:val="32"/>
        </w:rPr>
      </w:pPr>
      <w:r>
        <w:rPr>
          <w:rFonts w:hint="eastAsia" w:eastAsia="黑体"/>
          <w:sz w:val="32"/>
        </w:rPr>
        <w:t>第一章</w:t>
      </w:r>
      <w:r>
        <w:rPr>
          <w:rFonts w:eastAsia="黑体"/>
          <w:sz w:val="32"/>
        </w:rPr>
        <w:t xml:space="preserve"> </w:t>
      </w:r>
      <w:r>
        <w:rPr>
          <w:rFonts w:hint="eastAsia" w:eastAsia="黑体"/>
          <w:sz w:val="32"/>
        </w:rPr>
        <w:t>总  则</w:t>
      </w:r>
    </w:p>
    <w:p>
      <w:p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第一条 为进一步规范我省水运工程施工企业信用评价工作，营造公平竞争市场环境，促进水运建设事业高质量发展，根据《湖南省交通建设工程质量安全生产条例》《水运建设市场监督管理办法》（交通运输部令2016年第74号）《水运工程设计和施工企业信用评价办法（试行）》（交水发〔2014〕113号）《交通运输部关于加强交通运输行业信用体系建设的若干意见》（交政研发〔2015〕75号）《湖南省交通运输厅关于印发〈信用评价结果确定程序暂行办法〉的通知》（湘交政法〔2018〕89号）等有关法律法规及政策性文件，结合我省实际，制定本细则。</w:t>
      </w:r>
    </w:p>
    <w:p>
      <w:pPr>
        <w:spacing w:line="600" w:lineRule="exact"/>
        <w:ind w:firstLine="640" w:firstLineChars="200"/>
        <w:rPr>
          <w:rFonts w:ascii="仿宋_GB2312" w:eastAsia="仿宋_GB2312"/>
          <w:sz w:val="32"/>
        </w:rPr>
      </w:pPr>
      <w:r>
        <w:rPr>
          <w:rFonts w:hint="eastAsia" w:ascii="仿宋_GB2312" w:eastAsia="仿宋_GB2312"/>
          <w:kern w:val="0"/>
          <w:sz w:val="32"/>
          <w:szCs w:val="32"/>
        </w:rPr>
        <w:t>第二条 本细则所称水运工程施工企业信用评价是指湖南省各级交通运输主管部门、行业发展机构、水运工程项目建设单位依据有关</w:t>
      </w:r>
      <w:r>
        <w:rPr>
          <w:rFonts w:hint="eastAsia" w:ascii="仿宋_GB2312" w:eastAsia="仿宋_GB2312"/>
          <w:sz w:val="32"/>
        </w:rPr>
        <w:t>法律法规、标准规范、合同文件等，通过量化方式对水运工程项目施工企业在本行政区域内水运建设市场从业行为的评价。</w:t>
      </w:r>
    </w:p>
    <w:p>
      <w:pPr>
        <w:spacing w:line="600" w:lineRule="exact"/>
        <w:ind w:firstLine="640" w:firstLineChars="200"/>
        <w:rPr>
          <w:rFonts w:eastAsia="仿宋_GB2312"/>
          <w:sz w:val="32"/>
        </w:rPr>
      </w:pPr>
      <w:r>
        <w:rPr>
          <w:rFonts w:hint="eastAsia" w:eastAsia="仿宋_GB2312"/>
          <w:sz w:val="32"/>
        </w:rPr>
        <w:t>本细则所称省级行业发展机构是指</w:t>
      </w:r>
      <w:r>
        <w:rPr>
          <w:rFonts w:eastAsia="仿宋_GB2312"/>
          <w:sz w:val="32"/>
        </w:rPr>
        <w:tab/>
      </w:r>
      <w:r>
        <w:rPr>
          <w:rFonts w:hint="eastAsia" w:eastAsia="仿宋_GB2312"/>
          <w:sz w:val="32"/>
        </w:rPr>
        <w:t>省水运事务中心、省交通建设质量安全监督管理局、厅交通建设造价管理站。</w:t>
      </w:r>
    </w:p>
    <w:p>
      <w:pPr>
        <w:spacing w:line="600" w:lineRule="exact"/>
        <w:ind w:firstLine="640" w:firstLineChars="200"/>
        <w:rPr>
          <w:rFonts w:eastAsia="仿宋_GB2312"/>
          <w:kern w:val="0"/>
          <w:sz w:val="32"/>
          <w:szCs w:val="32"/>
        </w:rPr>
      </w:pPr>
      <w:r>
        <w:rPr>
          <w:rFonts w:hint="eastAsia" w:eastAsia="仿宋_GB2312"/>
          <w:kern w:val="0"/>
          <w:sz w:val="32"/>
          <w:szCs w:val="32"/>
        </w:rPr>
        <w:t>第三条</w:t>
      </w:r>
      <w:r>
        <w:rPr>
          <w:rFonts w:eastAsia="仿宋_GB2312"/>
          <w:kern w:val="0"/>
          <w:sz w:val="32"/>
          <w:szCs w:val="32"/>
        </w:rPr>
        <w:t xml:space="preserve"> </w:t>
      </w:r>
      <w:r>
        <w:rPr>
          <w:rFonts w:hint="eastAsia" w:eastAsia="仿宋_GB2312"/>
          <w:kern w:val="0"/>
          <w:sz w:val="32"/>
          <w:szCs w:val="32"/>
        </w:rPr>
        <w:t>水运工程施工单位是指具有港口与航道工程施工总承包资质及相关专业承包资质的企业。从业行为是指企业参与水运工程建设项目的投标、履约等市场行为以及其他水运建设市场相关行为。</w:t>
      </w:r>
    </w:p>
    <w:p>
      <w:pPr>
        <w:spacing w:line="600" w:lineRule="exact"/>
        <w:ind w:firstLine="640" w:firstLineChars="200"/>
        <w:rPr>
          <w:rFonts w:eastAsia="仿宋_GB2312"/>
          <w:kern w:val="0"/>
          <w:sz w:val="32"/>
          <w:szCs w:val="32"/>
        </w:rPr>
      </w:pPr>
      <w:r>
        <w:rPr>
          <w:rFonts w:hint="eastAsia" w:eastAsia="仿宋_GB2312"/>
          <w:kern w:val="0"/>
          <w:sz w:val="32"/>
          <w:szCs w:val="32"/>
        </w:rPr>
        <w:t>第四条</w:t>
      </w:r>
      <w:r>
        <w:rPr>
          <w:rFonts w:eastAsia="仿宋_GB2312"/>
          <w:kern w:val="0"/>
          <w:sz w:val="32"/>
          <w:szCs w:val="32"/>
        </w:rPr>
        <w:t xml:space="preserve"> </w:t>
      </w:r>
      <w:r>
        <w:rPr>
          <w:rFonts w:hint="eastAsia" w:eastAsia="仿宋_GB2312"/>
          <w:kern w:val="0"/>
          <w:sz w:val="32"/>
          <w:szCs w:val="32"/>
        </w:rPr>
        <w:t>水运施工企业信用评价遵循公开、公平、公正、科学、有效的原则，评价结果实行公示和公告制度。</w:t>
      </w:r>
    </w:p>
    <w:p>
      <w:pPr>
        <w:spacing w:line="600" w:lineRule="exact"/>
        <w:ind w:firstLine="640" w:firstLineChars="200"/>
        <w:rPr>
          <w:rFonts w:eastAsia="仿宋_GB2312"/>
          <w:bCs/>
          <w:kern w:val="0"/>
          <w:sz w:val="32"/>
          <w:szCs w:val="32"/>
        </w:rPr>
      </w:pPr>
    </w:p>
    <w:p>
      <w:pPr>
        <w:spacing w:line="600" w:lineRule="exact"/>
        <w:jc w:val="center"/>
        <w:rPr>
          <w:rFonts w:eastAsia="黑体"/>
          <w:sz w:val="32"/>
        </w:rPr>
      </w:pPr>
      <w:r>
        <w:rPr>
          <w:rFonts w:hint="eastAsia" w:eastAsia="黑体"/>
          <w:sz w:val="32"/>
        </w:rPr>
        <w:t>第二章</w:t>
      </w:r>
      <w:r>
        <w:rPr>
          <w:rFonts w:eastAsia="黑体"/>
          <w:sz w:val="32"/>
        </w:rPr>
        <w:t xml:space="preserve"> </w:t>
      </w:r>
      <w:r>
        <w:rPr>
          <w:rFonts w:hint="eastAsia" w:eastAsia="黑体"/>
          <w:sz w:val="32"/>
        </w:rPr>
        <w:t>评价职责、分工</w:t>
      </w:r>
    </w:p>
    <w:p>
      <w:pPr>
        <w:spacing w:line="600" w:lineRule="exact"/>
        <w:ind w:firstLine="640" w:firstLineChars="200"/>
        <w:rPr>
          <w:rFonts w:eastAsia="仿宋_GB2312"/>
          <w:sz w:val="32"/>
        </w:rPr>
      </w:pPr>
      <w:r>
        <w:rPr>
          <w:rFonts w:hint="eastAsia" w:eastAsia="仿宋_GB2312"/>
          <w:sz w:val="32"/>
        </w:rPr>
        <w:t>第五条</w:t>
      </w:r>
      <w:r>
        <w:rPr>
          <w:rFonts w:eastAsia="仿宋_GB2312"/>
          <w:sz w:val="32"/>
        </w:rPr>
        <w:t xml:space="preserve"> </w:t>
      </w:r>
      <w:r>
        <w:rPr>
          <w:rFonts w:hint="eastAsia" w:eastAsia="仿宋_GB2312"/>
          <w:sz w:val="32"/>
        </w:rPr>
        <w:t>水运工程施工企业信用评价工作实行统一管理、分级负责。</w:t>
      </w:r>
    </w:p>
    <w:p>
      <w:pPr>
        <w:spacing w:line="600" w:lineRule="exact"/>
        <w:ind w:firstLine="640" w:firstLineChars="200"/>
        <w:rPr>
          <w:rFonts w:eastAsia="仿宋_GB2312"/>
          <w:sz w:val="32"/>
        </w:rPr>
      </w:pPr>
      <w:r>
        <w:rPr>
          <w:rFonts w:hint="eastAsia" w:eastAsia="仿宋_GB2312"/>
          <w:sz w:val="32"/>
        </w:rPr>
        <w:t>第六条</w:t>
      </w:r>
      <w:r>
        <w:rPr>
          <w:rFonts w:eastAsia="仿宋_GB2312"/>
          <w:sz w:val="32"/>
        </w:rPr>
        <w:t xml:space="preserve"> </w:t>
      </w:r>
      <w:r>
        <w:rPr>
          <w:rFonts w:hint="eastAsia" w:eastAsia="仿宋_GB2312"/>
          <w:sz w:val="32"/>
        </w:rPr>
        <w:t>省交通运输厅负责全省水运工程施工企业信用评价管理工作，主要职责为：</w:t>
      </w:r>
    </w:p>
    <w:p>
      <w:pPr>
        <w:shd w:val="clear" w:color="auto" w:fill="FFFFFF"/>
        <w:spacing w:line="600" w:lineRule="exact"/>
        <w:ind w:firstLine="720"/>
        <w:rPr>
          <w:rFonts w:eastAsia="仿宋_GB2312"/>
          <w:sz w:val="32"/>
        </w:rPr>
      </w:pPr>
      <w:r>
        <w:rPr>
          <w:rFonts w:hint="eastAsia" w:eastAsia="仿宋_GB2312"/>
          <w:sz w:val="32"/>
        </w:rPr>
        <w:t>（一）制定全省水运工程施工企业信用评价政策性文件。</w:t>
      </w:r>
      <w:r>
        <w:rPr>
          <w:rFonts w:hint="eastAsia" w:eastAsia="仿宋_GB2312"/>
          <w:kern w:val="0"/>
          <w:sz w:val="32"/>
          <w:szCs w:val="32"/>
        </w:rPr>
        <w:t>督促指导全省各相关单位按要求及时开展水运工程施工企业信用评价工作。</w:t>
      </w:r>
    </w:p>
    <w:p>
      <w:pPr>
        <w:spacing w:line="600" w:lineRule="exact"/>
        <w:ind w:firstLine="640" w:firstLineChars="200"/>
        <w:rPr>
          <w:rFonts w:eastAsia="仿宋_GB2312"/>
          <w:sz w:val="32"/>
        </w:rPr>
      </w:pPr>
      <w:r>
        <w:rPr>
          <w:rFonts w:hint="eastAsia" w:eastAsia="仿宋_GB2312"/>
          <w:sz w:val="32"/>
        </w:rPr>
        <w:t>（二）开发建设并利用湖南省水运建设市场信用信息管理系统（以下简称“省平台”）满足评价需求，组织相关单位负责系统日常维护与监管。</w:t>
      </w:r>
    </w:p>
    <w:p>
      <w:pPr>
        <w:spacing w:line="600" w:lineRule="exact"/>
        <w:ind w:firstLine="640" w:firstLineChars="200"/>
        <w:rPr>
          <w:rFonts w:eastAsia="仿宋_GB2312"/>
          <w:sz w:val="32"/>
        </w:rPr>
      </w:pPr>
      <w:r>
        <w:rPr>
          <w:rFonts w:hint="eastAsia" w:eastAsia="仿宋_GB2312"/>
          <w:sz w:val="32"/>
        </w:rPr>
        <w:t>（三）以在建水运项目建设单位填报、确认的项目基本信息为基础，汇总并审核发布评价年度内水运工程施工参评项目及标段。</w:t>
      </w:r>
    </w:p>
    <w:p>
      <w:pPr>
        <w:spacing w:line="600" w:lineRule="exact"/>
        <w:ind w:firstLine="640" w:firstLineChars="200"/>
        <w:rPr>
          <w:rFonts w:eastAsia="仿宋_GB2312"/>
          <w:sz w:val="32"/>
        </w:rPr>
      </w:pPr>
      <w:r>
        <w:rPr>
          <w:rFonts w:hint="eastAsia" w:eastAsia="仿宋_GB2312"/>
          <w:sz w:val="32"/>
        </w:rPr>
        <w:t>（四）组织对水运项目参评施工企业进行信用评价，发布省级信用评价结果等信息，并将省级评价结果按要求上报交通运输部。</w:t>
      </w:r>
    </w:p>
    <w:p>
      <w:pPr>
        <w:spacing w:line="600" w:lineRule="exact"/>
        <w:ind w:firstLine="640" w:firstLineChars="200"/>
        <w:rPr>
          <w:rFonts w:eastAsia="仿宋_GB2312"/>
          <w:sz w:val="32"/>
        </w:rPr>
      </w:pPr>
      <w:r>
        <w:rPr>
          <w:rFonts w:hint="eastAsia" w:eastAsia="仿宋_GB2312"/>
          <w:sz w:val="32"/>
        </w:rPr>
        <w:t>第七条</w:t>
      </w:r>
      <w:r>
        <w:rPr>
          <w:rFonts w:eastAsia="仿宋_GB2312"/>
          <w:sz w:val="32"/>
        </w:rPr>
        <w:t xml:space="preserve"> </w:t>
      </w:r>
      <w:r>
        <w:rPr>
          <w:rFonts w:hint="eastAsia" w:eastAsia="仿宋_GB2312"/>
          <w:sz w:val="32"/>
        </w:rPr>
        <w:t>省级行业发展机构按职责分工负责全省水运工程施工企业的信用评价工作。具体职责分工如下：</w:t>
      </w:r>
    </w:p>
    <w:p>
      <w:pPr>
        <w:shd w:val="clear" w:color="auto" w:fill="FFFFFF"/>
        <w:spacing w:line="600" w:lineRule="exact"/>
        <w:ind w:firstLine="720"/>
        <w:rPr>
          <w:rFonts w:eastAsia="仿宋_GB2312"/>
          <w:kern w:val="0"/>
          <w:sz w:val="32"/>
          <w:szCs w:val="32"/>
        </w:rPr>
      </w:pPr>
      <w:r>
        <w:rPr>
          <w:rFonts w:hint="eastAsia" w:eastAsia="仿宋_GB2312"/>
          <w:kern w:val="0"/>
          <w:sz w:val="32"/>
          <w:szCs w:val="32"/>
        </w:rPr>
        <w:t>省水运事务中心对履约行为中分包管理、进度管理、社会责任等扣分事项提出汇总复核意见，并对水运工程施工企业的其他行为进行评价。</w:t>
      </w:r>
    </w:p>
    <w:p>
      <w:pPr>
        <w:shd w:val="clear" w:color="auto" w:fill="FFFFFF"/>
        <w:spacing w:line="600" w:lineRule="exact"/>
        <w:ind w:firstLine="720"/>
        <w:rPr>
          <w:rFonts w:eastAsia="仿宋_GB2312"/>
          <w:kern w:val="0"/>
          <w:sz w:val="32"/>
          <w:szCs w:val="32"/>
        </w:rPr>
      </w:pPr>
      <w:r>
        <w:rPr>
          <w:rFonts w:hint="eastAsia" w:eastAsia="仿宋_GB2312"/>
          <w:kern w:val="0"/>
          <w:sz w:val="32"/>
          <w:szCs w:val="32"/>
        </w:rPr>
        <w:t>省级交通建设质量安全监督管理机构对履约行为中人员设备到位、质量管理、安全生产等扣分事项提出汇总复核意见，并按职责对水运工程施工企业的其他行为进行评价。</w:t>
      </w:r>
    </w:p>
    <w:p>
      <w:pPr>
        <w:shd w:val="clear" w:color="auto" w:fill="FFFFFF"/>
        <w:spacing w:line="600" w:lineRule="exact"/>
        <w:ind w:firstLine="720"/>
        <w:rPr>
          <w:rFonts w:eastAsia="仿宋_GB2312"/>
          <w:kern w:val="0"/>
          <w:sz w:val="32"/>
          <w:szCs w:val="32"/>
        </w:rPr>
      </w:pPr>
      <w:r>
        <w:rPr>
          <w:rFonts w:hint="eastAsia" w:eastAsia="仿宋_GB2312"/>
          <w:kern w:val="0"/>
          <w:sz w:val="32"/>
          <w:szCs w:val="32"/>
        </w:rPr>
        <w:t>省级交通建设造价管理机构对履约行为中费用管理扣分事项提出汇总复核意见，并按职责对水运工程施工企业的其他行为进行评价。</w:t>
      </w:r>
    </w:p>
    <w:p>
      <w:pPr>
        <w:shd w:val="clear" w:color="auto" w:fill="FFFFFF"/>
        <w:spacing w:line="600" w:lineRule="exact"/>
        <w:ind w:firstLine="720"/>
        <w:rPr>
          <w:rFonts w:eastAsia="仿宋_GB2312"/>
          <w:kern w:val="0"/>
          <w:sz w:val="32"/>
          <w:szCs w:val="32"/>
        </w:rPr>
      </w:pPr>
      <w:r>
        <w:rPr>
          <w:rFonts w:hint="eastAsia" w:eastAsia="仿宋_GB2312"/>
          <w:kern w:val="0"/>
          <w:sz w:val="32"/>
          <w:szCs w:val="32"/>
        </w:rPr>
        <w:t>省交通运输厅科技信息中心负责省平台的技术支持及维护，并负责对信用评价数据安全性进行监管，对评价信息录入、汇总、确认等异常情形进行监控，并及时反馈给相关责任单位及监管部门。</w:t>
      </w:r>
    </w:p>
    <w:p>
      <w:pPr>
        <w:shd w:val="clear" w:color="auto" w:fill="FFFFFF"/>
        <w:spacing w:line="600" w:lineRule="exact"/>
        <w:ind w:firstLine="720"/>
        <w:rPr>
          <w:rFonts w:eastAsia="仿宋_GB2312"/>
          <w:spacing w:val="6"/>
          <w:kern w:val="0"/>
          <w:sz w:val="32"/>
          <w:szCs w:val="32"/>
        </w:rPr>
      </w:pPr>
      <w:r>
        <w:rPr>
          <w:rFonts w:hint="eastAsia" w:eastAsia="仿宋_GB2312"/>
          <w:kern w:val="0"/>
          <w:sz w:val="32"/>
          <w:szCs w:val="32"/>
        </w:rPr>
        <w:t>第八条</w:t>
      </w:r>
      <w:r>
        <w:rPr>
          <w:rFonts w:eastAsia="仿宋_GB2312"/>
          <w:kern w:val="0"/>
          <w:sz w:val="32"/>
          <w:szCs w:val="32"/>
        </w:rPr>
        <w:t xml:space="preserve"> </w:t>
      </w:r>
      <w:r>
        <w:rPr>
          <w:rFonts w:hint="eastAsia" w:eastAsia="仿宋_GB2312"/>
          <w:spacing w:val="6"/>
          <w:kern w:val="0"/>
          <w:sz w:val="32"/>
          <w:szCs w:val="32"/>
        </w:rPr>
        <w:t>市级交通运输主管部门负责辖区内以市州为建设责任主体的水运项目施工企业信用评价管理工作，主要职责为：</w:t>
      </w:r>
    </w:p>
    <w:p>
      <w:pPr>
        <w:shd w:val="clear" w:color="auto" w:fill="FFFFFF"/>
        <w:spacing w:line="600" w:lineRule="exact"/>
        <w:ind w:firstLine="720"/>
        <w:rPr>
          <w:rFonts w:eastAsia="仿宋_GB2312"/>
          <w:b/>
          <w:sz w:val="32"/>
        </w:rPr>
      </w:pPr>
      <w:r>
        <w:rPr>
          <w:rFonts w:hint="eastAsia" w:eastAsia="仿宋_GB2312"/>
          <w:kern w:val="0"/>
          <w:sz w:val="32"/>
          <w:szCs w:val="32"/>
        </w:rPr>
        <w:t>负责督促指导并审核辖区内建设单位、同级行业发展机构填报信用评价数据，及时审核并汇总辖区内年度施工参评项目及标段，对施工企业投标行为、履约行为以及其他行为进行初审，并将初审结果按要求报送至省交通运输厅汇总评价。</w:t>
      </w:r>
    </w:p>
    <w:p>
      <w:pPr>
        <w:spacing w:line="600" w:lineRule="exact"/>
        <w:ind w:firstLine="640" w:firstLineChars="200"/>
        <w:rPr>
          <w:rFonts w:eastAsia="仿宋_GB2312"/>
          <w:kern w:val="0"/>
          <w:sz w:val="32"/>
          <w:szCs w:val="32"/>
        </w:rPr>
      </w:pPr>
      <w:r>
        <w:rPr>
          <w:rFonts w:hint="eastAsia" w:eastAsia="仿宋_GB2312"/>
          <w:kern w:val="0"/>
          <w:sz w:val="32"/>
          <w:szCs w:val="32"/>
        </w:rPr>
        <w:t>第九条</w:t>
      </w:r>
      <w:r>
        <w:rPr>
          <w:rFonts w:eastAsia="仿宋_GB2312"/>
          <w:kern w:val="0"/>
          <w:sz w:val="32"/>
          <w:szCs w:val="32"/>
        </w:rPr>
        <w:t xml:space="preserve"> </w:t>
      </w:r>
      <w:r>
        <w:rPr>
          <w:rFonts w:hint="eastAsia" w:eastAsia="仿宋_GB2312"/>
          <w:kern w:val="0"/>
          <w:sz w:val="32"/>
          <w:szCs w:val="32"/>
        </w:rPr>
        <w:t>项目建设单位或招标人负责本项目施工企业信用评价工作，主要职责为：</w:t>
      </w:r>
    </w:p>
    <w:p>
      <w:pPr>
        <w:spacing w:line="600" w:lineRule="exact"/>
        <w:ind w:firstLine="627" w:firstLineChars="196"/>
        <w:rPr>
          <w:rFonts w:eastAsia="仿宋_GB2312"/>
          <w:kern w:val="0"/>
          <w:sz w:val="32"/>
          <w:szCs w:val="32"/>
        </w:rPr>
      </w:pPr>
      <w:r>
        <w:rPr>
          <w:rFonts w:hint="eastAsia" w:eastAsia="仿宋_GB2312"/>
          <w:kern w:val="0"/>
          <w:sz w:val="32"/>
          <w:szCs w:val="32"/>
        </w:rPr>
        <w:t>（一）负责本项目信用评价基础信息采集录入及动态更新。</w:t>
      </w:r>
    </w:p>
    <w:p>
      <w:pPr>
        <w:spacing w:line="600" w:lineRule="exact"/>
        <w:ind w:firstLine="627" w:firstLineChars="196"/>
        <w:rPr>
          <w:rFonts w:eastAsia="仿宋_GB2312"/>
          <w:kern w:val="0"/>
          <w:sz w:val="32"/>
          <w:szCs w:val="32"/>
        </w:rPr>
      </w:pPr>
      <w:r>
        <w:rPr>
          <w:rFonts w:hint="eastAsia" w:eastAsia="仿宋_GB2312"/>
          <w:kern w:val="0"/>
          <w:sz w:val="32"/>
          <w:szCs w:val="32"/>
        </w:rPr>
        <w:t>（二）及时填报参评施工企业投标、履约不良行为信息，及时确认省级交通运输主管部门及行业发展机构的处罚管理记录。</w:t>
      </w:r>
    </w:p>
    <w:p>
      <w:pPr>
        <w:spacing w:line="600" w:lineRule="exact"/>
        <w:ind w:firstLine="627" w:firstLineChars="196"/>
        <w:rPr>
          <w:rFonts w:eastAsia="仿宋_GB2312"/>
          <w:kern w:val="0"/>
          <w:sz w:val="32"/>
          <w:szCs w:val="32"/>
        </w:rPr>
      </w:pPr>
      <w:r>
        <w:rPr>
          <w:rFonts w:hint="eastAsia" w:eastAsia="仿宋_GB2312"/>
          <w:kern w:val="0"/>
          <w:sz w:val="32"/>
          <w:szCs w:val="32"/>
        </w:rPr>
        <w:t>（三）在项目招标中按规定应用交通运输主管部门发布的最新信用评价结果。</w:t>
      </w:r>
    </w:p>
    <w:p>
      <w:pPr>
        <w:spacing w:line="600" w:lineRule="exact"/>
        <w:ind w:firstLine="640" w:firstLineChars="200"/>
        <w:rPr>
          <w:rFonts w:eastAsia="仿宋_GB2312"/>
          <w:sz w:val="32"/>
        </w:rPr>
      </w:pPr>
      <w:r>
        <w:rPr>
          <w:rFonts w:hint="eastAsia" w:eastAsia="仿宋_GB2312"/>
          <w:sz w:val="32"/>
        </w:rPr>
        <w:t>第十条</w:t>
      </w:r>
      <w:r>
        <w:rPr>
          <w:rFonts w:eastAsia="仿宋_GB2312"/>
          <w:sz w:val="32"/>
        </w:rPr>
        <w:t xml:space="preserve"> </w:t>
      </w:r>
      <w:r>
        <w:rPr>
          <w:rFonts w:hint="eastAsia" w:eastAsia="仿宋_GB2312"/>
          <w:sz w:val="32"/>
        </w:rPr>
        <w:t>参评施工企业的主要职责为：</w:t>
      </w:r>
    </w:p>
    <w:p>
      <w:pPr>
        <w:spacing w:line="600" w:lineRule="exact"/>
        <w:ind w:firstLine="640" w:firstLineChars="200"/>
        <w:rPr>
          <w:rFonts w:eastAsia="仿宋_GB2312"/>
          <w:sz w:val="32"/>
        </w:rPr>
      </w:pPr>
      <w:r>
        <w:rPr>
          <w:rFonts w:hint="eastAsia" w:eastAsia="仿宋_GB2312"/>
          <w:sz w:val="32"/>
        </w:rPr>
        <w:t>（一）配合项目建设单位或招标人采集、录入、确认信用评价基础信息。</w:t>
      </w:r>
    </w:p>
    <w:p>
      <w:pPr>
        <w:spacing w:line="600" w:lineRule="exact"/>
        <w:ind w:firstLine="640" w:firstLineChars="200"/>
        <w:rPr>
          <w:rFonts w:eastAsia="仿宋_GB2312"/>
          <w:sz w:val="32"/>
        </w:rPr>
      </w:pPr>
      <w:r>
        <w:rPr>
          <w:rFonts w:hint="eastAsia" w:eastAsia="仿宋_GB2312"/>
          <w:sz w:val="32"/>
        </w:rPr>
        <w:t>（二）及时接收、查阅评价管理单位推送的具体评价扣分情况，有权依程序提出异议或申诉。</w:t>
      </w:r>
    </w:p>
    <w:p>
      <w:pPr>
        <w:spacing w:line="600" w:lineRule="exact"/>
        <w:ind w:firstLine="640" w:firstLineChars="200"/>
        <w:rPr>
          <w:rFonts w:eastAsia="仿宋_GB2312"/>
          <w:sz w:val="32"/>
        </w:rPr>
      </w:pPr>
      <w:r>
        <w:rPr>
          <w:rFonts w:hint="eastAsia" w:eastAsia="仿宋_GB2312"/>
          <w:sz w:val="32"/>
        </w:rPr>
        <w:t>（三）及时向省交通运输厅申报符合其他行为中加分项的证明资料。</w:t>
      </w:r>
    </w:p>
    <w:p>
      <w:pPr>
        <w:spacing w:line="600" w:lineRule="exact"/>
        <w:jc w:val="center"/>
        <w:rPr>
          <w:rFonts w:eastAsia="仿宋_GB2312"/>
          <w:b/>
          <w:kern w:val="0"/>
          <w:sz w:val="32"/>
          <w:szCs w:val="32"/>
        </w:rPr>
      </w:pPr>
      <w:r>
        <w:rPr>
          <w:rFonts w:hint="eastAsia" w:eastAsia="黑体"/>
          <w:bCs/>
          <w:kern w:val="0"/>
          <w:sz w:val="32"/>
          <w:szCs w:val="32"/>
        </w:rPr>
        <w:t>第三章</w:t>
      </w:r>
      <w:r>
        <w:rPr>
          <w:rFonts w:eastAsia="黑体"/>
          <w:bCs/>
          <w:kern w:val="0"/>
          <w:sz w:val="32"/>
          <w:szCs w:val="32"/>
        </w:rPr>
        <w:t xml:space="preserve">  </w:t>
      </w:r>
      <w:r>
        <w:rPr>
          <w:rFonts w:hint="eastAsia" w:eastAsia="黑体"/>
          <w:bCs/>
          <w:kern w:val="0"/>
          <w:sz w:val="32"/>
          <w:szCs w:val="32"/>
        </w:rPr>
        <w:t>评价对象及范围</w:t>
      </w:r>
    </w:p>
    <w:p>
      <w:pPr>
        <w:spacing w:line="600" w:lineRule="exact"/>
        <w:ind w:firstLine="640" w:firstLineChars="200"/>
        <w:rPr>
          <w:rFonts w:ascii="仿宋_GB2312" w:eastAsia="仿宋_GB2312"/>
          <w:sz w:val="32"/>
        </w:rPr>
      </w:pPr>
      <w:r>
        <w:rPr>
          <w:rFonts w:hint="eastAsia" w:ascii="仿宋_GB2312" w:eastAsia="仿宋_GB2312"/>
          <w:sz w:val="32"/>
        </w:rPr>
        <w:t>第十一条 评价年度内，水运工程施工企业信用评价范围及对象如下：</w:t>
      </w:r>
    </w:p>
    <w:p>
      <w:p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（一）在我省水运建设项目投标中存在不良行为的，或在招投标阶段被招投标行政监督部门认定有虚假投诉举报行为的施工企业。</w:t>
      </w:r>
    </w:p>
    <w:p>
      <w:p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（二）至少有一个水运建设项目处于施工阶段且符合下列要求的施工企业：</w:t>
      </w:r>
    </w:p>
    <w:p>
      <w:pPr>
        <w:numPr>
          <w:ilvl w:val="255"/>
          <w:numId w:val="0"/>
        </w:num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1.参评标段在全国水运建设信用信息管理系统及省平台中已发布为主包或分包在建业绩的。</w:t>
      </w:r>
    </w:p>
    <w:p>
      <w:pPr>
        <w:numPr>
          <w:ilvl w:val="255"/>
          <w:numId w:val="0"/>
        </w:num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2.参评标段在11月30日前签订施工合同，且所属项目在12月31日前签发开工令的。</w:t>
      </w:r>
    </w:p>
    <w:p>
      <w:p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此类评价对象交工验收后原则上不再评价。可参评的年度次数，累计不能超出项目合同工期所涉及的年度数（自开工令签发之日起计算）。</w:t>
      </w:r>
    </w:p>
    <w:p>
      <w:pPr>
        <w:numPr>
          <w:ilvl w:val="255"/>
          <w:numId w:val="0"/>
        </w:numPr>
        <w:spacing w:line="600" w:lineRule="exact"/>
        <w:ind w:firstLine="640" w:firstLineChars="200"/>
        <w:rPr>
          <w:rFonts w:ascii="仿宋_GB2312" w:eastAsia="仿宋_GB2312"/>
          <w:sz w:val="32"/>
        </w:rPr>
      </w:pPr>
      <w:r>
        <w:rPr>
          <w:rFonts w:hint="eastAsia" w:ascii="仿宋_GB2312" w:eastAsia="仿宋_GB2312"/>
          <w:sz w:val="32"/>
        </w:rPr>
        <w:t>第十二条 除第十一条规定的施工企业外，若在我省水运建设项目中有下列严重不良行为之一的施工企业，均纳入评价范围及对象。具体如下：</w:t>
      </w:r>
    </w:p>
    <w:p>
      <w:pPr>
        <w:numPr>
          <w:ilvl w:val="255"/>
          <w:numId w:val="0"/>
        </w:numPr>
        <w:spacing w:line="600" w:lineRule="exact"/>
        <w:ind w:firstLine="640" w:firstLineChars="200"/>
        <w:rPr>
          <w:rFonts w:ascii="仿宋_GB2312" w:eastAsia="仿宋_GB2312"/>
          <w:sz w:val="32"/>
        </w:rPr>
      </w:pPr>
      <w:r>
        <w:rPr>
          <w:rFonts w:hint="eastAsia" w:ascii="仿宋_GB2312" w:eastAsia="仿宋_GB2312"/>
          <w:sz w:val="32"/>
        </w:rPr>
        <w:t>（一）不按合同要求组织进场开工的。</w:t>
      </w:r>
    </w:p>
    <w:p>
      <w:pPr>
        <w:numPr>
          <w:ilvl w:val="255"/>
          <w:numId w:val="0"/>
        </w:numPr>
        <w:spacing w:line="600" w:lineRule="exact"/>
        <w:ind w:firstLine="640" w:firstLineChars="200"/>
        <w:rPr>
          <w:rFonts w:ascii="仿宋_GB2312" w:eastAsia="仿宋_GB2312"/>
          <w:sz w:val="32"/>
        </w:rPr>
      </w:pPr>
      <w:r>
        <w:rPr>
          <w:rFonts w:hint="eastAsia" w:ascii="仿宋_GB2312" w:eastAsia="仿宋_GB2312"/>
          <w:sz w:val="32"/>
        </w:rPr>
        <w:t>（二）因企业自身原因，应参加信用评价但未按要求提交相关评价资料参加信用评价的。</w:t>
      </w:r>
    </w:p>
    <w:p>
      <w:pPr>
        <w:numPr>
          <w:ilvl w:val="255"/>
          <w:numId w:val="0"/>
        </w:numPr>
        <w:spacing w:line="600" w:lineRule="exact"/>
        <w:ind w:firstLine="640" w:firstLineChars="200"/>
        <w:rPr>
          <w:rFonts w:ascii="仿宋_GB2312" w:eastAsia="仿宋_GB2312"/>
          <w:sz w:val="32"/>
        </w:rPr>
      </w:pPr>
      <w:r>
        <w:rPr>
          <w:rFonts w:hint="eastAsia" w:ascii="仿宋_GB2312" w:eastAsia="仿宋_GB2312"/>
          <w:sz w:val="32"/>
        </w:rPr>
        <w:t>（三）不配合项目建设单位开展交工验收的，或质量缺陷责任期内不积极履行缺陷处治整改责任的，或不积极配合交通运输主管部门开展竣工验收的。</w:t>
      </w:r>
    </w:p>
    <w:p>
      <w:pPr>
        <w:numPr>
          <w:ilvl w:val="255"/>
          <w:numId w:val="0"/>
        </w:numPr>
        <w:spacing w:line="600" w:lineRule="exact"/>
        <w:ind w:firstLine="640" w:firstLineChars="200"/>
        <w:rPr>
          <w:rFonts w:ascii="仿宋_GB2312" w:eastAsia="仿宋_GB2312"/>
          <w:sz w:val="32"/>
        </w:rPr>
      </w:pPr>
      <w:r>
        <w:rPr>
          <w:rFonts w:hint="eastAsia" w:ascii="仿宋_GB2312" w:eastAsia="仿宋_GB2312"/>
          <w:sz w:val="32"/>
        </w:rPr>
        <w:t>（四）恶意拖欠工程款、农民工工资、材料款等被司法机关强制执行的，或因拖欠问题造成群体性事件引发不良社会影响的。</w:t>
      </w:r>
    </w:p>
    <w:p>
      <w:pPr>
        <w:numPr>
          <w:ilvl w:val="255"/>
          <w:numId w:val="0"/>
        </w:numPr>
        <w:spacing w:line="600" w:lineRule="exact"/>
        <w:ind w:firstLine="640" w:firstLineChars="200"/>
        <w:rPr>
          <w:rFonts w:ascii="仿宋_GB2312" w:eastAsia="仿宋_GB2312"/>
          <w:sz w:val="32"/>
        </w:rPr>
      </w:pPr>
      <w:r>
        <w:rPr>
          <w:rFonts w:hint="eastAsia" w:ascii="仿宋_GB2312" w:eastAsia="仿宋_GB2312"/>
          <w:sz w:val="32"/>
        </w:rPr>
        <w:t>（五）被司法机关认定有单位行贿、受贿行为，并构成犯罪的。</w:t>
      </w:r>
    </w:p>
    <w:p>
      <w:pPr>
        <w:numPr>
          <w:ilvl w:val="255"/>
          <w:numId w:val="0"/>
        </w:numPr>
        <w:spacing w:line="600" w:lineRule="exact"/>
        <w:ind w:firstLine="640" w:firstLineChars="200"/>
        <w:rPr>
          <w:rFonts w:ascii="仿宋_GB2312" w:eastAsia="仿宋_GB2312"/>
          <w:sz w:val="32"/>
        </w:rPr>
      </w:pPr>
      <w:r>
        <w:rPr>
          <w:rFonts w:hint="eastAsia" w:ascii="仿宋_GB2312" w:eastAsia="仿宋_GB2312"/>
          <w:sz w:val="32"/>
        </w:rPr>
        <w:t>（六）无正当理由拒绝参与交通运输主管部门组织的应急抢险任务的。</w:t>
      </w:r>
    </w:p>
    <w:p>
      <w:pPr>
        <w:numPr>
          <w:ilvl w:val="255"/>
          <w:numId w:val="0"/>
        </w:numPr>
        <w:spacing w:line="600" w:lineRule="exact"/>
        <w:ind w:firstLine="640" w:firstLineChars="200"/>
        <w:rPr>
          <w:rFonts w:ascii="仿宋_GB2312" w:eastAsia="仿宋_GB2312"/>
          <w:sz w:val="32"/>
        </w:rPr>
      </w:pPr>
      <w:r>
        <w:rPr>
          <w:rFonts w:hint="eastAsia" w:ascii="仿宋_GB2312" w:eastAsia="仿宋_GB2312"/>
          <w:sz w:val="32"/>
        </w:rPr>
        <w:t>（七）被省级交通运输主管部门及行业发展机构查实存在违法违规问题受到行政处罚的。</w:t>
      </w:r>
    </w:p>
    <w:p>
      <w:pPr>
        <w:numPr>
          <w:ilvl w:val="255"/>
          <w:numId w:val="0"/>
        </w:numPr>
        <w:spacing w:line="600" w:lineRule="exact"/>
        <w:ind w:firstLine="640" w:firstLineChars="200"/>
        <w:rPr>
          <w:rFonts w:ascii="仿宋_GB2312" w:eastAsia="仿宋_GB2312"/>
          <w:sz w:val="32"/>
        </w:rPr>
      </w:pPr>
      <w:r>
        <w:rPr>
          <w:rFonts w:hint="eastAsia" w:ascii="仿宋_GB2312" w:eastAsia="仿宋_GB2312"/>
          <w:sz w:val="32"/>
        </w:rPr>
        <w:t>存在以上情形的施工企业，可由建设单位或市州交通运输主管部门按正常评价程序上报，也可实施差评后直接上报。</w:t>
      </w:r>
    </w:p>
    <w:p>
      <w:pPr>
        <w:numPr>
          <w:ilvl w:val="255"/>
          <w:numId w:val="0"/>
        </w:numPr>
        <w:spacing w:line="600" w:lineRule="exact"/>
        <w:ind w:firstLine="640" w:firstLineChars="200"/>
        <w:rPr>
          <w:rFonts w:ascii="仿宋_GB2312" w:eastAsia="仿宋_GB2312"/>
          <w:sz w:val="32"/>
        </w:rPr>
      </w:pPr>
    </w:p>
    <w:p>
      <w:pPr>
        <w:numPr>
          <w:ilvl w:val="0"/>
          <w:numId w:val="1"/>
        </w:numPr>
        <w:spacing w:line="600" w:lineRule="exact"/>
        <w:jc w:val="center"/>
        <w:rPr>
          <w:rFonts w:eastAsia="黑体"/>
          <w:bCs/>
          <w:kern w:val="0"/>
          <w:sz w:val="32"/>
          <w:szCs w:val="32"/>
        </w:rPr>
      </w:pPr>
      <w:r>
        <w:rPr>
          <w:rFonts w:hint="eastAsia" w:eastAsia="黑体"/>
          <w:bCs/>
          <w:kern w:val="0"/>
          <w:sz w:val="32"/>
          <w:szCs w:val="32"/>
        </w:rPr>
        <w:t>评价内容、标准及依据</w:t>
      </w:r>
    </w:p>
    <w:p>
      <w:pPr>
        <w:numPr>
          <w:ilvl w:val="255"/>
          <w:numId w:val="0"/>
        </w:numPr>
        <w:spacing w:line="600" w:lineRule="exact"/>
        <w:ind w:firstLine="640" w:firstLineChars="200"/>
        <w:rPr>
          <w:rFonts w:ascii="仿宋_GB2312" w:eastAsia="仿宋_GB2312"/>
          <w:sz w:val="32"/>
        </w:rPr>
      </w:pPr>
      <w:r>
        <w:rPr>
          <w:rFonts w:hint="eastAsia" w:ascii="仿宋_GB2312" w:eastAsia="仿宋_GB2312"/>
          <w:sz w:val="32"/>
        </w:rPr>
        <w:t>第十三条 水运工程施工企业信用评价内容包括投标行为、履约行为和其它信用行为。投标行为以企业单次投标为评价单元；履约行为以单个合同为评价单元；其他行为以企业单次失信行为为评价单元。</w:t>
      </w:r>
    </w:p>
    <w:p>
      <w:pPr>
        <w:numPr>
          <w:ilvl w:val="255"/>
          <w:numId w:val="0"/>
        </w:numPr>
        <w:spacing w:line="600" w:lineRule="exact"/>
        <w:ind w:firstLine="640" w:firstLineChars="200"/>
        <w:rPr>
          <w:rFonts w:ascii="仿宋_GB2312" w:eastAsia="仿宋_GB2312"/>
          <w:sz w:val="32"/>
        </w:rPr>
      </w:pPr>
      <w:r>
        <w:rPr>
          <w:rFonts w:hint="eastAsia" w:ascii="仿宋_GB2312" w:eastAsia="仿宋_GB2312"/>
          <w:sz w:val="32"/>
        </w:rPr>
        <w:t>对企业失信行为按照《湖南省水运工程施工企业信用行为评定标准》（详见附件1）进行扣分。</w:t>
      </w:r>
    </w:p>
    <w:p>
      <w:pPr>
        <w:spacing w:line="600" w:lineRule="exact"/>
        <w:ind w:firstLine="640" w:firstLineChars="200"/>
        <w:rPr>
          <w:rFonts w:ascii="仿宋_GB2312" w:eastAsia="仿宋_GB2312"/>
          <w:sz w:val="32"/>
        </w:rPr>
      </w:pPr>
      <w:r>
        <w:rPr>
          <w:rFonts w:hint="eastAsia" w:ascii="仿宋_GB2312" w:eastAsia="仿宋_GB2312"/>
          <w:sz w:val="32"/>
        </w:rPr>
        <w:t>第十四条 水运工程施工企业信用行为评分的采信依据为：</w:t>
      </w:r>
    </w:p>
    <w:p>
      <w:pPr>
        <w:pStyle w:val="6"/>
        <w:spacing w:beforeAutospacing="0" w:afterAutospacing="0" w:line="600" w:lineRule="exact"/>
        <w:ind w:firstLine="640" w:firstLineChars="200"/>
        <w:jc w:val="both"/>
        <w:rPr>
          <w:rFonts w:ascii="仿宋_GB2312" w:hAnsi="Times New Roman" w:eastAsia="仿宋_GB2312"/>
          <w:sz w:val="32"/>
          <w:szCs w:val="30"/>
        </w:rPr>
      </w:pPr>
      <w:r>
        <w:rPr>
          <w:rFonts w:hint="eastAsia" w:ascii="仿宋_GB2312" w:hAnsi="Times New Roman" w:eastAsia="仿宋_GB2312"/>
          <w:sz w:val="32"/>
          <w:szCs w:val="30"/>
        </w:rPr>
        <w:t>（一）招标人、项目建设单位、监理单位管理工作中的正式文件，经施工企业有关人员签认的检查记录等；</w:t>
      </w:r>
    </w:p>
    <w:p>
      <w:pPr>
        <w:pStyle w:val="6"/>
        <w:spacing w:beforeAutospacing="0" w:afterAutospacing="0" w:line="600" w:lineRule="exact"/>
        <w:ind w:firstLine="640" w:firstLineChars="200"/>
        <w:jc w:val="both"/>
        <w:rPr>
          <w:rFonts w:ascii="仿宋_GB2312" w:hAnsi="Times New Roman" w:eastAsia="仿宋_GB2312"/>
          <w:sz w:val="32"/>
          <w:szCs w:val="30"/>
        </w:rPr>
      </w:pPr>
      <w:r>
        <w:rPr>
          <w:rFonts w:hint="eastAsia" w:ascii="仿宋_GB2312" w:hAnsi="Times New Roman" w:eastAsia="仿宋_GB2312"/>
          <w:sz w:val="32"/>
          <w:szCs w:val="30"/>
        </w:rPr>
        <w:t>（二）省、市州交通运输主管部门及所属行业发展机构印发的督查、检查结果或奖罚通报、决定、约谈记录、会议纪要等文件和执法文书；</w:t>
      </w:r>
    </w:p>
    <w:p>
      <w:pPr>
        <w:pStyle w:val="6"/>
        <w:spacing w:beforeAutospacing="0" w:afterAutospacing="0" w:line="600" w:lineRule="exact"/>
        <w:ind w:firstLine="640" w:firstLineChars="200"/>
        <w:jc w:val="both"/>
        <w:rPr>
          <w:rFonts w:ascii="仿宋_GB2312" w:hAnsi="Times New Roman" w:eastAsia="仿宋_GB2312"/>
          <w:sz w:val="32"/>
          <w:szCs w:val="30"/>
        </w:rPr>
      </w:pPr>
      <w:r>
        <w:rPr>
          <w:rFonts w:hint="eastAsia" w:ascii="仿宋_GB2312" w:hAnsi="Times New Roman" w:eastAsia="仿宋_GB2312"/>
          <w:sz w:val="32"/>
          <w:szCs w:val="30"/>
        </w:rPr>
        <w:t>（三）举报、投诉或质量、安全事故调查处理结果；</w:t>
      </w:r>
    </w:p>
    <w:p>
      <w:pPr>
        <w:pStyle w:val="6"/>
        <w:spacing w:beforeAutospacing="0" w:afterAutospacing="0" w:line="600" w:lineRule="exact"/>
        <w:ind w:firstLine="640" w:firstLineChars="200"/>
        <w:jc w:val="both"/>
        <w:rPr>
          <w:rFonts w:ascii="仿宋_GB2312" w:hAnsi="Times New Roman" w:eastAsia="仿宋_GB2312"/>
          <w:sz w:val="32"/>
          <w:szCs w:val="30"/>
        </w:rPr>
      </w:pPr>
      <w:r>
        <w:rPr>
          <w:rFonts w:hint="eastAsia" w:ascii="仿宋_GB2312" w:hAnsi="Times New Roman" w:eastAsia="仿宋_GB2312"/>
          <w:sz w:val="32"/>
          <w:szCs w:val="30"/>
        </w:rPr>
        <w:t>（四）司法机关生效的司法裁判文书和仲裁文书，以及审计部门的审计意见；</w:t>
      </w:r>
    </w:p>
    <w:p>
      <w:pPr>
        <w:pStyle w:val="6"/>
        <w:spacing w:beforeAutospacing="0" w:afterAutospacing="0" w:line="600" w:lineRule="exact"/>
        <w:ind w:firstLine="640" w:firstLineChars="200"/>
        <w:jc w:val="both"/>
        <w:rPr>
          <w:rFonts w:ascii="仿宋_GB2312" w:hAnsi="Times New Roman" w:eastAsia="仿宋_GB2312"/>
          <w:sz w:val="32"/>
          <w:szCs w:val="30"/>
        </w:rPr>
      </w:pPr>
      <w:r>
        <w:rPr>
          <w:rFonts w:hint="eastAsia" w:ascii="仿宋_GB2312" w:hAnsi="Times New Roman" w:eastAsia="仿宋_GB2312"/>
          <w:sz w:val="32"/>
          <w:szCs w:val="30"/>
        </w:rPr>
        <w:t>（五）法律、法规或者国家规定可以作为不良行为认定依据的其他文书。</w:t>
      </w:r>
    </w:p>
    <w:p>
      <w:pPr>
        <w:pStyle w:val="6"/>
        <w:spacing w:beforeAutospacing="0" w:afterAutospacing="0" w:line="600" w:lineRule="exact"/>
        <w:ind w:firstLine="640" w:firstLineChars="200"/>
        <w:jc w:val="both"/>
        <w:rPr>
          <w:rFonts w:ascii="仿宋_GB2312" w:hAnsi="Times New Roman" w:eastAsia="仿宋_GB2312"/>
          <w:sz w:val="32"/>
          <w:szCs w:val="30"/>
        </w:rPr>
      </w:pPr>
      <w:r>
        <w:rPr>
          <w:rFonts w:hint="eastAsia" w:ascii="仿宋_GB2312" w:hAnsi="Times New Roman" w:eastAsia="仿宋_GB2312"/>
          <w:sz w:val="32"/>
          <w:szCs w:val="30"/>
        </w:rPr>
        <w:t>其中（一）（二）项按文件描述的不良行为发生日期纳入对应年度信用评价扣分；（三）（四）（五）项按文件（资料）出具日期纳入对应年度信用评价扣分。</w:t>
      </w:r>
    </w:p>
    <w:p>
      <w:pPr>
        <w:pStyle w:val="6"/>
        <w:spacing w:beforeAutospacing="0" w:afterAutospacing="0" w:line="600" w:lineRule="exact"/>
        <w:ind w:firstLine="640" w:firstLineChars="200"/>
        <w:jc w:val="both"/>
        <w:rPr>
          <w:rFonts w:ascii="仿宋_GB2312" w:hAnsi="Times New Roman" w:eastAsia="仿宋_GB2312"/>
          <w:sz w:val="32"/>
          <w:szCs w:val="30"/>
        </w:rPr>
      </w:pPr>
      <w:r>
        <w:rPr>
          <w:rFonts w:hint="eastAsia" w:ascii="仿宋_GB2312" w:hAnsi="Times New Roman" w:eastAsia="仿宋_GB2312"/>
          <w:sz w:val="32"/>
        </w:rPr>
        <w:t>第十五条 项目建设单位、省市交通运输主管部门或行业发展机构在印发督查、检查结果或奖罚通报、决定、约谈记录、会议纪要时，对失信履约行为应使用部、省评定标准中的规范语言进行描述。</w:t>
      </w:r>
    </w:p>
    <w:p>
      <w:pPr>
        <w:spacing w:line="600" w:lineRule="exact"/>
        <w:ind w:firstLine="640" w:firstLineChars="200"/>
        <w:jc w:val="left"/>
        <w:rPr>
          <w:rFonts w:ascii="仿宋_GB2312" w:eastAsia="仿宋_GB2312"/>
          <w:sz w:val="32"/>
        </w:rPr>
      </w:pPr>
      <w:r>
        <w:rPr>
          <w:rFonts w:hint="eastAsia" w:ascii="仿宋_GB2312" w:eastAsia="仿宋_GB2312"/>
          <w:sz w:val="32"/>
        </w:rPr>
        <w:t>第十六条 评价年度内，在我省水上抢险救灾、应急保障等任务中受到国务院、省人民政府、交通运输部、省交通运输厅表彰的企业；在我省水运工程质量安全管理、诚信建设、“平安工地”、“品质工程”等年度考核工作中，或在安全生产、质量管理、施工工艺创新等方面获得部、省级及以上表彰的企业；获得与参建项目相关的国家级奖项或荣誉表彰称号的企业，按国家级、省部级、厅级分类加分，累计加分最高不超过3分。同一事项获多个层级表彰的，按“就高不就低”原则加分，不予重复加分。</w:t>
      </w:r>
    </w:p>
    <w:p>
      <w:pPr>
        <w:spacing w:line="600" w:lineRule="exact"/>
        <w:ind w:firstLine="640" w:firstLineChars="200"/>
        <w:jc w:val="left"/>
        <w:rPr>
          <w:rFonts w:ascii="仿宋_GB2312" w:eastAsia="仿宋_GB2312"/>
          <w:bCs/>
          <w:kern w:val="0"/>
          <w:sz w:val="32"/>
          <w:szCs w:val="32"/>
        </w:rPr>
      </w:pPr>
    </w:p>
    <w:p>
      <w:pPr>
        <w:spacing w:line="600" w:lineRule="exact"/>
        <w:jc w:val="center"/>
        <w:rPr>
          <w:rFonts w:eastAsia="仿宋_GB2312"/>
          <w:sz w:val="32"/>
        </w:rPr>
      </w:pPr>
      <w:r>
        <w:rPr>
          <w:rFonts w:hint="eastAsia" w:eastAsia="黑体"/>
          <w:bCs/>
          <w:kern w:val="0"/>
          <w:sz w:val="32"/>
          <w:szCs w:val="32"/>
        </w:rPr>
        <w:t>第五章</w:t>
      </w:r>
      <w:r>
        <w:rPr>
          <w:rFonts w:eastAsia="黑体"/>
          <w:bCs/>
          <w:kern w:val="0"/>
          <w:sz w:val="32"/>
          <w:szCs w:val="32"/>
        </w:rPr>
        <w:t xml:space="preserve">  </w:t>
      </w:r>
      <w:r>
        <w:rPr>
          <w:rFonts w:hint="eastAsia" w:eastAsia="黑体"/>
          <w:bCs/>
          <w:kern w:val="0"/>
          <w:sz w:val="32"/>
          <w:szCs w:val="32"/>
        </w:rPr>
        <w:t>评价程序与分工</w:t>
      </w:r>
    </w:p>
    <w:p>
      <w:pPr>
        <w:spacing w:line="600" w:lineRule="exact"/>
        <w:ind w:firstLine="640" w:firstLineChars="200"/>
        <w:rPr>
          <w:rFonts w:ascii="仿宋_GB2312" w:eastAsia="仿宋_GB2312"/>
          <w:sz w:val="32"/>
        </w:rPr>
      </w:pPr>
      <w:r>
        <w:rPr>
          <w:rFonts w:hint="eastAsia" w:ascii="仿宋_GB2312" w:eastAsia="仿宋_GB2312"/>
          <w:sz w:val="32"/>
        </w:rPr>
        <w:t>第十七条 各项目建设单位、施工单位、各级交通运输主管部门及行业发展机构应通过省平台完成信用评价资料的采集录入及报送工作。</w:t>
      </w:r>
    </w:p>
    <w:p>
      <w:pPr>
        <w:spacing w:line="600" w:lineRule="exact"/>
        <w:ind w:firstLine="640" w:firstLineChars="200"/>
        <w:rPr>
          <w:rFonts w:ascii="仿宋_GB2312" w:eastAsia="仿宋_GB2312"/>
          <w:sz w:val="32"/>
        </w:rPr>
      </w:pPr>
      <w:r>
        <w:rPr>
          <w:rFonts w:hint="eastAsia" w:ascii="仿宋_GB2312" w:eastAsia="仿宋_GB2312"/>
          <w:sz w:val="32"/>
        </w:rPr>
        <w:t>建设项目工可经批复（核准）并成立建设单位后即可申请开设省平台管理账号。项目基本信息应在管理账号开通后7日内完成录入，动态更新时间周期为工可批复至竣工验收之日；项目标段信息应在施工合同签订后7日内完成录入，信息动态更新时间周期为合同签订至交工验收（证书签发）之日。省交通运输厅按相关要求完成审核后作为本年度信用评价基础数据。</w:t>
      </w:r>
    </w:p>
    <w:p>
      <w:pPr>
        <w:spacing w:line="600" w:lineRule="exact"/>
        <w:ind w:firstLine="640" w:firstLineChars="200"/>
        <w:rPr>
          <w:rFonts w:ascii="仿宋_GB2312" w:eastAsia="仿宋_GB2312"/>
          <w:sz w:val="32"/>
        </w:rPr>
      </w:pPr>
      <w:r>
        <w:rPr>
          <w:rFonts w:hint="eastAsia" w:ascii="仿宋_GB2312" w:eastAsia="仿宋_GB2312"/>
          <w:sz w:val="32"/>
        </w:rPr>
        <w:t>第十八条 建设项目在交工验收前，其进度信息由施工企业每月25日前通过省平台录入并更新，经监理、建设单位确认后锁定，作为该企业参加本年度信用评价基础数据。</w:t>
      </w:r>
    </w:p>
    <w:p>
      <w:pPr>
        <w:spacing w:line="600" w:lineRule="exact"/>
        <w:ind w:firstLine="640" w:firstLineChars="200"/>
        <w:rPr>
          <w:rFonts w:ascii="仿宋_GB2312" w:eastAsia="仿宋_GB2312"/>
          <w:sz w:val="32"/>
        </w:rPr>
      </w:pPr>
      <w:r>
        <w:rPr>
          <w:rFonts w:hint="eastAsia" w:ascii="仿宋_GB2312" w:eastAsia="仿宋_GB2312"/>
          <w:sz w:val="32"/>
        </w:rPr>
        <w:t>第十九条 各级交通运输主管部门及行业发展机构按职责分工督促、指导项目建设单位及时录入并动态更新项目信息及标段信息，及时录入本单位在湖南省水运建设市场监管工作中发现的问题、发布的通报约谈等相关信息，做到应录尽录。此项工作纳入水运建设市场督查、项目考评内容，实行量化考评。</w:t>
      </w:r>
    </w:p>
    <w:p>
      <w:pPr>
        <w:spacing w:line="600" w:lineRule="exact"/>
        <w:ind w:firstLine="640" w:firstLineChars="200"/>
        <w:rPr>
          <w:rFonts w:ascii="仿宋_GB2312" w:eastAsia="仿宋_GB2312"/>
          <w:bCs/>
          <w:kern w:val="0"/>
          <w:sz w:val="32"/>
          <w:szCs w:val="32"/>
        </w:rPr>
      </w:pPr>
      <w:r>
        <w:rPr>
          <w:rFonts w:hint="eastAsia" w:ascii="仿宋_GB2312" w:eastAsia="仿宋_GB2312"/>
          <w:sz w:val="32"/>
        </w:rPr>
        <w:t xml:space="preserve">第二十条 </w:t>
      </w:r>
      <w:r>
        <w:rPr>
          <w:rFonts w:hint="eastAsia" w:ascii="仿宋_GB2312" w:eastAsia="仿宋_GB2312"/>
          <w:kern w:val="0"/>
          <w:sz w:val="32"/>
          <w:szCs w:val="32"/>
        </w:rPr>
        <w:t>水运工程施工企业信用评价工作实行定期评价和动态管理相结合的方式。其中定期评价周期为1年，对水运施工企业上一年度（每年1月1日至12月31日）的从业行为进行综合评价，</w:t>
      </w:r>
      <w:r>
        <w:rPr>
          <w:rFonts w:hint="eastAsia" w:ascii="仿宋_GB2312" w:eastAsia="仿宋_GB2312"/>
          <w:bCs/>
          <w:kern w:val="0"/>
          <w:sz w:val="32"/>
          <w:szCs w:val="32"/>
        </w:rPr>
        <w:t>每年对施工企业投标行为、其他行为评价1次，对</w:t>
      </w:r>
      <w:r>
        <w:rPr>
          <w:rFonts w:hint="eastAsia" w:ascii="仿宋_GB2312" w:eastAsia="仿宋_GB2312"/>
          <w:kern w:val="0"/>
          <w:sz w:val="32"/>
          <w:szCs w:val="32"/>
        </w:rPr>
        <w:t>履约行为评价3次</w:t>
      </w:r>
      <w:r>
        <w:rPr>
          <w:rFonts w:hint="eastAsia" w:ascii="仿宋_GB2312" w:eastAsia="仿宋_GB2312"/>
          <w:sz w:val="32"/>
        </w:rPr>
        <w:t>（1-6月进行第</w:t>
      </w:r>
      <w:r>
        <w:rPr>
          <w:rFonts w:hint="eastAsia" w:ascii="仿宋_GB2312" w:hAnsi="宋体" w:eastAsia="仿宋_GB2312" w:cs="宋体"/>
          <w:sz w:val="32"/>
        </w:rPr>
        <w:t>1</w:t>
      </w:r>
      <w:r>
        <w:rPr>
          <w:rFonts w:hint="eastAsia" w:ascii="仿宋_GB2312" w:eastAsia="仿宋_GB2312"/>
          <w:sz w:val="32"/>
        </w:rPr>
        <w:t>次评价、7-9月进行第</w:t>
      </w:r>
      <w:r>
        <w:rPr>
          <w:rFonts w:hint="eastAsia" w:ascii="仿宋_GB2312" w:hAnsi="宋体" w:eastAsia="仿宋_GB2312" w:cs="宋体"/>
          <w:sz w:val="32"/>
        </w:rPr>
        <w:t>2</w:t>
      </w:r>
      <w:r>
        <w:rPr>
          <w:rFonts w:hint="eastAsia" w:ascii="仿宋_GB2312" w:eastAsia="仿宋_GB2312"/>
          <w:sz w:val="32"/>
        </w:rPr>
        <w:t>次评价、10-12月进行第</w:t>
      </w:r>
      <w:r>
        <w:rPr>
          <w:rFonts w:hint="eastAsia" w:ascii="仿宋_GB2312" w:hAnsi="宋体" w:eastAsia="仿宋_GB2312" w:cs="宋体"/>
          <w:sz w:val="32"/>
        </w:rPr>
        <w:t>3</w:t>
      </w:r>
      <w:r>
        <w:rPr>
          <w:rFonts w:hint="eastAsia" w:ascii="仿宋_GB2312" w:eastAsia="仿宋_GB2312"/>
          <w:sz w:val="32"/>
        </w:rPr>
        <w:t>次评价）</w:t>
      </w:r>
      <w:r>
        <w:rPr>
          <w:rFonts w:hint="eastAsia" w:ascii="仿宋_GB2312" w:eastAsia="仿宋_GB2312"/>
          <w:kern w:val="0"/>
          <w:sz w:val="32"/>
          <w:szCs w:val="32"/>
        </w:rPr>
        <w:t>，并将</w:t>
      </w:r>
      <w:r>
        <w:rPr>
          <w:rFonts w:hint="eastAsia" w:ascii="仿宋_GB2312" w:eastAsia="仿宋_GB2312"/>
          <w:bCs/>
          <w:kern w:val="0"/>
          <w:sz w:val="32"/>
          <w:szCs w:val="32"/>
        </w:rPr>
        <w:t>评价结果及时告知被评价对象</w:t>
      </w:r>
      <w:r>
        <w:rPr>
          <w:rFonts w:hint="eastAsia" w:ascii="仿宋_GB2312" w:eastAsia="仿宋_GB2312"/>
          <w:kern w:val="0"/>
          <w:sz w:val="32"/>
          <w:szCs w:val="32"/>
        </w:rPr>
        <w:t>；动态评价即交通运输主管部门对存在严重不良行为的企业直接进行定级或调降信用等级。</w:t>
      </w:r>
    </w:p>
    <w:p>
      <w:pPr>
        <w:spacing w:line="600" w:lineRule="exact"/>
        <w:ind w:firstLine="640" w:firstLineChars="200"/>
        <w:rPr>
          <w:rFonts w:ascii="仿宋_GB2312" w:eastAsia="仿宋_GB2312"/>
          <w:sz w:val="32"/>
        </w:rPr>
      </w:pPr>
      <w:r>
        <w:rPr>
          <w:rFonts w:hint="eastAsia" w:ascii="仿宋_GB2312" w:eastAsia="仿宋_GB2312"/>
          <w:sz w:val="32"/>
        </w:rPr>
        <w:t>第二十一条 企业投标行为由招标人进行评价，履约行为由项目法人（建设单位）进行初步评价，对于通过招标方式选定的特许经营项目投资人依法自行提供施工的，其履约行为由特许经营权出让人或委托机构进行初步评价；其他信用行为由省交通运输厅、市级交通运输主管部门（含同级行业发展机构）进行评价。</w:t>
      </w:r>
    </w:p>
    <w:p>
      <w:pPr>
        <w:spacing w:line="600" w:lineRule="exact"/>
        <w:ind w:firstLine="640" w:firstLineChars="200"/>
        <w:rPr>
          <w:rFonts w:ascii="仿宋_GB2312" w:eastAsia="仿宋_GB2312"/>
          <w:sz w:val="32"/>
        </w:rPr>
      </w:pPr>
      <w:r>
        <w:rPr>
          <w:rFonts w:hint="eastAsia" w:ascii="仿宋_GB2312" w:eastAsia="仿宋_GB2312"/>
          <w:sz w:val="32"/>
        </w:rPr>
        <w:t>（一）投标行为评价。招标人完成每次招标工作后，仅对存在不良投标行为的企业进行投标行为评价。被投诉举报并经查实投标过程中存在失信行为的应追溯评价。</w:t>
      </w:r>
    </w:p>
    <w:p>
      <w:pPr>
        <w:spacing w:line="600" w:lineRule="exact"/>
        <w:ind w:firstLine="640" w:firstLineChars="200"/>
        <w:rPr>
          <w:rFonts w:ascii="仿宋_GB2312" w:eastAsia="仿宋_GB2312"/>
          <w:sz w:val="32"/>
        </w:rPr>
      </w:pPr>
      <w:r>
        <w:rPr>
          <w:rFonts w:hint="eastAsia" w:ascii="仿宋_GB2312" w:eastAsia="仿宋_GB2312"/>
          <w:sz w:val="32"/>
        </w:rPr>
        <w:t>（二）履约行为评价。合同有效期内，各评价单位每年对施工企业的履约行为评价三次，年度履约行为扣分为三次评价的累计扣分值。</w:t>
      </w:r>
    </w:p>
    <w:p>
      <w:pPr>
        <w:numPr>
          <w:ilvl w:val="255"/>
          <w:numId w:val="0"/>
        </w:numPr>
        <w:spacing w:line="600" w:lineRule="exact"/>
        <w:ind w:firstLine="640" w:firstLineChars="200"/>
        <w:rPr>
          <w:rFonts w:ascii="仿宋_GB2312" w:eastAsia="仿宋_GB2312"/>
          <w:sz w:val="32"/>
        </w:rPr>
      </w:pPr>
      <w:r>
        <w:rPr>
          <w:rFonts w:hint="eastAsia" w:ascii="仿宋_GB2312" w:eastAsia="仿宋_GB2312"/>
          <w:sz w:val="32"/>
        </w:rPr>
        <w:t>项目建设单位应在单次评价期结束后的5日内完成该次评价（第</w:t>
      </w:r>
      <w:r>
        <w:rPr>
          <w:rFonts w:hint="eastAsia" w:ascii="仿宋_GB2312" w:hAnsi="宋体" w:eastAsia="仿宋_GB2312" w:cs="宋体"/>
          <w:sz w:val="32"/>
        </w:rPr>
        <w:t>1</w:t>
      </w:r>
      <w:r>
        <w:rPr>
          <w:rFonts w:hint="eastAsia" w:ascii="仿宋_GB2312" w:eastAsia="仿宋_GB2312"/>
          <w:sz w:val="32"/>
        </w:rPr>
        <w:t>次评价应于7月10日前完成、第</w:t>
      </w:r>
      <w:r>
        <w:rPr>
          <w:rFonts w:hint="eastAsia" w:ascii="仿宋_GB2312" w:hAnsi="宋体" w:eastAsia="仿宋_GB2312" w:cs="宋体"/>
          <w:sz w:val="32"/>
        </w:rPr>
        <w:t>2</w:t>
      </w:r>
      <w:r>
        <w:rPr>
          <w:rFonts w:hint="eastAsia" w:ascii="仿宋_GB2312" w:eastAsia="仿宋_GB2312"/>
          <w:sz w:val="32"/>
        </w:rPr>
        <w:t>次评价应于10月13日前完成、第</w:t>
      </w:r>
      <w:r>
        <w:rPr>
          <w:rFonts w:hint="eastAsia" w:ascii="仿宋_GB2312" w:hAnsi="宋体" w:eastAsia="仿宋_GB2312" w:cs="宋体"/>
          <w:sz w:val="32"/>
        </w:rPr>
        <w:t>3</w:t>
      </w:r>
      <w:r>
        <w:rPr>
          <w:rFonts w:hint="eastAsia" w:ascii="仿宋_GB2312" w:eastAsia="仿宋_GB2312"/>
          <w:sz w:val="32"/>
        </w:rPr>
        <w:t>次评价应于次年1月10日前完成），并按要求将评价资料通过省平台报送至交通运输主管部门（含同级行业发展机构）审核，其中市州交通运输主管部门应在15日内完成市级水运建设项目评价资料汇总和审核确认工作。</w:t>
      </w:r>
    </w:p>
    <w:p>
      <w:pPr>
        <w:spacing w:line="600" w:lineRule="exact"/>
        <w:ind w:firstLine="640" w:firstLineChars="200"/>
        <w:rPr>
          <w:rFonts w:ascii="仿宋_GB2312" w:eastAsia="仿宋_GB2312"/>
          <w:sz w:val="32"/>
        </w:rPr>
      </w:pPr>
      <w:r>
        <w:rPr>
          <w:rFonts w:hint="eastAsia" w:ascii="仿宋_GB2312" w:eastAsia="仿宋_GB2312"/>
          <w:sz w:val="32"/>
        </w:rPr>
        <w:t>（三）其他行为评价。省、市交通运输行政主管部门及其行业发展机构按职责分工对企业的其它行为进行评价，并将评价结果及时告知被评价对象。</w:t>
      </w:r>
    </w:p>
    <w:p>
      <w:pPr>
        <w:spacing w:line="600" w:lineRule="exact"/>
        <w:ind w:firstLine="640" w:firstLineChars="200"/>
        <w:rPr>
          <w:rFonts w:ascii="仿宋_GB2312" w:eastAsia="仿宋_GB2312"/>
          <w:sz w:val="32"/>
        </w:rPr>
      </w:pPr>
      <w:r>
        <w:rPr>
          <w:rFonts w:hint="eastAsia" w:ascii="仿宋_GB2312" w:eastAsia="仿宋_GB2312"/>
          <w:sz w:val="32"/>
        </w:rPr>
        <w:t>第二十二条 联合体在信用评价过程中有不良行为的，评价单位应依据联合体各组成企业具体工作内容予以分别或共同扣分，并记入信用管理台账，并确定信用等级。</w:t>
      </w:r>
    </w:p>
    <w:p>
      <w:pPr>
        <w:spacing w:line="600" w:lineRule="exact"/>
        <w:ind w:firstLine="640" w:firstLineChars="200"/>
        <w:rPr>
          <w:rFonts w:ascii="仿宋_GB2312" w:eastAsia="仿宋_GB2312"/>
          <w:sz w:val="32"/>
        </w:rPr>
      </w:pPr>
      <w:r>
        <w:rPr>
          <w:rFonts w:hint="eastAsia" w:ascii="仿宋_GB2312" w:eastAsia="仿宋_GB2312"/>
          <w:sz w:val="32"/>
        </w:rPr>
        <w:t>第二十三条 对涉及基础信息录入（含项目基本信息及相关佐证材料、进度信息、检查处罚扣分信息等）弄虚作假、不按规定填报和提交相关数据资料、违背行业管理规定的施工企业，严格按评定标准予以扣分；属市州交通运输主管部门责任的，省交通运输厅将在全省范围内予以通报。</w:t>
      </w:r>
    </w:p>
    <w:p>
      <w:pPr>
        <w:spacing w:line="600" w:lineRule="exact"/>
        <w:ind w:firstLine="640" w:firstLineChars="200"/>
        <w:rPr>
          <w:rFonts w:ascii="仿宋_GB2312" w:eastAsia="仿宋_GB2312"/>
          <w:sz w:val="32"/>
        </w:rPr>
      </w:pPr>
      <w:r>
        <w:rPr>
          <w:rFonts w:hint="eastAsia" w:ascii="仿宋_GB2312" w:eastAsia="仿宋_GB2312"/>
          <w:sz w:val="32"/>
        </w:rPr>
        <w:t>第二十四条 项目建设单位根据合同约定的工程进度或依据交通运输主管部门确定的年度产值目标，及时将目标任务录入省平台并告知各施工单位。因施工单位原因导致工程进度未满足要求的，按我省相应评价标准予以扣分。</w:t>
      </w:r>
    </w:p>
    <w:p>
      <w:pPr>
        <w:numPr>
          <w:ilvl w:val="255"/>
          <w:numId w:val="0"/>
        </w:numPr>
        <w:spacing w:line="600" w:lineRule="exact"/>
        <w:ind w:firstLine="640" w:firstLineChars="200"/>
        <w:rPr>
          <w:rFonts w:ascii="仿宋_GB2312" w:eastAsia="仿宋_GB2312"/>
          <w:sz w:val="32"/>
        </w:rPr>
      </w:pPr>
      <w:r>
        <w:rPr>
          <w:rFonts w:hint="eastAsia" w:ascii="仿宋_GB2312" w:eastAsia="仿宋_GB2312"/>
          <w:sz w:val="32"/>
        </w:rPr>
        <w:t>第二十五条 各级评价管理单位在扣分依据文件正式印发后，应于3日内在省平台中录入，形成扣分记录。各级评价单位在失信行为录入时，需填写处罚文号并上传扣分依据扫描件，如督查、检查结果或奖罚通报、决定等的首末页及不良行为描述页。</w:t>
      </w:r>
    </w:p>
    <w:p>
      <w:pPr>
        <w:numPr>
          <w:ilvl w:val="255"/>
          <w:numId w:val="0"/>
        </w:numPr>
        <w:spacing w:line="600" w:lineRule="exact"/>
        <w:ind w:firstLine="640" w:firstLineChars="200"/>
        <w:rPr>
          <w:rFonts w:ascii="仿宋_GB2312" w:eastAsia="仿宋_GB2312"/>
          <w:sz w:val="32"/>
        </w:rPr>
      </w:pPr>
      <w:r>
        <w:rPr>
          <w:rFonts w:hint="eastAsia" w:ascii="仿宋_GB2312" w:eastAsia="仿宋_GB2312"/>
          <w:sz w:val="32"/>
        </w:rPr>
        <w:t>第二十六条 各级交通运输主管部门录入的扣分记录，由省平台即时推送给项目建设单位及被扣分企业。项目建设单位应组织施工企业对扣分记录进行确认，对扣分记录有异议的，可在扣分记录登记7日内提出，原扣分录入单位应在异议上传3日内予以回复，被扣分单位对回复仍有异议的，可在省交通运输厅公示省级评价结果时进行申诉；若对扣分无异议，由项目建设单位在省平台中确认，并按确认的扣分记录在履约行为评价时进行扣分。</w:t>
      </w:r>
    </w:p>
    <w:p>
      <w:pPr>
        <w:numPr>
          <w:ilvl w:val="255"/>
          <w:numId w:val="0"/>
        </w:numPr>
        <w:spacing w:line="600" w:lineRule="exact"/>
        <w:ind w:firstLine="640" w:firstLineChars="200"/>
        <w:rPr>
          <w:rFonts w:ascii="仿宋_GB2312" w:eastAsia="仿宋_GB2312"/>
          <w:sz w:val="32"/>
        </w:rPr>
      </w:pPr>
      <w:r>
        <w:rPr>
          <w:rFonts w:hint="eastAsia" w:ascii="仿宋_GB2312" w:eastAsia="仿宋_GB2312"/>
          <w:sz w:val="32"/>
        </w:rPr>
        <w:t>第二十七条 各市州交通运输主管部门应强化信用评价过程监管，将每次评价、年度评价基础信息及得分情况在门户网上公示3日，并及时处理相关申诉及投诉。省交通运输厅原则上不再受理涉及市州上报的最终评价结果的申诉。</w:t>
      </w:r>
    </w:p>
    <w:p>
      <w:pPr>
        <w:numPr>
          <w:ilvl w:val="255"/>
          <w:numId w:val="0"/>
        </w:numPr>
        <w:spacing w:line="600" w:lineRule="exact"/>
        <w:ind w:firstLine="640" w:firstLineChars="200"/>
        <w:rPr>
          <w:rFonts w:ascii="仿宋_GB2312" w:eastAsia="仿宋_GB2312"/>
          <w:sz w:val="32"/>
        </w:rPr>
      </w:pPr>
      <w:r>
        <w:rPr>
          <w:rFonts w:hint="eastAsia" w:ascii="仿宋_GB2312" w:eastAsia="仿宋_GB2312"/>
          <w:sz w:val="32"/>
        </w:rPr>
        <w:t>省交通运输厅将在厅门户网站对每次评价结果、年度评价结果信息进行公示，其中每次评价结果公示期不少于5日，年度评价结果公示期不少于10日。公示期内，接受参评企业就本次公示内容的申诉。</w:t>
      </w:r>
    </w:p>
    <w:p>
      <w:pPr>
        <w:spacing w:line="600" w:lineRule="exact"/>
        <w:ind w:firstLine="640" w:firstLineChars="200"/>
        <w:rPr>
          <w:rFonts w:ascii="仿宋_GB2312" w:eastAsia="仿宋_GB2312"/>
          <w:kern w:val="0"/>
          <w:sz w:val="32"/>
          <w:szCs w:val="32"/>
        </w:rPr>
      </w:pPr>
      <w:r>
        <w:rPr>
          <w:rFonts w:hint="eastAsia" w:ascii="仿宋_GB2312" w:eastAsia="仿宋_GB2312"/>
          <w:sz w:val="32"/>
        </w:rPr>
        <w:t>第二十八条 参评企业对各级交通运输主管部门公示的内容有异议，可在公示期内通过省平台提交《湖南省水运工程施工企业信用评价申诉书》（详见附件5），申诉书应附详细的原始证明材料，申诉人对原始证明材料的真实性负责。省交通运输厅在单次评价过程中已受理并作出处理结论的事项，原则上不予再次受理。</w:t>
      </w:r>
    </w:p>
    <w:p>
      <w:pPr>
        <w:spacing w:line="600" w:lineRule="exact"/>
        <w:ind w:firstLine="640" w:firstLineChars="200"/>
        <w:rPr>
          <w:rFonts w:ascii="仿宋_GB2312" w:eastAsia="仿宋_GB2312"/>
          <w:sz w:val="32"/>
        </w:rPr>
      </w:pPr>
      <w:r>
        <w:rPr>
          <w:rFonts w:hint="eastAsia" w:ascii="仿宋_GB2312" w:eastAsia="仿宋_GB2312"/>
          <w:sz w:val="32"/>
        </w:rPr>
        <w:t>第二十九条 任何单位和个人可在综合评价得分公示期内，对施工企业的失信行为以及信用评价工作中的违纪、违规行为等向省交通运输主管部门进行举报。举报应采取实名、书面方式，举报材料中应包括以下内容：</w:t>
      </w:r>
    </w:p>
    <w:p>
      <w:pPr>
        <w:spacing w:line="600" w:lineRule="exact"/>
        <w:ind w:firstLine="640" w:firstLineChars="200"/>
        <w:rPr>
          <w:rFonts w:ascii="仿宋_GB2312" w:eastAsia="仿宋_GB2312"/>
          <w:sz w:val="32"/>
        </w:rPr>
      </w:pPr>
      <w:r>
        <w:rPr>
          <w:rFonts w:hint="eastAsia" w:ascii="仿宋_GB2312" w:eastAsia="仿宋_GB2312"/>
          <w:sz w:val="32"/>
        </w:rPr>
        <w:t>（一）举报人的姓名或单位名称、地址及有效联系方式；</w:t>
      </w:r>
    </w:p>
    <w:p>
      <w:pPr>
        <w:spacing w:line="600" w:lineRule="exact"/>
        <w:ind w:firstLine="640" w:firstLineChars="200"/>
        <w:rPr>
          <w:rFonts w:ascii="仿宋_GB2312" w:eastAsia="仿宋_GB2312"/>
          <w:sz w:val="32"/>
        </w:rPr>
      </w:pPr>
      <w:r>
        <w:rPr>
          <w:rFonts w:hint="eastAsia" w:ascii="仿宋_GB2312" w:eastAsia="仿宋_GB2312"/>
          <w:sz w:val="32"/>
        </w:rPr>
        <w:t>（二）被举报人的单位名称或姓名；</w:t>
      </w:r>
    </w:p>
    <w:p>
      <w:pPr>
        <w:spacing w:line="600" w:lineRule="exact"/>
        <w:ind w:firstLine="640" w:firstLineChars="200"/>
        <w:rPr>
          <w:rFonts w:ascii="仿宋_GB2312" w:eastAsia="仿宋_GB2312"/>
          <w:sz w:val="32"/>
        </w:rPr>
      </w:pPr>
      <w:r>
        <w:rPr>
          <w:rFonts w:hint="eastAsia" w:ascii="仿宋_GB2312" w:eastAsia="仿宋_GB2312"/>
          <w:sz w:val="32"/>
        </w:rPr>
        <w:t>（三）举报事项的基本事实；</w:t>
      </w:r>
    </w:p>
    <w:p>
      <w:pPr>
        <w:spacing w:line="600" w:lineRule="exact"/>
        <w:ind w:firstLine="640" w:firstLineChars="200"/>
        <w:rPr>
          <w:rFonts w:ascii="仿宋_GB2312" w:eastAsia="仿宋_GB2312"/>
          <w:sz w:val="32"/>
        </w:rPr>
      </w:pPr>
      <w:r>
        <w:rPr>
          <w:rFonts w:hint="eastAsia" w:ascii="仿宋_GB2312" w:eastAsia="仿宋_GB2312"/>
          <w:sz w:val="32"/>
        </w:rPr>
        <w:t>（四）举报人相关请求及主张；</w:t>
      </w:r>
    </w:p>
    <w:p>
      <w:pPr>
        <w:spacing w:line="600" w:lineRule="exact"/>
        <w:ind w:firstLine="640" w:firstLineChars="200"/>
        <w:rPr>
          <w:rFonts w:ascii="仿宋_GB2312" w:eastAsia="仿宋_GB2312"/>
          <w:sz w:val="32"/>
        </w:rPr>
      </w:pPr>
      <w:r>
        <w:rPr>
          <w:rFonts w:hint="eastAsia" w:ascii="仿宋_GB2312" w:eastAsia="仿宋_GB2312"/>
          <w:sz w:val="32"/>
        </w:rPr>
        <w:t>（五）有效线索和相关证明材料；</w:t>
      </w:r>
    </w:p>
    <w:p>
      <w:pPr>
        <w:spacing w:line="600" w:lineRule="exact"/>
        <w:ind w:firstLine="640" w:firstLineChars="200"/>
        <w:rPr>
          <w:rFonts w:ascii="仿宋_GB2312" w:eastAsia="仿宋_GB2312"/>
          <w:sz w:val="32"/>
        </w:rPr>
      </w:pPr>
      <w:r>
        <w:rPr>
          <w:rFonts w:hint="eastAsia" w:ascii="仿宋_GB2312" w:eastAsia="仿宋_GB2312"/>
          <w:sz w:val="32"/>
        </w:rPr>
        <w:t>（六）举报人为单位的，应由法定代表人签名并加盖法人单位公章。</w:t>
      </w:r>
    </w:p>
    <w:p>
      <w:pPr>
        <w:spacing w:line="600" w:lineRule="exact"/>
        <w:ind w:firstLine="640" w:firstLineChars="200"/>
        <w:rPr>
          <w:rFonts w:ascii="仿宋_GB2312" w:eastAsia="仿宋_GB2312"/>
          <w:sz w:val="32"/>
        </w:rPr>
      </w:pPr>
      <w:r>
        <w:rPr>
          <w:rFonts w:hint="eastAsia" w:ascii="仿宋_GB2312" w:eastAsia="仿宋_GB2312"/>
          <w:sz w:val="32"/>
        </w:rPr>
        <w:t>第三十条 省交通运输厅在收到关于企业申诉或举报后，将及时组织相关单位进行调查处理，并在10个工作日内将处理结果告知申诉人或举报人。</w:t>
      </w:r>
    </w:p>
    <w:p>
      <w:pPr>
        <w:spacing w:line="600" w:lineRule="exact"/>
        <w:ind w:firstLine="640" w:firstLineChars="200"/>
        <w:rPr>
          <w:rFonts w:ascii="仿宋_GB2312" w:eastAsia="仿宋_GB2312"/>
          <w:sz w:val="32"/>
        </w:rPr>
      </w:pPr>
      <w:r>
        <w:rPr>
          <w:rFonts w:hint="eastAsia" w:ascii="仿宋_GB2312" w:eastAsia="仿宋_GB2312"/>
          <w:sz w:val="32"/>
        </w:rPr>
        <w:t>省交通运输厅在收到关于信用评价工作人员在信用评价工作中的违纪、违规行为的举报后，将及时移送纪检监察机关，由纪检监察机关依据有关规定处理。</w:t>
      </w:r>
    </w:p>
    <w:p>
      <w:pPr>
        <w:spacing w:line="600" w:lineRule="exact"/>
        <w:ind w:firstLine="640" w:firstLineChars="200"/>
        <w:rPr>
          <w:rFonts w:ascii="仿宋_GB2312" w:eastAsia="仿宋_GB2312"/>
          <w:kern w:val="0"/>
          <w:sz w:val="32"/>
          <w:szCs w:val="32"/>
        </w:rPr>
      </w:pPr>
      <w:r>
        <w:rPr>
          <w:rFonts w:hint="eastAsia" w:ascii="仿宋_GB2312" w:eastAsia="仿宋_GB2312"/>
          <w:sz w:val="32"/>
        </w:rPr>
        <w:t xml:space="preserve">第三十一条 </w:t>
      </w:r>
      <w:r>
        <w:rPr>
          <w:rFonts w:hint="eastAsia" w:ascii="仿宋_GB2312" w:eastAsia="仿宋_GB2312"/>
          <w:kern w:val="0"/>
          <w:sz w:val="32"/>
          <w:szCs w:val="32"/>
        </w:rPr>
        <w:t>省交通运输厅应于每年3月15日前完成上一年度省级综合评价省级审核工作，并于每年4月15日前将国务院有关部门许可资质的施工企业的评价结果报交通运输部。</w:t>
      </w:r>
    </w:p>
    <w:p>
      <w:pPr>
        <w:spacing w:line="600" w:lineRule="exact"/>
        <w:ind w:firstLine="640" w:firstLineChars="200"/>
        <w:rPr>
          <w:rFonts w:ascii="仿宋_GB2312" w:eastAsia="仿宋_GB2312"/>
          <w:sz w:val="32"/>
        </w:rPr>
      </w:pPr>
    </w:p>
    <w:p>
      <w:pPr>
        <w:spacing w:line="600" w:lineRule="exact"/>
        <w:jc w:val="center"/>
        <w:rPr>
          <w:rFonts w:eastAsia="黑体"/>
          <w:bCs/>
          <w:kern w:val="0"/>
          <w:sz w:val="32"/>
          <w:szCs w:val="32"/>
        </w:rPr>
      </w:pPr>
      <w:r>
        <w:rPr>
          <w:rFonts w:hint="eastAsia" w:eastAsia="黑体"/>
          <w:bCs/>
          <w:kern w:val="0"/>
          <w:sz w:val="32"/>
          <w:szCs w:val="32"/>
        </w:rPr>
        <w:t>第六章</w:t>
      </w:r>
      <w:r>
        <w:rPr>
          <w:rFonts w:eastAsia="黑体"/>
          <w:bCs/>
          <w:kern w:val="0"/>
          <w:sz w:val="32"/>
          <w:szCs w:val="32"/>
        </w:rPr>
        <w:t xml:space="preserve">  </w:t>
      </w:r>
      <w:r>
        <w:rPr>
          <w:rFonts w:hint="eastAsia" w:eastAsia="黑体"/>
          <w:bCs/>
          <w:kern w:val="0"/>
          <w:sz w:val="32"/>
          <w:szCs w:val="32"/>
        </w:rPr>
        <w:t>信用评价等级及应用</w:t>
      </w:r>
    </w:p>
    <w:p>
      <w:pPr>
        <w:spacing w:line="600" w:lineRule="exact"/>
        <w:ind w:firstLine="640" w:firstLineChars="200"/>
        <w:rPr>
          <w:rFonts w:ascii="仿宋_GB2312" w:eastAsia="仿宋_GB2312"/>
          <w:sz w:val="32"/>
        </w:rPr>
      </w:pPr>
      <w:r>
        <w:rPr>
          <w:rFonts w:hint="eastAsia" w:ascii="仿宋_GB2312" w:eastAsia="仿宋_GB2312"/>
          <w:sz w:val="32"/>
        </w:rPr>
        <w:t>第三十二条 水运工程施工企业信用评价采用综合评分制，总分为100分，省交通运输厅根据投标行为、履约行为、其他行为的评价情况进行年度综合评价，评分计算按照《水运工程施工企业信用评价评分计算方法》执行。</w:t>
      </w:r>
    </w:p>
    <w:p>
      <w:pPr>
        <w:spacing w:line="600" w:lineRule="exact"/>
        <w:ind w:firstLine="640" w:firstLineChars="200"/>
        <w:rPr>
          <w:rFonts w:ascii="仿宋_GB2312" w:eastAsia="仿宋_GB2312"/>
          <w:sz w:val="32"/>
        </w:rPr>
      </w:pPr>
      <w:r>
        <w:rPr>
          <w:rFonts w:hint="eastAsia" w:ascii="仿宋_GB2312" w:eastAsia="仿宋_GB2312"/>
          <w:sz w:val="32"/>
        </w:rPr>
        <w:t>第三十三条　湖南省水运工程施工企业信用评价实行等级制度，评价等级分为AA、A、B、C、D五个等级，各信用等级对应的要求按《湖南省水运工程施工企业信用评价等级标准》执行（详见附件2）。其中，仅有分包工程参评单位，评价等级最高不超过A级。</w:t>
      </w:r>
    </w:p>
    <w:p>
      <w:pPr>
        <w:spacing w:line="600" w:lineRule="exact"/>
        <w:ind w:firstLine="640" w:firstLineChars="200"/>
        <w:rPr>
          <w:rFonts w:ascii="仿宋_GB2312" w:eastAsia="仿宋_GB2312"/>
          <w:sz w:val="32"/>
        </w:rPr>
      </w:pPr>
      <w:r>
        <w:rPr>
          <w:rFonts w:hint="eastAsia" w:ascii="仿宋_GB2312" w:eastAsia="仿宋_GB2312"/>
          <w:sz w:val="32"/>
        </w:rPr>
        <w:t xml:space="preserve">第三十四条 </w:t>
      </w:r>
      <w:r>
        <w:rPr>
          <w:rFonts w:hint="eastAsia" w:ascii="仿宋_GB2312" w:eastAsia="仿宋_GB2312"/>
          <w:kern w:val="0"/>
          <w:sz w:val="32"/>
          <w:szCs w:val="32"/>
          <w:lang w:eastAsia="zh-Hans"/>
        </w:rPr>
        <w:t>省</w:t>
      </w:r>
      <w:r>
        <w:rPr>
          <w:rFonts w:hint="eastAsia" w:ascii="仿宋_GB2312" w:eastAsia="仿宋_GB2312"/>
          <w:kern w:val="0"/>
          <w:sz w:val="32"/>
          <w:szCs w:val="32"/>
        </w:rPr>
        <w:t>交通运输</w:t>
      </w:r>
      <w:r>
        <w:rPr>
          <w:rFonts w:hint="eastAsia" w:ascii="仿宋_GB2312" w:eastAsia="仿宋_GB2312"/>
          <w:kern w:val="0"/>
          <w:sz w:val="32"/>
          <w:szCs w:val="32"/>
          <w:lang w:eastAsia="zh-Hans"/>
        </w:rPr>
        <w:t>厅发布的信用评价等级结果在全省</w:t>
      </w:r>
      <w:r>
        <w:rPr>
          <w:rFonts w:hint="eastAsia" w:ascii="仿宋_GB2312" w:eastAsia="仿宋_GB2312"/>
          <w:kern w:val="0"/>
          <w:sz w:val="32"/>
          <w:szCs w:val="32"/>
        </w:rPr>
        <w:t>水运</w:t>
      </w:r>
      <w:r>
        <w:rPr>
          <w:rFonts w:hint="eastAsia" w:ascii="仿宋_GB2312" w:eastAsia="仿宋_GB2312"/>
          <w:kern w:val="0"/>
          <w:sz w:val="32"/>
          <w:szCs w:val="32"/>
          <w:lang w:eastAsia="zh-Hans"/>
        </w:rPr>
        <w:t>工程建设市场适用，有效期为1年。</w:t>
      </w:r>
      <w:r>
        <w:rPr>
          <w:rFonts w:hint="eastAsia" w:ascii="仿宋_GB2312" w:eastAsia="仿宋_GB2312"/>
          <w:sz w:val="32"/>
        </w:rPr>
        <w:t>下一年度在湖南省无信用评价结果的，其在湖南省信用评价等级可延续1年。（其中上一年度评为AA级的企业，按A级延续1年；上一年度评为其他等级的企业，按相同等级延续1年，凡通过延续获得信用等级的企业，其信用等级仅在正常参加投标活动中适用），延续1年后仍无信用评价结果的，最近一年的信用评分不予计分。</w:t>
      </w:r>
    </w:p>
    <w:p>
      <w:pPr>
        <w:spacing w:line="600" w:lineRule="exact"/>
        <w:ind w:firstLine="640" w:firstLineChars="200"/>
        <w:rPr>
          <w:rFonts w:ascii="仿宋_GB2312" w:eastAsia="仿宋_GB2312"/>
          <w:sz w:val="32"/>
        </w:rPr>
      </w:pPr>
      <w:r>
        <w:rPr>
          <w:rFonts w:hint="eastAsia" w:ascii="仿宋_GB2312" w:eastAsia="仿宋_GB2312"/>
          <w:sz w:val="32"/>
        </w:rPr>
        <w:t>第三十五条 在我省水运工程招投标中，无我省信用评价等级但具有全国水运施工企业信用等级的企业，全国AA等级的企业按A级应用，其他等级的企业按同等应用；无我省及全国水运施工企业信用等级的企业，信用等级不予计分；已同时列入我省及全国水运施工企业信用等级的企业，信用等级按我省等级优先应用。企业组成联合体参与投标的，其信用等级按照联合体成员中最低信用等级方认定。参加专业分包的企业信用等级不得低于B级。</w:t>
      </w:r>
    </w:p>
    <w:p>
      <w:pPr>
        <w:spacing w:line="600" w:lineRule="exact"/>
        <w:ind w:firstLine="627" w:firstLineChars="196"/>
        <w:rPr>
          <w:rFonts w:ascii="仿宋_GB2312" w:eastAsia="仿宋_GB2312"/>
          <w:kern w:val="0"/>
          <w:sz w:val="32"/>
          <w:szCs w:val="32"/>
        </w:rPr>
      </w:pPr>
      <w:r>
        <w:rPr>
          <w:rFonts w:hint="eastAsia" w:ascii="仿宋_GB2312" w:eastAsia="仿宋_GB2312"/>
          <w:kern w:val="0"/>
          <w:sz w:val="32"/>
          <w:szCs w:val="32"/>
        </w:rPr>
        <w:t>第</w:t>
      </w:r>
      <w:r>
        <w:rPr>
          <w:rFonts w:hint="eastAsia" w:ascii="仿宋_GB2312" w:eastAsia="仿宋_GB2312"/>
          <w:sz w:val="32"/>
        </w:rPr>
        <w:t>三十六</w:t>
      </w:r>
      <w:r>
        <w:rPr>
          <w:rFonts w:hint="eastAsia" w:ascii="仿宋_GB2312" w:eastAsia="仿宋_GB2312"/>
          <w:kern w:val="0"/>
          <w:sz w:val="32"/>
          <w:szCs w:val="32"/>
        </w:rPr>
        <w:t>条 企业在经营发展过程中，其信用等级按如下原则适用：</w:t>
      </w:r>
    </w:p>
    <w:p>
      <w:pPr>
        <w:spacing w:line="600" w:lineRule="exact"/>
        <w:ind w:firstLine="627" w:firstLineChars="196"/>
        <w:rPr>
          <w:rFonts w:ascii="仿宋_GB2312" w:eastAsia="仿宋_GB2312"/>
          <w:kern w:val="0"/>
          <w:sz w:val="32"/>
          <w:szCs w:val="32"/>
        </w:rPr>
      </w:pPr>
      <w:r>
        <w:rPr>
          <w:rFonts w:hint="eastAsia" w:ascii="仿宋_GB2312" w:eastAsia="仿宋_GB2312"/>
          <w:kern w:val="0"/>
          <w:sz w:val="32"/>
          <w:szCs w:val="32"/>
        </w:rPr>
        <w:t>（一）企业资质升级的，其信用评价等级不变。</w:t>
      </w:r>
    </w:p>
    <w:p>
      <w:pPr>
        <w:spacing w:line="600" w:lineRule="exact"/>
        <w:ind w:firstLine="627" w:firstLineChars="196"/>
        <w:rPr>
          <w:rFonts w:ascii="仿宋_GB2312" w:eastAsia="仿宋_GB2312"/>
          <w:kern w:val="0"/>
          <w:sz w:val="32"/>
          <w:szCs w:val="32"/>
        </w:rPr>
      </w:pPr>
      <w:r>
        <w:rPr>
          <w:rFonts w:hint="eastAsia" w:ascii="仿宋_GB2312" w:eastAsia="仿宋_GB2312"/>
          <w:kern w:val="0"/>
          <w:sz w:val="32"/>
          <w:szCs w:val="32"/>
        </w:rPr>
        <w:t>（二）企业分立的，按照新设立企业确定信用评价等级，但不得高于原评价等级。</w:t>
      </w:r>
    </w:p>
    <w:p>
      <w:pPr>
        <w:spacing w:line="600" w:lineRule="exact"/>
        <w:ind w:firstLine="627" w:firstLineChars="196"/>
        <w:rPr>
          <w:rFonts w:ascii="仿宋_GB2312" w:eastAsia="仿宋_GB2312"/>
          <w:kern w:val="0"/>
          <w:sz w:val="32"/>
          <w:szCs w:val="32"/>
        </w:rPr>
      </w:pPr>
      <w:r>
        <w:rPr>
          <w:rFonts w:hint="eastAsia" w:ascii="仿宋_GB2312" w:eastAsia="仿宋_GB2312"/>
          <w:kern w:val="0"/>
          <w:sz w:val="32"/>
          <w:szCs w:val="32"/>
        </w:rPr>
        <w:t>（三）企业合并的，若同为水运企业，按照信用评价等级较低的确定合并后企业的信用等级；若水运企业与其他非水运企业合并，按照该水运企业的信用等级确定合并后企业的信用等级。</w:t>
      </w:r>
    </w:p>
    <w:p>
      <w:pPr>
        <w:spacing w:line="600" w:lineRule="exact"/>
        <w:ind w:firstLine="627" w:firstLineChars="196"/>
        <w:rPr>
          <w:rFonts w:ascii="仿宋_GB2312" w:eastAsia="仿宋_GB2312"/>
          <w:kern w:val="0"/>
          <w:sz w:val="32"/>
          <w:szCs w:val="32"/>
        </w:rPr>
      </w:pPr>
      <w:r>
        <w:rPr>
          <w:rFonts w:hint="eastAsia" w:ascii="仿宋_GB2312" w:eastAsia="仿宋_GB2312"/>
          <w:kern w:val="0"/>
          <w:sz w:val="32"/>
          <w:szCs w:val="32"/>
        </w:rPr>
        <w:t>（四）</w:t>
      </w:r>
      <w:r>
        <w:rPr>
          <w:rFonts w:hint="eastAsia" w:ascii="仿宋_GB2312" w:eastAsia="仿宋_GB2312"/>
          <w:kern w:val="0"/>
          <w:sz w:val="32"/>
          <w:szCs w:val="32"/>
          <w:lang w:eastAsia="zh-Hans"/>
        </w:rPr>
        <w:t>企业转制、改名的，其信用等级相应转入转制、改名后的企业</w:t>
      </w:r>
      <w:r>
        <w:rPr>
          <w:rFonts w:hint="eastAsia" w:ascii="仿宋_GB2312" w:eastAsia="仿宋_GB2312"/>
          <w:kern w:val="0"/>
          <w:sz w:val="32"/>
          <w:szCs w:val="32"/>
        </w:rPr>
        <w:t>。</w:t>
      </w:r>
    </w:p>
    <w:p>
      <w:pPr>
        <w:spacing w:line="600" w:lineRule="exact"/>
        <w:ind w:firstLine="627" w:firstLineChars="196"/>
        <w:rPr>
          <w:rFonts w:ascii="仿宋_GB2312" w:eastAsia="仿宋_GB2312"/>
          <w:kern w:val="0"/>
          <w:sz w:val="32"/>
          <w:szCs w:val="32"/>
        </w:rPr>
      </w:pPr>
      <w:r>
        <w:rPr>
          <w:rFonts w:hint="eastAsia" w:ascii="仿宋_GB2312" w:eastAsia="仿宋_GB2312"/>
          <w:kern w:val="0"/>
          <w:sz w:val="32"/>
          <w:szCs w:val="32"/>
        </w:rPr>
        <w:t>（五）</w:t>
      </w:r>
      <w:r>
        <w:rPr>
          <w:rFonts w:hint="eastAsia" w:ascii="仿宋_GB2312" w:eastAsia="仿宋_GB2312"/>
          <w:kern w:val="0"/>
          <w:sz w:val="32"/>
          <w:szCs w:val="32"/>
          <w:lang w:eastAsia="zh-Hans"/>
        </w:rPr>
        <w:t>企业如被注销、破产的，取消其信用等级</w:t>
      </w:r>
      <w:r>
        <w:rPr>
          <w:rFonts w:hint="eastAsia" w:ascii="仿宋_GB2312" w:eastAsia="仿宋_GB2312"/>
          <w:kern w:val="0"/>
          <w:sz w:val="32"/>
          <w:szCs w:val="32"/>
        </w:rPr>
        <w:t>。</w:t>
      </w:r>
    </w:p>
    <w:p>
      <w:pPr>
        <w:spacing w:line="600" w:lineRule="exact"/>
        <w:ind w:firstLine="627" w:firstLineChars="196"/>
        <w:rPr>
          <w:rFonts w:ascii="仿宋_GB2312" w:eastAsia="仿宋_GB2312"/>
          <w:sz w:val="32"/>
        </w:rPr>
      </w:pPr>
      <w:r>
        <w:rPr>
          <w:rFonts w:hint="eastAsia" w:ascii="仿宋_GB2312" w:eastAsia="仿宋_GB2312"/>
          <w:kern w:val="0"/>
          <w:sz w:val="32"/>
          <w:szCs w:val="32"/>
        </w:rPr>
        <w:t>（六）</w:t>
      </w:r>
      <w:r>
        <w:rPr>
          <w:rFonts w:hint="eastAsia" w:ascii="仿宋_GB2312" w:eastAsia="仿宋_GB2312"/>
          <w:kern w:val="0"/>
          <w:sz w:val="32"/>
          <w:szCs w:val="32"/>
          <w:lang w:eastAsia="zh-Hans"/>
        </w:rPr>
        <w:t>企业资产被冻结或营业执照年检不合格的，其信用等级暂不予确定</w:t>
      </w:r>
      <w:r>
        <w:rPr>
          <w:rFonts w:hint="eastAsia" w:ascii="仿宋_GB2312" w:eastAsia="仿宋_GB2312"/>
          <w:kern w:val="0"/>
          <w:sz w:val="32"/>
          <w:szCs w:val="32"/>
        </w:rPr>
        <w:t>。</w:t>
      </w:r>
    </w:p>
    <w:p>
      <w:pPr>
        <w:spacing w:line="600" w:lineRule="exact"/>
        <w:ind w:firstLine="627" w:firstLineChars="196"/>
        <w:rPr>
          <w:rFonts w:ascii="仿宋_GB2312" w:eastAsia="仿宋_GB2312"/>
          <w:kern w:val="0"/>
          <w:sz w:val="32"/>
          <w:szCs w:val="32"/>
          <w:lang w:eastAsia="zh-Hans"/>
        </w:rPr>
      </w:pPr>
      <w:r>
        <w:rPr>
          <w:rFonts w:hint="eastAsia" w:ascii="仿宋_GB2312" w:eastAsia="仿宋_GB2312"/>
          <w:kern w:val="0"/>
          <w:sz w:val="32"/>
          <w:szCs w:val="32"/>
          <w:lang w:eastAsia="zh-Hans"/>
        </w:rPr>
        <w:t>第三十</w:t>
      </w:r>
      <w:r>
        <w:rPr>
          <w:rFonts w:hint="eastAsia" w:ascii="仿宋_GB2312" w:eastAsia="仿宋_GB2312"/>
          <w:kern w:val="0"/>
          <w:sz w:val="32"/>
          <w:szCs w:val="32"/>
        </w:rPr>
        <w:t>七</w:t>
      </w:r>
      <w:r>
        <w:rPr>
          <w:rFonts w:hint="eastAsia" w:ascii="仿宋_GB2312" w:eastAsia="仿宋_GB2312"/>
          <w:kern w:val="0"/>
          <w:sz w:val="32"/>
          <w:szCs w:val="32"/>
          <w:lang w:eastAsia="zh-Hans"/>
        </w:rPr>
        <w:t>条 省交通运输厅发布的企业信用等级在我省水运工程招标投标中应用如下：</w:t>
      </w:r>
    </w:p>
    <w:p>
      <w:pPr>
        <w:spacing w:line="600" w:lineRule="exact"/>
        <w:ind w:firstLine="640" w:firstLineChars="200"/>
        <w:rPr>
          <w:rFonts w:ascii="仿宋_GB2312" w:eastAsia="仿宋_GB2312"/>
          <w:sz w:val="32"/>
        </w:rPr>
      </w:pPr>
      <w:r>
        <w:rPr>
          <w:rFonts w:hint="eastAsia" w:ascii="仿宋_GB2312" w:eastAsia="仿宋_GB2312"/>
          <w:sz w:val="32"/>
        </w:rPr>
        <w:t>（一）单年评为 AA 级的施工企业，履约保证金可按合同约定金额的80％计收；单年评为 A 级的企业，履约保证金可按合同约定金额的90％计收；单年评为 B 级的企业，在等级适用期内按不奖不罚对待；单年评为 D 级、或连续三年评为 C 级的企业，在湖南省水运建设市场信用信息管理系统上予以公布。</w:t>
      </w:r>
    </w:p>
    <w:p>
      <w:pPr>
        <w:spacing w:line="600" w:lineRule="exact"/>
        <w:ind w:firstLine="640" w:firstLineChars="200"/>
        <w:rPr>
          <w:rFonts w:ascii="仿宋_GB2312" w:eastAsia="仿宋_GB2312"/>
          <w:sz w:val="32"/>
        </w:rPr>
      </w:pPr>
      <w:r>
        <w:rPr>
          <w:rFonts w:hint="eastAsia" w:ascii="仿宋_GB2312" w:eastAsia="仿宋_GB2312"/>
          <w:sz w:val="32"/>
        </w:rPr>
        <w:t>（二）在招标文件评标办法中设置“企业信用加分”项。信用加分分值按省交通运输厅近三年发布的企业信用评价结果进行权值分配（最近第一年0.5、最近第二年0.3、最近第三年0.2），</w:t>
      </w:r>
      <w:r>
        <w:rPr>
          <w:rFonts w:hint="eastAsia" w:ascii="仿宋_GB2312" w:eastAsia="仿宋_GB2312"/>
          <w:kern w:val="0"/>
          <w:sz w:val="32"/>
          <w:szCs w:val="32"/>
        </w:rPr>
        <w:t>企业近三年均无我省发布企业信用等级的，按交通运输部近三年发布的信用等级结果进行权值分配，并应占总评分的1%～8%。其中施工招标采用合理低价法的企业信用加分占总评分的1%，采用综合评分法的企业信用加分占总评分的3～5%；设计施工总承包招标采用综合评分法的企业信用加分占总评分的5～8%。</w:t>
      </w:r>
    </w:p>
    <w:p>
      <w:pPr>
        <w:spacing w:line="600" w:lineRule="exact"/>
        <w:ind w:firstLine="640" w:firstLineChars="200"/>
        <w:rPr>
          <w:rFonts w:ascii="仿宋_GB2312" w:eastAsia="仿宋_GB2312"/>
          <w:sz w:val="32"/>
        </w:rPr>
      </w:pPr>
      <w:r>
        <w:rPr>
          <w:rFonts w:hint="eastAsia" w:ascii="仿宋_GB2312" w:eastAsia="仿宋_GB2312"/>
          <w:sz w:val="32"/>
        </w:rPr>
        <w:t>第三十八条 各评价单位应建立企业信用管理台账，及时、客观、公正地予以记录，必要时应将信用记录及时告知有关从业企业或在网站公示。</w:t>
      </w:r>
    </w:p>
    <w:p>
      <w:pPr>
        <w:spacing w:line="600" w:lineRule="exact"/>
        <w:ind w:firstLine="640" w:firstLineChars="200"/>
        <w:rPr>
          <w:rFonts w:ascii="仿宋_GB2312" w:eastAsia="仿宋_GB2312"/>
          <w:sz w:val="32"/>
        </w:rPr>
      </w:pPr>
      <w:r>
        <w:rPr>
          <w:rFonts w:hint="eastAsia" w:ascii="仿宋_GB2312" w:eastAsia="仿宋_GB2312"/>
          <w:sz w:val="32"/>
        </w:rPr>
        <w:t>第三十九条 各评价单位应实事求是，按照评定标准及时、客观、公正地评分，不得徇私舞弊，不得随意扣分或规避扣分。各级交通运输行政主管部门及其行业发展机构信用评价工作的监督管理，结合日常督查工作对信用管理工作进行检查、对企业的从业行为进行抽查，发现存在严重问题的，应及时报送省交通运输厅。</w:t>
      </w:r>
    </w:p>
    <w:p>
      <w:pPr>
        <w:spacing w:line="600" w:lineRule="exact"/>
        <w:ind w:firstLine="640" w:firstLineChars="200"/>
        <w:rPr>
          <w:rFonts w:ascii="仿宋_GB2312" w:eastAsia="仿宋_GB2312"/>
          <w:sz w:val="32"/>
        </w:rPr>
      </w:pPr>
    </w:p>
    <w:p>
      <w:pPr>
        <w:spacing w:line="600" w:lineRule="exact"/>
        <w:jc w:val="center"/>
        <w:rPr>
          <w:rFonts w:eastAsia="黑体"/>
          <w:bCs/>
          <w:kern w:val="0"/>
          <w:sz w:val="32"/>
          <w:szCs w:val="32"/>
          <w:lang w:eastAsia="zh-Hans"/>
        </w:rPr>
      </w:pPr>
      <w:r>
        <w:rPr>
          <w:rFonts w:hint="eastAsia" w:eastAsia="黑体"/>
          <w:bCs/>
          <w:kern w:val="0"/>
          <w:sz w:val="32"/>
          <w:szCs w:val="32"/>
        </w:rPr>
        <w:t>第七章</w:t>
      </w:r>
      <w:r>
        <w:rPr>
          <w:rFonts w:eastAsia="黑体"/>
          <w:bCs/>
          <w:kern w:val="0"/>
          <w:sz w:val="32"/>
          <w:szCs w:val="32"/>
        </w:rPr>
        <w:t xml:space="preserve">  </w:t>
      </w:r>
      <w:r>
        <w:rPr>
          <w:rFonts w:hint="eastAsia" w:eastAsia="黑体"/>
          <w:bCs/>
          <w:kern w:val="0"/>
          <w:sz w:val="32"/>
          <w:szCs w:val="32"/>
          <w:lang w:eastAsia="zh-Hans"/>
        </w:rPr>
        <w:t>信用等级</w:t>
      </w:r>
      <w:r>
        <w:rPr>
          <w:rFonts w:hint="eastAsia" w:eastAsia="黑体"/>
          <w:kern w:val="0"/>
          <w:sz w:val="32"/>
          <w:szCs w:val="32"/>
        </w:rPr>
        <w:t>动态调整</w:t>
      </w:r>
    </w:p>
    <w:p>
      <w:pPr>
        <w:spacing w:line="600" w:lineRule="exact"/>
        <w:ind w:firstLine="640" w:firstLineChars="200"/>
        <w:rPr>
          <w:rFonts w:ascii="仿宋_GB2312" w:eastAsia="仿宋_GB2312"/>
          <w:sz w:val="32"/>
        </w:rPr>
      </w:pPr>
      <w:r>
        <w:rPr>
          <w:rFonts w:hint="eastAsia" w:ascii="仿宋_GB2312" w:eastAsia="仿宋_GB2312"/>
          <w:sz w:val="32"/>
        </w:rPr>
        <w:t>第四十条 在评价等级结果适用期内，企业出现部、省评价标准所列的可直接定为D级的不良行为并受到行政处罚时，相关项目建设单位、各市州交通运输主管部门应及时将情况及时上报省交通运输厅，自相关部门认定并经省交通运输主管部门确认之日起，企业的信用评价等级立即评为D级，自发文之日起执行，并自执行之日起15日内上报交通运输部。</w:t>
      </w:r>
    </w:p>
    <w:p>
      <w:pPr>
        <w:spacing w:line="600" w:lineRule="exact"/>
        <w:ind w:firstLine="640" w:firstLineChars="200"/>
        <w:rPr>
          <w:rFonts w:ascii="仿宋_GB2312" w:eastAsia="仿宋_GB2312"/>
          <w:sz w:val="32"/>
        </w:rPr>
      </w:pPr>
      <w:r>
        <w:rPr>
          <w:rFonts w:hint="eastAsia" w:ascii="仿宋_GB2312" w:eastAsia="仿宋_GB2312"/>
          <w:sz w:val="32"/>
        </w:rPr>
        <w:t>第四十一条 被行政处罚的企业，调整为D级的时间不短于行政处罚期限，不受评价周期限制。处罚期满后，可适用该企业在我省最新年度评定的信用等级（动态调整为D级的相关事项不再纳入相应年度的定期评价中重复扣分）；调整前该企业在我省无信用等级或处罚期满后在我省无最新年度评定的信用等级的，按交通运输部及我省有关信用等级应用的政策予以执行。</w:t>
      </w:r>
    </w:p>
    <w:p>
      <w:pPr>
        <w:spacing w:line="600" w:lineRule="exact"/>
        <w:ind w:firstLine="640" w:firstLineChars="200"/>
        <w:rPr>
          <w:rFonts w:ascii="仿宋_GB2312" w:eastAsia="仿宋_GB2312"/>
          <w:sz w:val="32"/>
        </w:rPr>
      </w:pPr>
      <w:r>
        <w:rPr>
          <w:rFonts w:hint="eastAsia" w:ascii="仿宋_GB2312" w:eastAsia="仿宋_GB2312"/>
          <w:sz w:val="32"/>
        </w:rPr>
        <w:t>第四十二条  根据信用评价动态管理原则，评价年度内，信用等级为C级及以上的施工企业有下列情形之一的，当年每发生1次，在我省招投标过程中，对该企业的上一年度信用等级即时调降一级应用，直至降到D级，适用至下一年度信用等级发布之日止。</w:t>
      </w:r>
    </w:p>
    <w:p>
      <w:pPr>
        <w:spacing w:line="600" w:lineRule="exact"/>
        <w:ind w:firstLine="640" w:firstLineChars="200"/>
        <w:rPr>
          <w:rFonts w:ascii="仿宋_GB2312" w:eastAsia="仿宋_GB2312"/>
          <w:sz w:val="32"/>
        </w:rPr>
      </w:pPr>
      <w:r>
        <w:rPr>
          <w:rFonts w:hint="eastAsia" w:ascii="仿宋_GB2312" w:eastAsia="仿宋_GB2312"/>
          <w:sz w:val="32"/>
        </w:rPr>
        <w:t>（一）签订中标合同后，不履行合同责任的；</w:t>
      </w:r>
    </w:p>
    <w:p>
      <w:pPr>
        <w:spacing w:line="600" w:lineRule="exact"/>
        <w:ind w:firstLine="640" w:firstLineChars="200"/>
        <w:rPr>
          <w:rFonts w:ascii="仿宋_GB2312" w:eastAsia="仿宋_GB2312"/>
          <w:sz w:val="32"/>
        </w:rPr>
      </w:pPr>
      <w:r>
        <w:rPr>
          <w:rFonts w:hint="eastAsia" w:ascii="仿宋_GB2312" w:eastAsia="仿宋_GB2312"/>
          <w:sz w:val="32"/>
        </w:rPr>
        <w:t>（二）纳入评价范围的水运工程项目发生较大及以上质量或安全事故，经市州及以上行业主管部门确认的，施工企业负主要责任；</w:t>
      </w:r>
    </w:p>
    <w:p>
      <w:pPr>
        <w:spacing w:line="600" w:lineRule="exact"/>
        <w:ind w:firstLine="640" w:firstLineChars="200"/>
        <w:rPr>
          <w:rFonts w:ascii="仿宋_GB2312" w:eastAsia="仿宋_GB2312"/>
          <w:sz w:val="32"/>
        </w:rPr>
      </w:pPr>
      <w:r>
        <w:rPr>
          <w:rFonts w:hint="eastAsia" w:ascii="仿宋_GB2312" w:eastAsia="仿宋_GB2312"/>
          <w:sz w:val="32"/>
        </w:rPr>
        <w:t>（三）企业恶意拖欠农民工工资的；或拖欠农民工工资引起群体性上访，并造成重大社会影响的，经市州交通运输主管部门确认的。</w:t>
      </w:r>
    </w:p>
    <w:p>
      <w:pPr>
        <w:spacing w:line="600" w:lineRule="exact"/>
        <w:ind w:firstLine="640" w:firstLineChars="200"/>
        <w:rPr>
          <w:rFonts w:ascii="仿宋_GB2312" w:eastAsia="仿宋_GB2312"/>
          <w:sz w:val="32"/>
        </w:rPr>
      </w:pPr>
    </w:p>
    <w:p>
      <w:pPr>
        <w:spacing w:line="600" w:lineRule="exact"/>
        <w:jc w:val="center"/>
        <w:rPr>
          <w:rFonts w:eastAsia="仿宋_GB2312"/>
          <w:sz w:val="32"/>
        </w:rPr>
      </w:pPr>
      <w:r>
        <w:rPr>
          <w:rFonts w:hint="eastAsia" w:eastAsia="黑体"/>
          <w:kern w:val="0"/>
          <w:sz w:val="32"/>
          <w:szCs w:val="32"/>
        </w:rPr>
        <w:t>第八章</w:t>
      </w:r>
      <w:r>
        <w:rPr>
          <w:rFonts w:eastAsia="黑体"/>
          <w:kern w:val="0"/>
          <w:sz w:val="32"/>
          <w:szCs w:val="32"/>
        </w:rPr>
        <w:t xml:space="preserve"> </w:t>
      </w:r>
      <w:r>
        <w:rPr>
          <w:rFonts w:hint="eastAsia" w:eastAsia="黑体"/>
          <w:kern w:val="0"/>
          <w:sz w:val="32"/>
          <w:szCs w:val="32"/>
        </w:rPr>
        <w:t>附  则</w:t>
      </w:r>
    </w:p>
    <w:p>
      <w:pPr>
        <w:spacing w:line="600" w:lineRule="exact"/>
        <w:ind w:firstLine="640" w:firstLineChars="200"/>
        <w:rPr>
          <w:rFonts w:ascii="仿宋_GB2312" w:eastAsia="仿宋_GB2312"/>
          <w:sz w:val="32"/>
        </w:rPr>
      </w:pPr>
      <w:r>
        <w:rPr>
          <w:rFonts w:hint="eastAsia" w:ascii="仿宋_GB2312" w:eastAsia="仿宋_GB2312"/>
          <w:sz w:val="32"/>
        </w:rPr>
        <w:t>第四十三条 其他项目的企业信用评价可参照执行。</w:t>
      </w:r>
    </w:p>
    <w:p>
      <w:pPr>
        <w:spacing w:line="600" w:lineRule="exact"/>
        <w:ind w:firstLine="640" w:firstLineChars="200"/>
        <w:rPr>
          <w:rFonts w:ascii="仿宋_GB2312" w:eastAsia="仿宋_GB2312"/>
          <w:spacing w:val="-6"/>
          <w:sz w:val="32"/>
        </w:rPr>
      </w:pPr>
      <w:r>
        <w:rPr>
          <w:rFonts w:hint="eastAsia" w:ascii="仿宋_GB2312" w:eastAsia="仿宋_GB2312"/>
          <w:sz w:val="32"/>
        </w:rPr>
        <w:t xml:space="preserve">第四十四条 </w:t>
      </w:r>
      <w:r>
        <w:rPr>
          <w:rFonts w:hint="eastAsia" w:ascii="仿宋_GB2312" w:eastAsia="仿宋_GB2312"/>
          <w:spacing w:val="-6"/>
          <w:sz w:val="32"/>
        </w:rPr>
        <w:t>本细则自2023年2月24日起施行，有效期五年。</w:t>
      </w:r>
    </w:p>
    <w:p>
      <w:pPr>
        <w:rPr>
          <w:rFonts w:ascii="仿宋_GB2312" w:eastAsia="仿宋_GB2312"/>
          <w:sz w:val="32"/>
        </w:rPr>
        <w:sectPr>
          <w:footerReference r:id="rId3" w:type="default"/>
          <w:footerReference r:id="rId4" w:type="even"/>
          <w:pgSz w:w="11906" w:h="16838"/>
          <w:pgMar w:top="2098" w:right="1588" w:bottom="1928" w:left="1588" w:header="851" w:footer="1701" w:gutter="0"/>
          <w:cols w:space="425" w:num="1"/>
          <w:docGrid w:type="lines" w:linePitch="312" w:charSpace="0"/>
        </w:sectPr>
      </w:pPr>
    </w:p>
    <w:p>
      <w:pPr>
        <w:tabs>
          <w:tab w:val="left" w:pos="13230"/>
        </w:tabs>
        <w:spacing w:line="520" w:lineRule="exact"/>
        <w:ind w:left="-850" w:leftChars="-405"/>
        <w:rPr>
          <w:rFonts w:ascii="宋体" w:hAnsi="宋体" w:cs="宋体"/>
          <w:b/>
          <w:sz w:val="36"/>
          <w:szCs w:val="36"/>
        </w:rPr>
      </w:pPr>
      <w:r>
        <w:rPr>
          <w:rFonts w:hint="eastAsia" w:ascii="宋体" w:hAnsi="宋体" w:cs="宋体"/>
          <w:b/>
          <w:sz w:val="36"/>
          <w:szCs w:val="36"/>
          <w:lang w:bidi="ar"/>
        </w:rPr>
        <w:t>附件1</w:t>
      </w:r>
    </w:p>
    <w:p>
      <w:pPr>
        <w:spacing w:line="300" w:lineRule="exact"/>
        <w:ind w:firstLine="567"/>
        <w:jc w:val="center"/>
        <w:rPr>
          <w:rFonts w:ascii="方正小标宋简体" w:hAnsi="宋体" w:eastAsia="方正小标宋简体" w:cs="宋体"/>
          <w:sz w:val="36"/>
          <w:szCs w:val="36"/>
          <w:lang w:bidi="ar"/>
        </w:rPr>
      </w:pPr>
    </w:p>
    <w:p>
      <w:pPr>
        <w:ind w:firstLine="568"/>
        <w:jc w:val="center"/>
        <w:rPr>
          <w:rFonts w:ascii="方正小标宋简体" w:hAnsi="宋体" w:eastAsia="方正小标宋简体" w:cs="宋体"/>
          <w:sz w:val="36"/>
          <w:szCs w:val="36"/>
          <w:lang w:bidi="ar"/>
        </w:rPr>
      </w:pPr>
      <w:r>
        <w:rPr>
          <w:rFonts w:hint="eastAsia" w:ascii="方正小标宋简体" w:hAnsi="宋体" w:eastAsia="方正小标宋简体" w:cs="宋体"/>
          <w:sz w:val="36"/>
          <w:szCs w:val="36"/>
          <w:lang w:bidi="ar"/>
        </w:rPr>
        <w:t>湖南省水运工程施工企业信用行为评定标准</w:t>
      </w:r>
    </w:p>
    <w:tbl>
      <w:tblPr>
        <w:tblStyle w:val="7"/>
        <w:tblW w:w="14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701"/>
        <w:gridCol w:w="1521"/>
        <w:gridCol w:w="5713"/>
        <w:gridCol w:w="2405"/>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黑体" w:hAnsi="黑体" w:eastAsia="黑体" w:cs="宋体"/>
                <w:bCs/>
                <w:sz w:val="24"/>
              </w:rPr>
            </w:pPr>
            <w:r>
              <w:rPr>
                <w:rFonts w:hint="eastAsia" w:ascii="黑体" w:hAnsi="黑体" w:eastAsia="黑体" w:cs="宋体"/>
                <w:bCs/>
                <w:sz w:val="24"/>
                <w:lang w:bidi="ar"/>
              </w:rPr>
              <w:t>评定内容</w:t>
            </w:r>
          </w:p>
        </w:tc>
        <w:tc>
          <w:tcPr>
            <w:tcW w:w="32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黑体" w:hAnsi="黑体" w:eastAsia="黑体" w:cs="宋体"/>
                <w:bCs/>
                <w:sz w:val="24"/>
              </w:rPr>
            </w:pPr>
            <w:r>
              <w:rPr>
                <w:rFonts w:hint="eastAsia" w:ascii="黑体" w:hAnsi="黑体" w:eastAsia="黑体" w:cs="宋体"/>
                <w:bCs/>
                <w:sz w:val="24"/>
                <w:lang w:bidi="ar"/>
              </w:rPr>
              <w:t>行为代码</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黑体" w:hAnsi="黑体" w:eastAsia="黑体" w:cs="宋体"/>
                <w:bCs/>
                <w:sz w:val="24"/>
              </w:rPr>
            </w:pPr>
            <w:r>
              <w:rPr>
                <w:rFonts w:hint="eastAsia" w:ascii="黑体" w:hAnsi="黑体" w:eastAsia="黑体" w:cs="宋体"/>
                <w:bCs/>
                <w:sz w:val="24"/>
                <w:lang w:bidi="ar"/>
              </w:rPr>
              <w:t>失信行为</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黑体" w:hAnsi="黑体" w:eastAsia="黑体" w:cs="宋体"/>
                <w:bCs/>
                <w:spacing w:val="-4"/>
                <w:sz w:val="24"/>
              </w:rPr>
            </w:pPr>
            <w:r>
              <w:rPr>
                <w:rFonts w:hint="eastAsia" w:ascii="黑体" w:hAnsi="黑体" w:eastAsia="黑体" w:cs="宋体"/>
                <w:bCs/>
                <w:spacing w:val="-4"/>
                <w:sz w:val="24"/>
                <w:lang w:bidi="ar"/>
              </w:rPr>
              <w:t>行为等级和扣分标准</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黑体" w:hAnsi="黑体" w:eastAsia="黑体" w:cs="宋体"/>
                <w:bCs/>
                <w:spacing w:val="-4"/>
                <w:sz w:val="24"/>
                <w:lang w:bidi="ar"/>
              </w:rPr>
            </w:pPr>
            <w:r>
              <w:rPr>
                <w:rFonts w:hint="eastAsia" w:ascii="黑体" w:hAnsi="黑体" w:eastAsia="黑体" w:cs="宋体"/>
                <w:bCs/>
                <w:spacing w:val="-4"/>
                <w:sz w:val="24"/>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rPr>
            </w:pPr>
            <w:r>
              <w:rPr>
                <w:rFonts w:hint="eastAsia" w:ascii="仿宋_GB2312" w:hAnsi="宋体" w:eastAsia="仿宋_GB2312" w:cs="宋体"/>
                <w:bCs/>
                <w:sz w:val="24"/>
                <w:lang w:bidi="ar"/>
              </w:rPr>
              <w:t>投标行为</w:t>
            </w:r>
            <w:r>
              <w:rPr>
                <w:rFonts w:hint="eastAsia" w:ascii="仿宋_GB2312" w:hAnsi="宋体" w:eastAsia="仿宋_GB2312" w:cs="宋体"/>
                <w:bCs/>
                <w:szCs w:val="21"/>
                <w:lang w:bidi="ar"/>
              </w:rPr>
              <w:t>（满分15分，扣完为止）</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严重失信行为</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SYSG1-1-1</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涂改、伪造、出借、转让资质证书</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rPr>
            </w:pPr>
            <w:r>
              <w:rPr>
                <w:rFonts w:hint="eastAsia" w:ascii="仿宋_GB2312" w:hAnsi="宋体" w:eastAsia="仿宋_GB2312" w:cs="宋体"/>
                <w:bCs/>
                <w:sz w:val="24"/>
              </w:rPr>
              <w:t>直接定为D级</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SYSG1-1-2</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以他人名义投标或者以其他方式弄虚作假，骗取中标</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rPr>
            </w:pPr>
            <w:r>
              <w:rPr>
                <w:rFonts w:hint="eastAsia" w:ascii="仿宋_GB2312" w:hAnsi="宋体" w:eastAsia="仿宋_GB2312" w:cs="宋体"/>
                <w:bCs/>
                <w:sz w:val="24"/>
              </w:rPr>
              <w:t>直接定为D级</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SYSG1-1-3</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超越本单位资质等级承揽工程</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rPr>
            </w:pPr>
            <w:r>
              <w:rPr>
                <w:rFonts w:hint="eastAsia" w:ascii="仿宋_GB2312" w:hAnsi="宋体" w:eastAsia="仿宋_GB2312" w:cs="宋体"/>
                <w:bCs/>
                <w:sz w:val="24"/>
              </w:rPr>
              <w:t>直接定为D级</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SYSG1-1-4</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投标人之间相互串通投标</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rPr>
            </w:pPr>
            <w:r>
              <w:rPr>
                <w:rFonts w:hint="eastAsia" w:ascii="仿宋_GB2312" w:hAnsi="宋体" w:eastAsia="仿宋_GB2312" w:cs="宋体"/>
                <w:bCs/>
                <w:sz w:val="24"/>
              </w:rPr>
              <w:t>直接定为D级</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SYSG1-1-5</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向招标人或者评标委员会成员行贿谋取中标</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rPr>
            </w:pPr>
            <w:r>
              <w:rPr>
                <w:rFonts w:hint="eastAsia" w:ascii="仿宋_GB2312" w:hAnsi="宋体" w:eastAsia="仿宋_GB2312" w:cs="宋体"/>
                <w:bCs/>
                <w:sz w:val="24"/>
              </w:rPr>
              <w:t>直接定为D级</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restart"/>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一般失信行为</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SYSG1-2-1</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资格预审申请文件或投标文件存在严重造假行为，事实认定清楚</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rPr>
            </w:pPr>
            <w:r>
              <w:rPr>
                <w:rFonts w:hint="eastAsia" w:ascii="仿宋_GB2312" w:hAnsi="宋体" w:eastAsia="仿宋_GB2312" w:cs="宋体"/>
                <w:bCs/>
                <w:sz w:val="24"/>
              </w:rPr>
              <w:t>8分/次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SYSG1-2-2</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中标后无正当理由放弃中标</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rPr>
            </w:pPr>
            <w:r>
              <w:rPr>
                <w:rFonts w:hint="eastAsia" w:ascii="仿宋_GB2312" w:hAnsi="宋体" w:eastAsia="仿宋_GB2312" w:cs="宋体"/>
                <w:bCs/>
                <w:sz w:val="24"/>
              </w:rPr>
              <w:t>5分</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SYSG1-2-3</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捏造事实、伪造材料或者以非法手段取得证明材料，进行虚假、恶意投诉</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rPr>
            </w:pPr>
            <w:r>
              <w:rPr>
                <w:rFonts w:hint="eastAsia" w:ascii="仿宋_GB2312" w:hAnsi="宋体" w:eastAsia="仿宋_GB2312" w:cs="宋体"/>
                <w:bCs/>
                <w:sz w:val="24"/>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SYSG1-2-4</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无正当理由未在规定时间内签订合同(非投标企业原因除外)</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15分/次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SYSG1-2-5</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提供虚假投标担保的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15分/次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SYSJ1-2-6</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拒不按照招标文件要求提交履约保证金的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10分</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SYSJ1-2-7</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未按时确认补遗书等招标人发出的通知</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3分/次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SYSJ1-2-8</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不及时反馈评标澄清</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2" w:leftChars="-2" w:hanging="2" w:hangingChars="1"/>
              <w:jc w:val="center"/>
              <w:rPr>
                <w:rFonts w:ascii="仿宋_GB2312" w:hAnsi="宋体" w:eastAsia="仿宋_GB2312" w:cs="宋体"/>
                <w:bCs/>
                <w:szCs w:val="21"/>
                <w:lang w:bidi="ar"/>
              </w:rPr>
            </w:pPr>
            <w:r>
              <w:rPr>
                <w:rFonts w:hint="eastAsia" w:ascii="仿宋_GB2312" w:hAnsi="宋体" w:eastAsia="仿宋_GB2312" w:cs="宋体"/>
                <w:bCs/>
                <w:sz w:val="24"/>
                <w:lang w:bidi="ar"/>
              </w:rPr>
              <w:t>履约行为</w:t>
            </w:r>
            <w:r>
              <w:rPr>
                <w:rFonts w:hint="eastAsia" w:ascii="仿宋_GB2312" w:hAnsi="宋体" w:eastAsia="仿宋_GB2312" w:cs="宋体"/>
                <w:bCs/>
                <w:szCs w:val="21"/>
                <w:lang w:bidi="ar"/>
              </w:rPr>
              <w:t>（满分70分，扣完为止）</w:t>
            </w:r>
          </w:p>
          <w:p>
            <w:pPr>
              <w:spacing w:line="320" w:lineRule="exact"/>
              <w:ind w:left="-2" w:leftChars="-2" w:hanging="2" w:hangingChars="1"/>
              <w:jc w:val="center"/>
              <w:rPr>
                <w:rFonts w:ascii="仿宋_GB2312" w:hAnsi="宋体" w:eastAsia="仿宋_GB2312" w:cs="宋体"/>
                <w:bCs/>
                <w:sz w:val="24"/>
              </w:rPr>
            </w:pPr>
          </w:p>
          <w:p>
            <w:pPr>
              <w:spacing w:line="320" w:lineRule="exact"/>
              <w:ind w:left="-2" w:leftChars="-2" w:hanging="2" w:hangingChars="1"/>
              <w:jc w:val="center"/>
              <w:rPr>
                <w:rFonts w:ascii="仿宋_GB2312" w:hAnsi="宋体" w:eastAsia="仿宋_GB2312" w:cs="宋体"/>
                <w:bCs/>
                <w:sz w:val="24"/>
              </w:rPr>
            </w:pPr>
          </w:p>
          <w:p>
            <w:pPr>
              <w:spacing w:line="320" w:lineRule="exact"/>
              <w:ind w:left="-2" w:leftChars="-2" w:hanging="2" w:hangingChars="1"/>
              <w:jc w:val="center"/>
              <w:rPr>
                <w:rFonts w:ascii="仿宋_GB2312" w:hAnsi="宋体" w:eastAsia="仿宋_GB2312" w:cs="宋体"/>
                <w:bCs/>
                <w:sz w:val="24"/>
              </w:rPr>
            </w:pPr>
          </w:p>
          <w:p>
            <w:pPr>
              <w:spacing w:line="320" w:lineRule="exact"/>
              <w:ind w:left="-2" w:leftChars="-2" w:hanging="2" w:hangingChars="1"/>
              <w:jc w:val="center"/>
              <w:rPr>
                <w:rFonts w:ascii="仿宋_GB2312" w:hAnsi="宋体" w:eastAsia="仿宋_GB2312" w:cs="宋体"/>
                <w:bCs/>
                <w:sz w:val="24"/>
              </w:rPr>
            </w:pPr>
          </w:p>
          <w:p>
            <w:pPr>
              <w:spacing w:line="320" w:lineRule="exact"/>
              <w:ind w:left="-2" w:leftChars="-2" w:hanging="2" w:hangingChars="1"/>
              <w:jc w:val="center"/>
              <w:rPr>
                <w:rFonts w:ascii="仿宋_GB2312" w:hAnsi="宋体" w:eastAsia="仿宋_GB2312" w:cs="宋体"/>
                <w:bCs/>
                <w:sz w:val="24"/>
              </w:rPr>
            </w:pPr>
          </w:p>
          <w:p>
            <w:pPr>
              <w:spacing w:line="320" w:lineRule="exact"/>
              <w:ind w:left="-2" w:leftChars="-2" w:hanging="2" w:hangingChars="1"/>
              <w:jc w:val="center"/>
              <w:rPr>
                <w:rFonts w:ascii="仿宋_GB2312" w:hAnsi="宋体" w:eastAsia="仿宋_GB2312" w:cs="宋体"/>
                <w:bCs/>
                <w:sz w:val="24"/>
              </w:rPr>
            </w:pPr>
          </w:p>
          <w:p>
            <w:pPr>
              <w:spacing w:line="320" w:lineRule="exact"/>
              <w:rPr>
                <w:rFonts w:ascii="仿宋_GB2312" w:hAnsi="宋体" w:eastAsia="仿宋_GB2312" w:cs="宋体"/>
                <w:bCs/>
                <w:sz w:val="24"/>
              </w:rPr>
            </w:pPr>
          </w:p>
          <w:p>
            <w:pPr>
              <w:spacing w:line="320" w:lineRule="exact"/>
              <w:ind w:left="-2" w:leftChars="-2" w:hanging="2" w:hangingChars="1"/>
              <w:jc w:val="center"/>
              <w:rPr>
                <w:rFonts w:ascii="仿宋_GB2312" w:hAnsi="宋体" w:eastAsia="仿宋_GB2312" w:cs="宋体"/>
                <w:bCs/>
                <w:szCs w:val="21"/>
                <w:lang w:bidi="ar"/>
              </w:rPr>
            </w:pPr>
            <w:r>
              <w:rPr>
                <w:rFonts w:hint="eastAsia" w:ascii="仿宋_GB2312" w:hAnsi="宋体" w:eastAsia="仿宋_GB2312" w:cs="宋体"/>
                <w:bCs/>
                <w:sz w:val="24"/>
                <w:lang w:bidi="ar"/>
              </w:rPr>
              <w:t>履约行为</w:t>
            </w:r>
            <w:r>
              <w:rPr>
                <w:rFonts w:hint="eastAsia" w:ascii="仿宋_GB2312" w:hAnsi="宋体" w:eastAsia="仿宋_GB2312" w:cs="宋体"/>
                <w:bCs/>
                <w:szCs w:val="21"/>
                <w:lang w:bidi="ar"/>
              </w:rPr>
              <w:t>（满分70分，扣完为止）</w:t>
            </w: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r>
              <w:rPr>
                <w:rFonts w:hint="eastAsia" w:ascii="仿宋_GB2312" w:hAnsi="宋体" w:eastAsia="仿宋_GB2312" w:cs="宋体"/>
                <w:bCs/>
                <w:sz w:val="24"/>
                <w:lang w:bidi="ar"/>
              </w:rPr>
              <w:t>履约行为</w:t>
            </w:r>
            <w:r>
              <w:rPr>
                <w:rFonts w:hint="eastAsia" w:ascii="仿宋_GB2312" w:hAnsi="宋体" w:eastAsia="仿宋_GB2312" w:cs="宋体"/>
                <w:bCs/>
                <w:szCs w:val="21"/>
                <w:lang w:bidi="ar"/>
              </w:rPr>
              <w:t>（满分70分，扣完为止）</w:t>
            </w: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r>
              <w:rPr>
                <w:rFonts w:hint="eastAsia" w:ascii="仿宋_GB2312" w:hAnsi="宋体" w:eastAsia="仿宋_GB2312" w:cs="宋体"/>
                <w:bCs/>
                <w:sz w:val="24"/>
                <w:lang w:bidi="ar"/>
              </w:rPr>
              <w:t>履约行为</w:t>
            </w:r>
            <w:r>
              <w:rPr>
                <w:rFonts w:hint="eastAsia" w:ascii="仿宋_GB2312" w:hAnsi="宋体" w:eastAsia="仿宋_GB2312" w:cs="宋体"/>
                <w:bCs/>
                <w:szCs w:val="21"/>
                <w:lang w:bidi="ar"/>
              </w:rPr>
              <w:t>（满分70分，扣完为止）</w:t>
            </w: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r>
              <w:rPr>
                <w:rFonts w:hint="eastAsia" w:ascii="仿宋_GB2312" w:hAnsi="宋体" w:eastAsia="仿宋_GB2312" w:cs="宋体"/>
                <w:bCs/>
                <w:sz w:val="24"/>
                <w:lang w:bidi="ar"/>
              </w:rPr>
              <w:t>履约行为</w:t>
            </w:r>
            <w:r>
              <w:rPr>
                <w:rFonts w:hint="eastAsia" w:ascii="仿宋_GB2312" w:hAnsi="宋体" w:eastAsia="仿宋_GB2312" w:cs="宋体"/>
                <w:bCs/>
                <w:szCs w:val="21"/>
                <w:lang w:bidi="ar"/>
              </w:rPr>
              <w:t>（满分70分，扣完为止）</w:t>
            </w: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Cs w:val="21"/>
                <w:lang w:bidi="ar"/>
              </w:rPr>
            </w:pPr>
          </w:p>
          <w:p>
            <w:pPr>
              <w:spacing w:line="320" w:lineRule="exact"/>
              <w:ind w:left="-2" w:leftChars="-2" w:hanging="2" w:hangingChars="1"/>
              <w:jc w:val="center"/>
              <w:rPr>
                <w:rFonts w:ascii="仿宋_GB2312" w:hAnsi="宋体" w:eastAsia="仿宋_GB2312" w:cs="宋体"/>
                <w:bCs/>
                <w:sz w:val="24"/>
              </w:rPr>
            </w:pPr>
            <w:r>
              <w:rPr>
                <w:rFonts w:hint="eastAsia" w:ascii="仿宋_GB2312" w:hAnsi="宋体" w:eastAsia="仿宋_GB2312" w:cs="宋体"/>
                <w:bCs/>
                <w:sz w:val="24"/>
                <w:lang w:bidi="ar"/>
              </w:rPr>
              <w:t>履约行为</w:t>
            </w:r>
            <w:r>
              <w:rPr>
                <w:rFonts w:hint="eastAsia" w:ascii="仿宋_GB2312" w:hAnsi="宋体" w:eastAsia="仿宋_GB2312" w:cs="宋体"/>
                <w:bCs/>
                <w:szCs w:val="21"/>
                <w:lang w:bidi="ar"/>
              </w:rPr>
              <w:t>（满分70分，扣完为止）</w:t>
            </w:r>
          </w:p>
        </w:tc>
        <w:tc>
          <w:tcPr>
            <w:tcW w:w="1701" w:type="dxa"/>
            <w:vMerge w:val="restart"/>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严重失信行为</w:t>
            </w:r>
          </w:p>
          <w:p>
            <w:pPr>
              <w:spacing w:line="320" w:lineRule="exact"/>
              <w:jc w:val="center"/>
              <w:rPr>
                <w:rFonts w:ascii="仿宋_GB2312" w:hAnsi="宋体" w:eastAsia="仿宋_GB2312" w:cs="宋体"/>
                <w:bCs/>
                <w:sz w:val="24"/>
                <w:lang w:bidi="ar"/>
              </w:rPr>
            </w:pPr>
          </w:p>
          <w:p>
            <w:pPr>
              <w:spacing w:line="320" w:lineRule="exact"/>
              <w:jc w:val="center"/>
              <w:rPr>
                <w:rFonts w:ascii="仿宋_GB2312" w:hAnsi="宋体" w:eastAsia="仿宋_GB2312" w:cs="宋体"/>
                <w:bCs/>
                <w:sz w:val="24"/>
                <w:lang w:bidi="ar"/>
              </w:rPr>
            </w:pPr>
          </w:p>
          <w:p>
            <w:pPr>
              <w:spacing w:line="320" w:lineRule="exact"/>
              <w:jc w:val="center"/>
              <w:rPr>
                <w:rFonts w:ascii="仿宋_GB2312" w:hAnsi="宋体" w:eastAsia="仿宋_GB2312" w:cs="宋体"/>
                <w:bCs/>
                <w:sz w:val="24"/>
                <w:lang w:bidi="ar"/>
              </w:rPr>
            </w:pPr>
          </w:p>
          <w:p>
            <w:pPr>
              <w:spacing w:line="320" w:lineRule="exact"/>
              <w:rPr>
                <w:rFonts w:ascii="仿宋_GB2312" w:hAnsi="宋体" w:eastAsia="仿宋_GB2312" w:cs="宋体"/>
                <w:bCs/>
                <w:sz w:val="24"/>
                <w:lang w:bidi="ar"/>
              </w:rPr>
            </w:pPr>
          </w:p>
          <w:p>
            <w:pPr>
              <w:spacing w:line="320" w:lineRule="exact"/>
              <w:rPr>
                <w:rFonts w:ascii="仿宋_GB2312" w:hAnsi="宋体" w:eastAsia="仿宋_GB2312" w:cs="宋体"/>
                <w:bCs/>
                <w:sz w:val="24"/>
                <w:lang w:bidi="ar"/>
              </w:rPr>
            </w:pPr>
          </w:p>
          <w:p>
            <w:pPr>
              <w:spacing w:line="320" w:lineRule="exact"/>
              <w:jc w:val="center"/>
              <w:rPr>
                <w:rFonts w:ascii="仿宋_GB2312" w:hAnsi="宋体" w:eastAsia="仿宋_GB2312" w:cs="宋体"/>
                <w:bCs/>
                <w:sz w:val="24"/>
              </w:rPr>
            </w:pPr>
            <w:r>
              <w:rPr>
                <w:rFonts w:hint="eastAsia" w:ascii="仿宋_GB2312" w:hAnsi="宋体" w:eastAsia="仿宋_GB2312" w:cs="宋体"/>
                <w:bCs/>
                <w:sz w:val="24"/>
                <w:lang w:bidi="ar"/>
              </w:rPr>
              <w:t>严重失信行为</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SYSG2-1-1</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向他人转让中标项目，或将中标项目肢解后分别向他人转让项目</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直接定为D级</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2" w:leftChars="-2" w:hanging="2" w:hangingChars="1"/>
              <w:jc w:val="center"/>
              <w:rPr>
                <w:rFonts w:ascii="仿宋_GB2312" w:hAnsi="宋体" w:eastAsia="仿宋_GB2312" w:cs="宋体"/>
                <w:bCs/>
                <w:sz w:val="24"/>
                <w:lang w:bidi="ar"/>
              </w:rPr>
            </w:pPr>
          </w:p>
        </w:tc>
        <w:tc>
          <w:tcPr>
            <w:tcW w:w="1701" w:type="dxa"/>
            <w:vMerge w:val="continue"/>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SYSG2-1-2</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发生重大质量事故（二级以上）或重大以上等级安全生产责任事故</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直接定为D级</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2" w:leftChars="-2" w:hanging="2" w:hangingChars="1"/>
              <w:jc w:val="center"/>
              <w:rPr>
                <w:rFonts w:ascii="仿宋_GB2312" w:hAnsi="宋体" w:eastAsia="仿宋_GB2312" w:cs="宋体"/>
                <w:bCs/>
                <w:sz w:val="24"/>
                <w:lang w:bidi="ar"/>
              </w:rPr>
            </w:pPr>
          </w:p>
        </w:tc>
        <w:tc>
          <w:tcPr>
            <w:tcW w:w="1701" w:type="dxa"/>
            <w:vMerge w:val="continue"/>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SYSG2-1-3</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发生重大质量事故或较大以上等级安全生产责任事故隐瞒不报、谎报或拖延报告期限</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直接定为D级</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2" w:leftChars="-2" w:hanging="2" w:hangingChars="1"/>
              <w:jc w:val="center"/>
              <w:rPr>
                <w:rFonts w:ascii="仿宋_GB2312" w:hAnsi="宋体" w:eastAsia="仿宋_GB2312" w:cs="宋体"/>
                <w:bCs/>
                <w:sz w:val="24"/>
                <w:lang w:bidi="ar"/>
              </w:rPr>
            </w:pPr>
          </w:p>
        </w:tc>
        <w:tc>
          <w:tcPr>
            <w:tcW w:w="1701" w:type="dxa"/>
            <w:vMerge w:val="continue"/>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SYSG2-1-4</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经交通运输主管部门或质监机构鉴定合同段工程质量不合格</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直接定为D级</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ind w:leftChars="-69" w:right="-107" w:rightChars="-51" w:hanging="144" w:hangingChars="69"/>
              <w:jc w:val="center"/>
              <w:rPr>
                <w:rFonts w:ascii="仿宋_GB2312" w:hAnsi="宋体" w:eastAsia="仿宋_GB2312" w:cs="宋体"/>
                <w:bCs/>
                <w:szCs w:val="21"/>
                <w:lang w:bidi="ar"/>
              </w:rPr>
            </w:pPr>
          </w:p>
        </w:tc>
        <w:tc>
          <w:tcPr>
            <w:tcW w:w="1701"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SYSG2-1-5</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不按合同要求组织进场开工的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10分/次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ind w:leftChars="-69" w:right="-107" w:rightChars="-51" w:hanging="144" w:hangingChars="69"/>
              <w:jc w:val="center"/>
              <w:rPr>
                <w:rFonts w:ascii="仿宋_GB2312" w:hAnsi="宋体" w:eastAsia="仿宋_GB2312" w:cs="宋体"/>
                <w:bCs/>
                <w:szCs w:val="21"/>
                <w:lang w:bidi="ar"/>
              </w:rPr>
            </w:pPr>
          </w:p>
        </w:tc>
        <w:tc>
          <w:tcPr>
            <w:tcW w:w="1701"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SYSG2-1-6</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在建项目发生较大质量事故或一般安全生产事故，施工单位瞒报、虚报的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10分/次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ind w:leftChars="-69" w:right="-107" w:rightChars="-51" w:hanging="144" w:hangingChars="69"/>
              <w:jc w:val="center"/>
              <w:rPr>
                <w:rFonts w:ascii="仿宋_GB2312" w:hAnsi="宋体" w:eastAsia="仿宋_GB2312" w:cs="宋体"/>
                <w:bCs/>
                <w:szCs w:val="21"/>
                <w:lang w:bidi="ar"/>
              </w:rPr>
            </w:pPr>
          </w:p>
        </w:tc>
        <w:tc>
          <w:tcPr>
            <w:tcW w:w="1701"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SYSG2-1-7</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承包人疏于管理，分包人以他人名义承揽分包工程的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10分/次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ind w:leftChars="-69" w:right="-107" w:rightChars="-51" w:hanging="144" w:hangingChars="69"/>
              <w:jc w:val="center"/>
              <w:rPr>
                <w:rFonts w:ascii="仿宋_GB2312" w:hAnsi="宋体" w:eastAsia="仿宋_GB2312" w:cs="宋体"/>
                <w:bCs/>
                <w:szCs w:val="21"/>
                <w:lang w:bidi="ar"/>
              </w:rPr>
            </w:pPr>
          </w:p>
        </w:tc>
        <w:tc>
          <w:tcPr>
            <w:tcW w:w="1701"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SYSG2-1-8</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承包人疏于管理，分包人将分包工程再进行分包的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ind w:leftChars="-69" w:right="-107" w:rightChars="-51" w:hanging="144" w:hangingChars="69"/>
              <w:jc w:val="center"/>
              <w:rPr>
                <w:rFonts w:ascii="仿宋_GB2312" w:hAnsi="宋体" w:eastAsia="仿宋_GB2312" w:cs="宋体"/>
                <w:bCs/>
                <w:szCs w:val="21"/>
                <w:lang w:bidi="ar"/>
              </w:rPr>
            </w:pPr>
          </w:p>
        </w:tc>
        <w:tc>
          <w:tcPr>
            <w:tcW w:w="1701"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SYSG2-1-9</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分包工程未按规定报备的（含劳务分包），或者未签订分包合同的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Cs w:val="21"/>
              </w:rPr>
            </w:pPr>
            <w:r>
              <w:rPr>
                <w:rFonts w:hint="eastAsia" w:ascii="仿宋_GB2312" w:hAnsi="宋体" w:eastAsia="仿宋_GB2312" w:cs="宋体"/>
                <w:bCs/>
                <w:sz w:val="24"/>
                <w:lang w:bidi="ar"/>
              </w:rPr>
              <w:t>人员设备到位情况</w:t>
            </w:r>
            <w:r>
              <w:rPr>
                <w:rFonts w:hint="eastAsia" w:ascii="仿宋_GB2312" w:hAnsi="宋体" w:eastAsia="仿宋_GB2312" w:cs="宋体"/>
                <w:bCs/>
                <w:szCs w:val="21"/>
                <w:lang w:bidi="ar"/>
              </w:rPr>
              <w:t>（满分5分，扣完为止）</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SYSG2-2-1</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项目经理、技术负责人未按投标承诺的条件配备或未经项目法人批准擅自更换</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2分/人次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SYSG2-2-2</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关键施工机械、设备未按投标承诺或工程需要到位，影响工程施工</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1分/台（艘）次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SYSG2-2-3</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项目经理出勤率不满足合同要求的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1.5分/人次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SYSG2-2-4</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项目副经理、技术负责人出勤率不满足合同要求的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1分/人次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SYSG2-2-5</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注册执业人员未按投标承诺到位,或无正当理由更换。</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0.4分/人次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SYSG2-2-6</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安全管理人员、特种设备操作人员及特殊岗位未按要求持证上岗。</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0.2分/人次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SYSG2-2-7</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未按规定签订劳务用工合同。</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0.5分/人次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Cs w:val="21"/>
                <w:lang w:bidi="ar"/>
              </w:rPr>
            </w:pPr>
            <w:r>
              <w:rPr>
                <w:rFonts w:hint="eastAsia" w:ascii="仿宋_GB2312" w:hAnsi="宋体" w:eastAsia="仿宋_GB2312" w:cs="宋体"/>
                <w:bCs/>
                <w:sz w:val="24"/>
                <w:lang w:bidi="ar"/>
              </w:rPr>
              <w:t>质量进度与费用管理</w:t>
            </w:r>
            <w:r>
              <w:rPr>
                <w:rFonts w:hint="eastAsia" w:ascii="仿宋_GB2312" w:hAnsi="宋体" w:eastAsia="仿宋_GB2312" w:cs="宋体"/>
                <w:bCs/>
                <w:szCs w:val="21"/>
                <w:lang w:bidi="ar"/>
              </w:rPr>
              <w:t>(满分40分，扣完为止）</w:t>
            </w: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r>
              <w:rPr>
                <w:rFonts w:hint="eastAsia" w:ascii="仿宋_GB2312" w:hAnsi="宋体" w:eastAsia="仿宋_GB2312" w:cs="宋体"/>
                <w:bCs/>
                <w:sz w:val="24"/>
                <w:lang w:bidi="ar"/>
              </w:rPr>
              <w:t>质量进度与费用管理</w:t>
            </w:r>
            <w:r>
              <w:rPr>
                <w:rFonts w:hint="eastAsia" w:ascii="仿宋_GB2312" w:hAnsi="宋体" w:eastAsia="仿宋_GB2312" w:cs="宋体"/>
                <w:bCs/>
                <w:szCs w:val="21"/>
                <w:lang w:bidi="ar"/>
              </w:rPr>
              <w:t>(满分40分，扣完为止）</w:t>
            </w:r>
          </w:p>
          <w:p>
            <w:pPr>
              <w:spacing w:line="320" w:lineRule="exact"/>
              <w:jc w:val="center"/>
              <w:rPr>
                <w:rFonts w:ascii="仿宋_GB2312" w:hAnsi="宋体" w:eastAsia="仿宋_GB2312" w:cs="宋体"/>
                <w:bCs/>
                <w:szCs w:val="21"/>
              </w:rPr>
            </w:pPr>
          </w:p>
          <w:p>
            <w:pPr>
              <w:spacing w:line="320" w:lineRule="exact"/>
              <w:jc w:val="center"/>
              <w:rPr>
                <w:rFonts w:ascii="仿宋_GB2312" w:hAnsi="宋体" w:eastAsia="仿宋_GB2312" w:cs="宋体"/>
                <w:bCs/>
                <w:szCs w:val="21"/>
              </w:rPr>
            </w:pPr>
          </w:p>
          <w:p>
            <w:pPr>
              <w:spacing w:line="320" w:lineRule="exact"/>
              <w:jc w:val="center"/>
              <w:rPr>
                <w:rFonts w:ascii="仿宋_GB2312" w:hAnsi="宋体" w:eastAsia="仿宋_GB2312" w:cs="宋体"/>
                <w:bCs/>
                <w:szCs w:val="21"/>
              </w:rPr>
            </w:pPr>
          </w:p>
          <w:p>
            <w:pPr>
              <w:spacing w:line="320" w:lineRule="exact"/>
              <w:jc w:val="center"/>
              <w:rPr>
                <w:rFonts w:ascii="仿宋_GB2312" w:hAnsi="宋体" w:eastAsia="仿宋_GB2312" w:cs="宋体"/>
                <w:bCs/>
                <w:szCs w:val="21"/>
              </w:rPr>
            </w:pPr>
          </w:p>
          <w:p>
            <w:pPr>
              <w:spacing w:line="320" w:lineRule="exact"/>
              <w:jc w:val="center"/>
              <w:rPr>
                <w:rFonts w:ascii="仿宋_GB2312" w:hAnsi="宋体" w:eastAsia="仿宋_GB2312" w:cs="宋体"/>
                <w:bCs/>
                <w:szCs w:val="21"/>
              </w:rPr>
            </w:pPr>
          </w:p>
          <w:p>
            <w:pPr>
              <w:spacing w:line="320" w:lineRule="exact"/>
              <w:jc w:val="center"/>
              <w:rPr>
                <w:rFonts w:ascii="仿宋_GB2312" w:hAnsi="宋体" w:eastAsia="仿宋_GB2312" w:cs="宋体"/>
                <w:bCs/>
                <w:szCs w:val="21"/>
              </w:rPr>
            </w:pPr>
          </w:p>
          <w:p>
            <w:pPr>
              <w:spacing w:line="320" w:lineRule="exact"/>
              <w:jc w:val="center"/>
              <w:rPr>
                <w:rFonts w:ascii="仿宋_GB2312" w:hAnsi="宋体" w:eastAsia="仿宋_GB2312" w:cs="宋体"/>
                <w:bCs/>
                <w:szCs w:val="21"/>
              </w:rPr>
            </w:pPr>
          </w:p>
          <w:p>
            <w:pPr>
              <w:spacing w:line="320" w:lineRule="exact"/>
              <w:jc w:val="center"/>
              <w:rPr>
                <w:rFonts w:ascii="仿宋_GB2312" w:hAnsi="宋体" w:eastAsia="仿宋_GB2312" w:cs="宋体"/>
                <w:bCs/>
                <w:szCs w:val="21"/>
              </w:rPr>
            </w:pPr>
          </w:p>
          <w:p>
            <w:pPr>
              <w:spacing w:line="320" w:lineRule="exact"/>
              <w:jc w:val="center"/>
              <w:rPr>
                <w:rFonts w:ascii="仿宋_GB2312" w:hAnsi="宋体" w:eastAsia="仿宋_GB2312" w:cs="宋体"/>
                <w:bCs/>
                <w:szCs w:val="21"/>
              </w:rPr>
            </w:pPr>
          </w:p>
          <w:p>
            <w:pPr>
              <w:spacing w:line="320" w:lineRule="exact"/>
              <w:jc w:val="center"/>
              <w:rPr>
                <w:rFonts w:ascii="仿宋_GB2312" w:hAnsi="宋体" w:eastAsia="仿宋_GB2312" w:cs="宋体"/>
                <w:bCs/>
                <w:szCs w:val="21"/>
              </w:rPr>
            </w:pPr>
          </w:p>
          <w:p>
            <w:pPr>
              <w:spacing w:line="320" w:lineRule="exact"/>
              <w:jc w:val="center"/>
              <w:rPr>
                <w:rFonts w:ascii="仿宋_GB2312" w:hAnsi="宋体" w:eastAsia="仿宋_GB2312" w:cs="宋体"/>
                <w:bCs/>
                <w:szCs w:val="21"/>
              </w:rPr>
            </w:pPr>
          </w:p>
          <w:p>
            <w:pPr>
              <w:spacing w:line="320" w:lineRule="exact"/>
              <w:jc w:val="center"/>
              <w:rPr>
                <w:rFonts w:ascii="仿宋_GB2312" w:hAnsi="宋体" w:eastAsia="仿宋_GB2312" w:cs="宋体"/>
                <w:bCs/>
                <w:szCs w:val="21"/>
              </w:rPr>
            </w:pPr>
          </w:p>
          <w:p>
            <w:pPr>
              <w:spacing w:line="320" w:lineRule="exact"/>
              <w:jc w:val="center"/>
              <w:rPr>
                <w:rFonts w:ascii="仿宋_GB2312" w:hAnsi="宋体" w:eastAsia="仿宋_GB2312" w:cs="宋体"/>
                <w:bCs/>
                <w:szCs w:val="21"/>
              </w:rPr>
            </w:pPr>
          </w:p>
          <w:p>
            <w:pPr>
              <w:spacing w:line="320" w:lineRule="exact"/>
              <w:jc w:val="center"/>
              <w:rPr>
                <w:rFonts w:ascii="仿宋_GB2312" w:hAnsi="宋体" w:eastAsia="仿宋_GB2312" w:cs="宋体"/>
                <w:bCs/>
                <w:szCs w:val="21"/>
              </w:rPr>
            </w:pPr>
          </w:p>
          <w:p>
            <w:pPr>
              <w:spacing w:line="320" w:lineRule="exact"/>
              <w:jc w:val="center"/>
              <w:rPr>
                <w:rFonts w:ascii="仿宋_GB2312" w:hAnsi="宋体" w:eastAsia="仿宋_GB2312" w:cs="宋体"/>
                <w:bCs/>
                <w:szCs w:val="21"/>
              </w:rPr>
            </w:pPr>
          </w:p>
          <w:p>
            <w:pPr>
              <w:spacing w:line="320" w:lineRule="exact"/>
              <w:jc w:val="center"/>
              <w:rPr>
                <w:rFonts w:ascii="仿宋_GB2312" w:hAnsi="宋体" w:eastAsia="仿宋_GB2312" w:cs="宋体"/>
                <w:bCs/>
                <w:sz w:val="24"/>
                <w:lang w:bidi="ar"/>
              </w:rPr>
            </w:pPr>
          </w:p>
          <w:p>
            <w:pPr>
              <w:spacing w:line="320" w:lineRule="exact"/>
              <w:jc w:val="center"/>
              <w:rPr>
                <w:rFonts w:ascii="仿宋_GB2312" w:hAnsi="宋体" w:eastAsia="仿宋_GB2312" w:cs="宋体"/>
                <w:bCs/>
                <w:sz w:val="24"/>
                <w:lang w:bidi="ar"/>
              </w:rPr>
            </w:pPr>
          </w:p>
          <w:p>
            <w:pPr>
              <w:spacing w:line="320" w:lineRule="exact"/>
              <w:jc w:val="center"/>
              <w:rPr>
                <w:rFonts w:ascii="仿宋_GB2312" w:hAnsi="宋体" w:eastAsia="仿宋_GB2312" w:cs="宋体"/>
                <w:bCs/>
                <w:sz w:val="24"/>
                <w:lang w:bidi="ar"/>
              </w:rPr>
            </w:pPr>
          </w:p>
          <w:p>
            <w:pPr>
              <w:spacing w:line="320" w:lineRule="exact"/>
              <w:jc w:val="center"/>
              <w:rPr>
                <w:rFonts w:ascii="仿宋_GB2312" w:hAnsi="宋体" w:eastAsia="仿宋_GB2312" w:cs="宋体"/>
                <w:bCs/>
                <w:sz w:val="24"/>
                <w:lang w:bidi="ar"/>
              </w:rPr>
            </w:pPr>
          </w:p>
          <w:p>
            <w:pPr>
              <w:spacing w:line="320" w:lineRule="exact"/>
              <w:jc w:val="center"/>
              <w:rPr>
                <w:rFonts w:ascii="仿宋_GB2312" w:hAnsi="宋体" w:eastAsia="仿宋_GB2312" w:cs="宋体"/>
                <w:bCs/>
                <w:sz w:val="24"/>
                <w:lang w:bidi="ar"/>
              </w:rPr>
            </w:pPr>
          </w:p>
          <w:p>
            <w:pPr>
              <w:spacing w:line="320" w:lineRule="exact"/>
              <w:jc w:val="center"/>
              <w:rPr>
                <w:rFonts w:ascii="仿宋_GB2312" w:hAnsi="宋体" w:eastAsia="仿宋_GB2312" w:cs="宋体"/>
                <w:bCs/>
                <w:sz w:val="24"/>
                <w:lang w:bidi="ar"/>
              </w:rPr>
            </w:pPr>
          </w:p>
          <w:p>
            <w:pPr>
              <w:spacing w:line="320" w:lineRule="exact"/>
              <w:jc w:val="center"/>
              <w:rPr>
                <w:rFonts w:ascii="仿宋_GB2312" w:hAnsi="宋体" w:eastAsia="仿宋_GB2312" w:cs="宋体"/>
                <w:bCs/>
                <w:sz w:val="24"/>
                <w:lang w:bidi="ar"/>
              </w:rPr>
            </w:pPr>
          </w:p>
          <w:p>
            <w:pPr>
              <w:spacing w:line="320" w:lineRule="exact"/>
              <w:jc w:val="center"/>
              <w:rPr>
                <w:rFonts w:ascii="仿宋_GB2312" w:hAnsi="宋体" w:eastAsia="仿宋_GB2312" w:cs="宋体"/>
                <w:bCs/>
                <w:sz w:val="24"/>
                <w:lang w:bidi="ar"/>
              </w:rPr>
            </w:pPr>
          </w:p>
          <w:p>
            <w:pPr>
              <w:spacing w:line="320" w:lineRule="exact"/>
              <w:jc w:val="center"/>
              <w:rPr>
                <w:rFonts w:ascii="仿宋_GB2312" w:hAnsi="宋体" w:eastAsia="仿宋_GB2312" w:cs="宋体"/>
                <w:bCs/>
                <w:sz w:val="24"/>
                <w:lang w:bidi="ar"/>
              </w:rPr>
            </w:pPr>
          </w:p>
          <w:p>
            <w:pPr>
              <w:spacing w:line="320" w:lineRule="exact"/>
              <w:jc w:val="center"/>
              <w:rPr>
                <w:rFonts w:ascii="仿宋_GB2312" w:hAnsi="宋体" w:eastAsia="仿宋_GB2312" w:cs="宋体"/>
                <w:bCs/>
                <w:sz w:val="24"/>
                <w:lang w:bidi="ar"/>
              </w:rPr>
            </w:pPr>
          </w:p>
          <w:p>
            <w:pPr>
              <w:spacing w:line="320" w:lineRule="exact"/>
              <w:jc w:val="center"/>
              <w:rPr>
                <w:rFonts w:ascii="仿宋_GB2312" w:hAnsi="宋体" w:eastAsia="仿宋_GB2312" w:cs="宋体"/>
                <w:bCs/>
                <w:sz w:val="24"/>
                <w:lang w:bidi="ar"/>
              </w:rPr>
            </w:pPr>
          </w:p>
          <w:p>
            <w:pPr>
              <w:spacing w:line="320" w:lineRule="exact"/>
              <w:jc w:val="center"/>
              <w:rPr>
                <w:rFonts w:ascii="仿宋_GB2312" w:hAnsi="宋体" w:eastAsia="仿宋_GB2312" w:cs="宋体"/>
                <w:bCs/>
                <w:szCs w:val="21"/>
                <w:lang w:bidi="ar"/>
              </w:rPr>
            </w:pPr>
            <w:r>
              <w:rPr>
                <w:rFonts w:hint="eastAsia" w:ascii="仿宋_GB2312" w:hAnsi="宋体" w:eastAsia="仿宋_GB2312" w:cs="宋体"/>
                <w:bCs/>
                <w:sz w:val="24"/>
                <w:lang w:bidi="ar"/>
              </w:rPr>
              <w:t>质量进度与费用管理</w:t>
            </w:r>
            <w:r>
              <w:rPr>
                <w:rFonts w:hint="eastAsia" w:ascii="仿宋_GB2312" w:hAnsi="宋体" w:eastAsia="仿宋_GB2312" w:cs="宋体"/>
                <w:bCs/>
                <w:szCs w:val="21"/>
                <w:lang w:bidi="ar"/>
              </w:rPr>
              <w:t>(满分40分，扣完为止）</w:t>
            </w:r>
          </w:p>
          <w:p>
            <w:pPr>
              <w:spacing w:line="320" w:lineRule="exact"/>
              <w:jc w:val="center"/>
              <w:rPr>
                <w:rFonts w:ascii="仿宋_GB2312" w:hAnsi="宋体" w:eastAsia="仿宋_GB2312" w:cs="宋体"/>
                <w:bCs/>
                <w:szCs w:val="21"/>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SYSG2-3-1</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将承包工程违法分包</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10分/次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SYSG2-3-2</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由于施工企业原因导致合同终止</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10分/次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SYSG2-3-3</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未按照强制性标准进行施工</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SYSG2-3-4</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因施工原因发生重大设计变更导致工程建设费用增加或工期延误较多</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SYSG2-3-5</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使用未经检验或检验不合格的建筑材料、建筑构配件和设备</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SYSG2-3-6</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施工过程中偷工减料</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SYSG2-3-7</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发生重大（二级）以下、一般以上质量事故</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SYSG2-3-8</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不按照设计图纸施工或施工方案未经审查批准擅自开工</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3-5分/次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SYSG2-3-9</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发生质量问题或严重质量缺陷</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3分/次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SYSG2-3-10</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工程变更中存在弄虚作假</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3分/次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SYSG2-3-11</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内业资料造假</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2分/次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SYSG2-3-12</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因施工原因造成工程进度滞后于合同工期</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2分</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SYSG2-3-13</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不履行保修义务或者拖延履行保修义务</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3分</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SYSG2-3-14</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挪用工程款</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3分/次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SYSG2-3-15</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未按规定配备质量管理人员</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1分/人次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SYSG2-3-16</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被建设单位约谈的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SYSG2-3-17</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在评价管理相关平台中不及时填报评价基础信息，或填报评价基础信息存在弄虚作假的（含瞒报、漏报等）</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2分/次.项</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SYSG2-3-18</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内业资料不全或不规范、不真实；施工档案资料归档不规范或不及时</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1分/次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SYSG2-3-19</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拒绝或阻碍依法进行水运建设监督检查工作。</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3分/次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SYSG2-3-20</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质量保证体系或质量保证措施不健全；特殊季节施工预防措施不健全。</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2分/次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SYSG2-3-21</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未经监理签认进入下道工序或分项工程；或监理下达停工指令拒不执行；或未经监理签认将建筑材料、建筑构配件和设备在工程上使用或安装。</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2分/次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SYSG2-3-22</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工程检查中抽测实体质量不合格（指交通主管部门、质监机构组织的监督检查、项目法人组织的正式检查）</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1分/次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SYSG2-3-23</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施工单位工地试验室不符合要求，超越其母体检测机构授权业务范围开展试验检测工作</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2分/次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SYSG2-3-24</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原材料、工程实体质量抽检未按规定执行，自检频率不符合要求</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1分/次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SYSG2-3-25</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未按要求建设标准化工地</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1分/项</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SYSG2-3-26</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财务管理制度不健全；或财务管理混乱</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2分/次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SYSG2-3-27</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虚假计量</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3分/次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SYSG2-3-28</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肢解变更的</w:t>
            </w:r>
            <w:r>
              <w:rPr>
                <w:rFonts w:hint="eastAsia" w:ascii="仿宋_GB2312" w:hAnsi="宋体" w:eastAsia="仿宋_GB2312" w:cs="宋体"/>
                <w:bCs/>
                <w:sz w:val="24"/>
                <w:lang w:bidi="ar"/>
              </w:rPr>
              <w:cr/>
            </w:r>
            <w:r>
              <w:rPr>
                <w:rFonts w:hint="eastAsia" w:ascii="仿宋_GB2312" w:hAnsi="宋体" w:eastAsia="仿宋_GB2312" w:cs="宋体"/>
                <w:bCs/>
                <w:sz w:val="24"/>
                <w:lang w:bidi="ar"/>
              </w:rPr>
              <w:t xml:space="preserve"> </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3分/处</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SYSG2-3-29</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因施工单位责任造成设计变更增加工程造价100万元及以上的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2分/处</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SYSG2-3-30</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因施工企业原因拖欠工程款、农民工工资、材料款，尚未造成影响</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1分/次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SYSG2-3-31</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未按规定提交合同结算资料的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3分/次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SYSG2-3-32</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因施工企业原因，未及时上报变更文件</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6" w:leftChars="-51" w:right="-123" w:rightChars="-59" w:hanging="1"/>
              <w:jc w:val="center"/>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2分/次</w:t>
            </w:r>
          </w:p>
        </w:tc>
        <w:tc>
          <w:tcPr>
            <w:tcW w:w="1222" w:type="dxa"/>
            <w:tcBorders>
              <w:top w:val="single" w:color="auto" w:sz="4" w:space="0"/>
              <w:left w:val="single" w:color="auto" w:sz="4" w:space="0"/>
              <w:bottom w:val="single" w:color="auto" w:sz="4" w:space="0"/>
              <w:right w:val="single" w:color="auto" w:sz="4" w:space="0"/>
            </w:tcBorders>
            <w:vAlign w:val="center"/>
          </w:tcPr>
          <w:p>
            <w:pPr>
              <w:spacing w:line="320" w:lineRule="exact"/>
              <w:ind w:left="-106" w:leftChars="-51" w:right="-123" w:rightChars="-59" w:hanging="1"/>
              <w:jc w:val="center"/>
              <w:rPr>
                <w:rFonts w:ascii="仿宋_GB2312" w:hAnsi="宋体" w:eastAsia="仿宋_GB2312" w:cs="宋体"/>
                <w:bCs/>
                <w:spacing w:val="-4"/>
                <w:sz w:val="24"/>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p>
          <w:p>
            <w:pPr>
              <w:spacing w:line="320" w:lineRule="exact"/>
              <w:jc w:val="center"/>
              <w:rPr>
                <w:rFonts w:ascii="仿宋_GB2312" w:hAnsi="宋体" w:eastAsia="仿宋_GB2312" w:cs="宋体"/>
                <w:bCs/>
                <w:spacing w:val="-8"/>
                <w:szCs w:val="21"/>
                <w:lang w:bidi="ar"/>
              </w:rPr>
            </w:pPr>
            <w:r>
              <w:rPr>
                <w:rFonts w:hint="eastAsia" w:ascii="仿宋_GB2312" w:hAnsi="宋体" w:eastAsia="仿宋_GB2312" w:cs="宋体"/>
                <w:bCs/>
                <w:sz w:val="24"/>
                <w:lang w:bidi="ar"/>
              </w:rPr>
              <w:t>安全生产</w:t>
            </w:r>
            <w:r>
              <w:rPr>
                <w:rFonts w:hint="eastAsia" w:ascii="仿宋_GB2312" w:hAnsi="宋体" w:eastAsia="仿宋_GB2312" w:cs="宋体"/>
                <w:bCs/>
                <w:szCs w:val="21"/>
                <w:lang w:bidi="ar"/>
              </w:rPr>
              <w:t>(满分</w:t>
            </w:r>
            <w:r>
              <w:rPr>
                <w:rFonts w:hint="eastAsia" w:ascii="仿宋_GB2312" w:hAnsi="宋体" w:eastAsia="仿宋_GB2312" w:cs="宋体"/>
                <w:bCs/>
                <w:spacing w:val="-8"/>
                <w:szCs w:val="21"/>
                <w:lang w:bidi="ar"/>
              </w:rPr>
              <w:t>20分，扣完为止)</w:t>
            </w: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rPr>
                <w:rFonts w:ascii="仿宋_GB2312" w:hAnsi="宋体" w:eastAsia="仿宋_GB2312" w:cs="宋体"/>
                <w:bCs/>
                <w:szCs w:val="21"/>
                <w:lang w:bidi="ar"/>
              </w:rPr>
            </w:pPr>
          </w:p>
          <w:p>
            <w:pPr>
              <w:spacing w:line="320" w:lineRule="exact"/>
              <w:jc w:val="center"/>
              <w:rPr>
                <w:rFonts w:ascii="仿宋_GB2312" w:hAnsi="宋体" w:eastAsia="仿宋_GB2312" w:cs="宋体"/>
                <w:bCs/>
                <w:spacing w:val="-8"/>
                <w:szCs w:val="21"/>
                <w:lang w:bidi="ar"/>
              </w:rPr>
            </w:pPr>
            <w:r>
              <w:rPr>
                <w:rFonts w:hint="eastAsia" w:ascii="仿宋_GB2312" w:hAnsi="宋体" w:eastAsia="仿宋_GB2312" w:cs="宋体"/>
                <w:bCs/>
                <w:sz w:val="24"/>
                <w:lang w:bidi="ar"/>
              </w:rPr>
              <w:t>安全生产</w:t>
            </w:r>
            <w:r>
              <w:rPr>
                <w:rFonts w:hint="eastAsia" w:ascii="仿宋_GB2312" w:hAnsi="宋体" w:eastAsia="仿宋_GB2312" w:cs="宋体"/>
                <w:bCs/>
                <w:szCs w:val="21"/>
                <w:lang w:bidi="ar"/>
              </w:rPr>
              <w:t>(满分</w:t>
            </w:r>
            <w:r>
              <w:rPr>
                <w:rFonts w:hint="eastAsia" w:ascii="仿宋_GB2312" w:hAnsi="宋体" w:eastAsia="仿宋_GB2312" w:cs="宋体"/>
                <w:bCs/>
                <w:spacing w:val="-8"/>
                <w:szCs w:val="21"/>
                <w:lang w:bidi="ar"/>
              </w:rPr>
              <w:t>20分，扣完为止)</w:t>
            </w: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jc w:val="center"/>
              <w:rPr>
                <w:rFonts w:ascii="仿宋_GB2312" w:hAnsi="宋体" w:eastAsia="仿宋_GB2312" w:cs="宋体"/>
                <w:bCs/>
                <w:szCs w:val="21"/>
                <w:lang w:bidi="ar"/>
              </w:rPr>
            </w:pPr>
          </w:p>
          <w:p>
            <w:pPr>
              <w:spacing w:line="320" w:lineRule="exact"/>
              <w:rPr>
                <w:rFonts w:ascii="仿宋_GB2312" w:hAnsi="宋体" w:eastAsia="仿宋_GB2312" w:cs="宋体"/>
                <w:bCs/>
                <w:szCs w:val="21"/>
                <w:lang w:bidi="ar"/>
              </w:rPr>
            </w:pPr>
          </w:p>
          <w:p>
            <w:pPr>
              <w:spacing w:line="320" w:lineRule="exact"/>
              <w:rPr>
                <w:rFonts w:ascii="仿宋_GB2312" w:hAnsi="宋体" w:eastAsia="仿宋_GB2312" w:cs="宋体"/>
                <w:bCs/>
                <w:szCs w:val="21"/>
                <w:lang w:bidi="ar"/>
              </w:rPr>
            </w:pPr>
          </w:p>
          <w:p>
            <w:pPr>
              <w:spacing w:line="320" w:lineRule="exact"/>
              <w:rPr>
                <w:rFonts w:ascii="仿宋_GB2312" w:hAnsi="宋体" w:eastAsia="仿宋_GB2312" w:cs="宋体"/>
                <w:bCs/>
                <w:szCs w:val="21"/>
                <w:lang w:bidi="ar"/>
              </w:rPr>
            </w:pPr>
          </w:p>
          <w:p>
            <w:pPr>
              <w:spacing w:line="320" w:lineRule="exact"/>
              <w:rPr>
                <w:rFonts w:ascii="仿宋_GB2312" w:hAnsi="宋体" w:eastAsia="仿宋_GB2312" w:cs="宋体"/>
                <w:bCs/>
                <w:szCs w:val="21"/>
                <w:lang w:bidi="ar"/>
              </w:rPr>
            </w:pPr>
          </w:p>
          <w:p>
            <w:pPr>
              <w:spacing w:line="320" w:lineRule="exact"/>
              <w:rPr>
                <w:rFonts w:ascii="仿宋_GB2312" w:hAnsi="宋体" w:eastAsia="仿宋_GB2312" w:cs="宋体"/>
                <w:bCs/>
                <w:szCs w:val="21"/>
                <w:lang w:bidi="ar"/>
              </w:rPr>
            </w:pPr>
          </w:p>
          <w:p>
            <w:pPr>
              <w:spacing w:line="320" w:lineRule="exact"/>
              <w:rPr>
                <w:rFonts w:ascii="仿宋_GB2312" w:hAnsi="宋体" w:eastAsia="仿宋_GB2312" w:cs="宋体"/>
                <w:bCs/>
                <w:szCs w:val="21"/>
                <w:lang w:bidi="ar"/>
              </w:rPr>
            </w:pPr>
          </w:p>
          <w:p>
            <w:pPr>
              <w:spacing w:line="320" w:lineRule="exact"/>
              <w:rPr>
                <w:rFonts w:ascii="仿宋_GB2312" w:hAnsi="宋体" w:eastAsia="仿宋_GB2312" w:cs="宋体"/>
                <w:bCs/>
                <w:szCs w:val="21"/>
                <w:lang w:bidi="ar"/>
              </w:rPr>
            </w:pPr>
          </w:p>
          <w:p>
            <w:pPr>
              <w:spacing w:line="320" w:lineRule="exact"/>
              <w:rPr>
                <w:rFonts w:ascii="仿宋_GB2312" w:hAnsi="宋体" w:eastAsia="仿宋_GB2312" w:cs="宋体"/>
                <w:bCs/>
                <w:szCs w:val="21"/>
                <w:lang w:bidi="ar"/>
              </w:rPr>
            </w:pPr>
          </w:p>
          <w:p>
            <w:pPr>
              <w:spacing w:line="320" w:lineRule="exact"/>
              <w:jc w:val="center"/>
              <w:rPr>
                <w:rFonts w:ascii="仿宋_GB2312" w:hAnsi="宋体" w:eastAsia="仿宋_GB2312" w:cs="宋体"/>
                <w:bCs/>
                <w:szCs w:val="21"/>
              </w:rPr>
            </w:pPr>
            <w:r>
              <w:rPr>
                <w:rFonts w:hint="eastAsia" w:ascii="仿宋_GB2312" w:hAnsi="宋体" w:eastAsia="仿宋_GB2312" w:cs="宋体"/>
                <w:bCs/>
                <w:sz w:val="24"/>
                <w:lang w:bidi="ar"/>
              </w:rPr>
              <w:t>安全生产</w:t>
            </w:r>
            <w:r>
              <w:rPr>
                <w:rFonts w:hint="eastAsia" w:ascii="仿宋_GB2312" w:hAnsi="宋体" w:eastAsia="仿宋_GB2312" w:cs="宋体"/>
                <w:bCs/>
                <w:szCs w:val="21"/>
                <w:lang w:bidi="ar"/>
              </w:rPr>
              <w:t>(满分</w:t>
            </w:r>
            <w:r>
              <w:rPr>
                <w:rFonts w:hint="eastAsia" w:ascii="仿宋_GB2312" w:hAnsi="宋体" w:eastAsia="仿宋_GB2312" w:cs="宋体"/>
                <w:bCs/>
                <w:spacing w:val="-8"/>
                <w:szCs w:val="21"/>
                <w:lang w:bidi="ar"/>
              </w:rPr>
              <w:t>20分，扣完为止)</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SYSG2-4-1</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发生较大安全生产责任事故</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15分/次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SYSG2-4-2</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发生一般安全生产责任事故</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10分/次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SYSG2-4-3</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施工期间发生工程安全事件，拒绝或消极抢险</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SYSG2-4-4</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现场管理混乱，存在重大安全隐患</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2分/次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SYSG2-4-5</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对重大危险源未监控，或者未制定应急预案以及未开展应急预案演练</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SYSG2-4-6</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挪用安全防护文明施工措施费用</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SYSG2-4-7</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未按规定配备安全生产管理人员</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1分/人次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SYSG2-4-8</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特种作业人员未持有效证件上岗</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1分/人次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SYSG2-4-9</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特种设备未经检验或检验不合格投入使用</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2分/台次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SYSG2-4-10</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适航证书与施工作业区域不符</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1分/艘次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SYSG2-4-11</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项目主要负责人在本项目发生重大生产安全事故时，不立即组织抢救或者在事故调查处理期间擅离职守或者逃匿的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SYSG2-4-12</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多次整改仍然存在安全问题；或对存在重大安全事故隐患但拒绝整改或者整改效果不明显</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2分/次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highlight w:val="yellow"/>
                <w:lang w:bidi="ar"/>
              </w:rPr>
            </w:pPr>
            <w:r>
              <w:rPr>
                <w:rFonts w:hint="eastAsia" w:ascii="仿宋_GB2312" w:hAnsi="宋体" w:eastAsia="仿宋_GB2312" w:cs="宋体"/>
                <w:bCs/>
                <w:sz w:val="24"/>
                <w:lang w:bidi="ar"/>
              </w:rPr>
              <w:t>SYSG2-4-13</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未建立健全安全生产规章制度、操作规程或安全生产保证体系；未建立并落实安全风险分级管控和隐患排查治理双重预防工作机制，未督促、检查本单位的安全生产工作，及时消除生产安全事故隐患；</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1.5分/项</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SYSG2-4-14</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项目负责人、专职安全生产管理人员、作业人员或者特种作业人员，未经安全教育培训或考核不合格，从事相关工作的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1.5分/次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SYSG2-4-15</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未按要求开展“一会三卡”的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2分/次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SYSG2-4-16</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未在施工现场的危险部位设置明显的安全警示标志和安全防护，或者未按照国家有关规定在施工现场设置消防通道、消防水源、配备消防设施和灭火器材</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SYSG2-4-17</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未向作业人员提供安全防护用具和安全防护服装</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0.5分/次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SYSG2-4-18</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储存、使用危险物品，未建立专门安全管理制度、未采取可靠的安全措施</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2分/次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SYSG2-4-19</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进行爆破、吊装等危险作业，未安排专门管理人员进行现场安全管理</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1.5分/次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SYSG2-4-20</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两个以上单位在同一作业区域内进行可能危及对方安全生产的生产经营活动，因自身原因未签订安全生产管理协议或者未指定专职安全生产管理人员进行安全检查与协调</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1.5分/次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SYSG2-4-21</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从业人员不服从管理，违反安全生产规章制度或者操作规程</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SYSG2-4-22</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未按要求进行安全生产技术交底</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SYSG2-4-23</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未根据不同施工阶段和周围环境及季节、气候的变化，在施工现场采取相应的安全施工措施</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0.5分/次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SYSG2-4-24</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施工现场临时搭建的建筑物不符合安全使用要求</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SYSG2-4-25</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对危险性较大的工程未编制专项施工方案、履行审查审批手续等</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2分/次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8"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SYSG2-4-26</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未取得安全生产许可证擅自进行生产，安全生产许可证有效期满未办理延期手续，继续进行生产；逾期仍不办理延期手续，继续进行生产</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7分/次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SYSG2-4-27</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在施工水域进行水上水下施工以及划定相应的安全作业区，未报经主管机关核准；施工单位擅自扩大安全作业区范围</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2分/次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SYSG2-4-28</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未办理施工现场人员人身意外伤害保险</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0.5分/次.人</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SYSG2-4-29</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未按要求开展水运工程“平安工地”建设活动</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2分/次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rPr>
            </w:pPr>
            <w:r>
              <w:rPr>
                <w:rFonts w:hint="eastAsia" w:ascii="仿宋_GB2312" w:hAnsi="宋体" w:eastAsia="仿宋_GB2312" w:cs="宋体"/>
                <w:bCs/>
                <w:sz w:val="24"/>
                <w:lang w:bidi="ar"/>
              </w:rPr>
              <w:t>社会</w:t>
            </w:r>
          </w:p>
          <w:p>
            <w:pPr>
              <w:spacing w:line="320" w:lineRule="exact"/>
              <w:jc w:val="center"/>
              <w:rPr>
                <w:rFonts w:ascii="仿宋_GB2312" w:hAnsi="宋体" w:eastAsia="仿宋_GB2312" w:cs="宋体"/>
                <w:bCs/>
                <w:sz w:val="24"/>
              </w:rPr>
            </w:pPr>
            <w:r>
              <w:rPr>
                <w:rFonts w:hint="eastAsia" w:ascii="仿宋_GB2312" w:hAnsi="宋体" w:eastAsia="仿宋_GB2312" w:cs="宋体"/>
                <w:bCs/>
                <w:sz w:val="24"/>
                <w:lang w:bidi="ar"/>
              </w:rPr>
              <w:t>责任</w:t>
            </w:r>
          </w:p>
          <w:p>
            <w:pPr>
              <w:spacing w:line="320" w:lineRule="exact"/>
              <w:jc w:val="center"/>
              <w:rPr>
                <w:rFonts w:ascii="仿宋_GB2312" w:hAnsi="宋体" w:eastAsia="仿宋_GB2312" w:cs="宋体"/>
                <w:bCs/>
                <w:sz w:val="24"/>
              </w:rPr>
            </w:pPr>
            <w:r>
              <w:rPr>
                <w:rFonts w:hint="eastAsia" w:ascii="仿宋_GB2312" w:hAnsi="宋体" w:eastAsia="仿宋_GB2312" w:cs="宋体"/>
                <w:bCs/>
                <w:szCs w:val="21"/>
                <w:lang w:bidi="ar"/>
              </w:rPr>
              <w:t>(满分5分,扣完为止)</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SYSG2-5-1</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恶意拖欠农民工工资，造成不良影响</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rPr>
            </w:pPr>
            <w:r>
              <w:rPr>
                <w:rFonts w:hint="eastAsia" w:ascii="仿宋_GB2312" w:hAnsi="宋体" w:eastAsia="仿宋_GB2312" w:cs="宋体"/>
                <w:bCs/>
                <w:sz w:val="24"/>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SYSG2-5-2</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spacing w:line="280" w:lineRule="exact"/>
              <w:rPr>
                <w:rFonts w:ascii="仿宋_GB2312" w:hAnsi="宋体" w:eastAsia="仿宋_GB2312" w:cs="宋体"/>
                <w:bCs/>
                <w:spacing w:val="-4"/>
                <w:sz w:val="24"/>
                <w:lang w:bidi="ar"/>
              </w:rPr>
            </w:pPr>
            <w:r>
              <w:rPr>
                <w:rFonts w:hint="eastAsia" w:ascii="仿宋_GB2312" w:hAnsi="宋体" w:eastAsia="仿宋_GB2312" w:cs="宋体"/>
                <w:bCs/>
                <w:spacing w:val="-4"/>
                <w:sz w:val="24"/>
                <w:lang w:bidi="ar"/>
              </w:rPr>
              <w:t>施工产生的废渣随意丢弃，废水随意排放，造成环境污染事故</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宋体" w:eastAsia="仿宋_GB2312" w:cs="宋体"/>
                <w:bCs/>
                <w:sz w:val="24"/>
              </w:rPr>
            </w:pPr>
            <w:r>
              <w:rPr>
                <w:rFonts w:hint="eastAsia" w:ascii="仿宋_GB2312" w:hAnsi="宋体" w:eastAsia="仿宋_GB2312" w:cs="宋体"/>
                <w:bCs/>
                <w:sz w:val="24"/>
                <w:shd w:val="clear" w:color="auto" w:fill="FFFFFF"/>
              </w:rPr>
              <w:t>1-3</w:t>
            </w:r>
            <w:r>
              <w:rPr>
                <w:rFonts w:hint="eastAsia" w:ascii="仿宋_GB2312" w:hAnsi="宋体" w:eastAsia="仿宋_GB2312" w:cs="宋体"/>
                <w:bCs/>
                <w:sz w:val="24"/>
              </w:rPr>
              <w:t>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SYSG2-5-3</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生活区、办公区卫生环境差</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0.5分/次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SYSG2-5-4</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施工临时占用农田、林地等未及时复垦或恢复原状，或乱占土地</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2分/次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SYSG2-5-5</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未按要求签订廉政合同</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rPr>
            </w:pPr>
          </w:p>
        </w:tc>
        <w:tc>
          <w:tcPr>
            <w:tcW w:w="1701" w:type="dxa"/>
            <w:vMerge w:val="continue"/>
            <w:tcBorders>
              <w:left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Cs w:val="21"/>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SYSG3-1-2</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企业在资质申请、延续、变更中存在造假行为</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直接定为D级</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rPr>
            </w:pPr>
          </w:p>
        </w:tc>
        <w:tc>
          <w:tcPr>
            <w:tcW w:w="1701" w:type="dxa"/>
            <w:vMerge w:val="continue"/>
            <w:tcBorders>
              <w:left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Cs w:val="21"/>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SYSG3-1-3</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与招标人串通投标</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直接定为D级</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rPr>
            </w:pPr>
          </w:p>
        </w:tc>
        <w:tc>
          <w:tcPr>
            <w:tcW w:w="1701" w:type="dxa"/>
            <w:vMerge w:val="continue"/>
            <w:tcBorders>
              <w:left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Cs w:val="21"/>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SYSG3-1-4</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与招标人订立背离合同实质性内容的其他协议</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直接定为D级</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hAnsi="宋体" w:eastAsia="仿宋_GB2312" w:cs="宋体"/>
                <w:bCs/>
                <w:sz w:val="24"/>
              </w:rPr>
            </w:pPr>
          </w:p>
        </w:tc>
        <w:tc>
          <w:tcPr>
            <w:tcW w:w="1701" w:type="dxa"/>
            <w:vMerge w:val="continue"/>
            <w:tcBorders>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Cs w:val="21"/>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SYSG3-1-5</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rPr>
                <w:rFonts w:ascii="仿宋_GB2312" w:hAnsi="宋体" w:eastAsia="仿宋_GB2312" w:cs="宋体"/>
                <w:bCs/>
                <w:sz w:val="24"/>
                <w:lang w:bidi="ar"/>
              </w:rPr>
            </w:pPr>
            <w:r>
              <w:rPr>
                <w:rFonts w:hint="eastAsia" w:ascii="仿宋_GB2312" w:hAnsi="宋体" w:eastAsia="仿宋_GB2312" w:cs="宋体"/>
                <w:bCs/>
                <w:sz w:val="24"/>
                <w:lang w:bidi="ar"/>
              </w:rPr>
              <w:t>因企业自身原因，应参加信用评价但未按要求提交相关评价资料参加信用评价的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32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直接定为B级</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32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restart"/>
            <w:tcBorders>
              <w:top w:val="single" w:color="auto" w:sz="4" w:space="0"/>
              <w:left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Cs w:val="21"/>
                <w:lang w:bidi="ar"/>
              </w:rPr>
            </w:pPr>
          </w:p>
          <w:p>
            <w:pPr>
              <w:overflowPunct w:val="0"/>
              <w:spacing w:line="280" w:lineRule="exact"/>
              <w:jc w:val="center"/>
              <w:rPr>
                <w:rFonts w:ascii="仿宋_GB2312" w:hAnsi="宋体" w:eastAsia="仿宋_GB2312" w:cs="宋体"/>
                <w:bCs/>
                <w:szCs w:val="21"/>
                <w:lang w:bidi="ar"/>
              </w:rPr>
            </w:pPr>
          </w:p>
          <w:p>
            <w:pPr>
              <w:overflowPunct w:val="0"/>
              <w:spacing w:line="280" w:lineRule="exact"/>
              <w:rPr>
                <w:rFonts w:ascii="仿宋_GB2312" w:hAnsi="宋体" w:eastAsia="仿宋_GB2312" w:cs="宋体"/>
                <w:bCs/>
                <w:szCs w:val="21"/>
                <w:lang w:bidi="ar"/>
              </w:rPr>
            </w:pPr>
          </w:p>
          <w:p>
            <w:pPr>
              <w:overflowPunct w:val="0"/>
              <w:spacing w:line="280" w:lineRule="exact"/>
              <w:rPr>
                <w:rFonts w:ascii="仿宋_GB2312" w:hAnsi="宋体" w:eastAsia="仿宋_GB2312" w:cs="宋体"/>
                <w:bCs/>
                <w:szCs w:val="21"/>
                <w:lang w:bidi="ar"/>
              </w:rPr>
            </w:pPr>
          </w:p>
          <w:p>
            <w:pPr>
              <w:overflowPunct w:val="0"/>
              <w:spacing w:line="280" w:lineRule="exact"/>
              <w:jc w:val="center"/>
              <w:rPr>
                <w:rFonts w:ascii="仿宋_GB2312" w:hAnsi="宋体" w:eastAsia="仿宋_GB2312" w:cs="宋体"/>
                <w:bCs/>
                <w:szCs w:val="21"/>
                <w:lang w:bidi="ar"/>
              </w:rPr>
            </w:pPr>
            <w:r>
              <w:rPr>
                <w:rFonts w:hint="eastAsia" w:ascii="仿宋_GB2312" w:hAnsi="宋体" w:eastAsia="仿宋_GB2312" w:cs="宋体"/>
                <w:bCs/>
                <w:szCs w:val="21"/>
                <w:lang w:bidi="ar"/>
              </w:rPr>
              <w:t>一般失信</w:t>
            </w:r>
          </w:p>
          <w:p>
            <w:pPr>
              <w:overflowPunct w:val="0"/>
              <w:spacing w:line="280" w:lineRule="exact"/>
              <w:jc w:val="center"/>
              <w:rPr>
                <w:rFonts w:ascii="仿宋_GB2312" w:hAnsi="宋体" w:eastAsia="仿宋_GB2312" w:cs="宋体"/>
                <w:bCs/>
                <w:szCs w:val="21"/>
                <w:lang w:bidi="ar"/>
              </w:rPr>
            </w:pPr>
            <w:r>
              <w:rPr>
                <w:rFonts w:hint="eastAsia" w:ascii="仿宋_GB2312" w:hAnsi="宋体" w:eastAsia="仿宋_GB2312" w:cs="宋体"/>
                <w:bCs/>
                <w:szCs w:val="21"/>
                <w:lang w:bidi="ar"/>
              </w:rPr>
              <w:t>行为</w:t>
            </w:r>
          </w:p>
          <w:p>
            <w:pPr>
              <w:overflowPunct w:val="0"/>
              <w:spacing w:line="280" w:lineRule="exact"/>
              <w:jc w:val="center"/>
              <w:rPr>
                <w:rFonts w:ascii="仿宋_GB2312" w:hAnsi="宋体" w:eastAsia="仿宋_GB2312" w:cs="宋体"/>
                <w:bCs/>
                <w:szCs w:val="21"/>
                <w:lang w:bidi="ar"/>
              </w:rPr>
            </w:pPr>
          </w:p>
          <w:p>
            <w:pPr>
              <w:overflowPunct w:val="0"/>
              <w:spacing w:line="280" w:lineRule="exact"/>
              <w:jc w:val="center"/>
              <w:rPr>
                <w:rFonts w:ascii="仿宋_GB2312" w:hAnsi="宋体" w:eastAsia="仿宋_GB2312" w:cs="宋体"/>
                <w:bCs/>
                <w:szCs w:val="21"/>
                <w:lang w:bidi="ar"/>
              </w:rPr>
            </w:pPr>
          </w:p>
          <w:p>
            <w:pPr>
              <w:overflowPunct w:val="0"/>
              <w:spacing w:line="280" w:lineRule="exact"/>
              <w:jc w:val="center"/>
              <w:rPr>
                <w:rFonts w:ascii="仿宋_GB2312" w:hAnsi="宋体" w:eastAsia="仿宋_GB2312" w:cs="宋体"/>
                <w:bCs/>
                <w:szCs w:val="21"/>
                <w:lang w:bidi="ar"/>
              </w:rPr>
            </w:pPr>
          </w:p>
          <w:p>
            <w:pPr>
              <w:overflowPunct w:val="0"/>
              <w:spacing w:line="280" w:lineRule="exact"/>
              <w:jc w:val="center"/>
              <w:rPr>
                <w:rFonts w:ascii="仿宋_GB2312" w:hAnsi="宋体" w:eastAsia="仿宋_GB2312" w:cs="宋体"/>
                <w:bCs/>
                <w:szCs w:val="21"/>
                <w:lang w:bidi="ar"/>
              </w:rPr>
            </w:pPr>
          </w:p>
          <w:p>
            <w:pPr>
              <w:overflowPunct w:val="0"/>
              <w:spacing w:line="280" w:lineRule="exact"/>
              <w:jc w:val="center"/>
              <w:rPr>
                <w:rFonts w:ascii="仿宋_GB2312" w:hAnsi="宋体" w:eastAsia="仿宋_GB2312" w:cs="宋体"/>
                <w:bCs/>
                <w:szCs w:val="21"/>
                <w:lang w:bidi="ar"/>
              </w:rPr>
            </w:pPr>
          </w:p>
          <w:p>
            <w:pPr>
              <w:overflowPunct w:val="0"/>
              <w:spacing w:line="280" w:lineRule="exact"/>
              <w:jc w:val="center"/>
              <w:rPr>
                <w:rFonts w:ascii="仿宋_GB2312" w:hAnsi="宋体" w:eastAsia="仿宋_GB2312" w:cs="宋体"/>
                <w:bCs/>
                <w:szCs w:val="21"/>
                <w:lang w:bidi="ar"/>
              </w:rPr>
            </w:pPr>
          </w:p>
          <w:p>
            <w:pPr>
              <w:overflowPunct w:val="0"/>
              <w:spacing w:line="280" w:lineRule="exact"/>
              <w:jc w:val="center"/>
              <w:rPr>
                <w:rFonts w:ascii="仿宋_GB2312" w:hAnsi="宋体" w:eastAsia="仿宋_GB2312" w:cs="宋体"/>
                <w:bCs/>
                <w:szCs w:val="21"/>
                <w:lang w:bidi="ar"/>
              </w:rPr>
            </w:pPr>
          </w:p>
          <w:p>
            <w:pPr>
              <w:overflowPunct w:val="0"/>
              <w:spacing w:line="280" w:lineRule="exact"/>
              <w:jc w:val="center"/>
              <w:rPr>
                <w:rFonts w:ascii="仿宋_GB2312" w:hAnsi="宋体" w:eastAsia="仿宋_GB2312" w:cs="宋体"/>
                <w:bCs/>
                <w:szCs w:val="21"/>
              </w:rPr>
            </w:pPr>
          </w:p>
          <w:p>
            <w:pPr>
              <w:overflowPunct w:val="0"/>
              <w:spacing w:line="280" w:lineRule="exact"/>
              <w:jc w:val="center"/>
              <w:rPr>
                <w:rFonts w:ascii="仿宋_GB2312" w:hAnsi="宋体" w:eastAsia="仿宋_GB2312" w:cs="宋体"/>
                <w:bCs/>
                <w:szCs w:val="21"/>
              </w:rPr>
            </w:pPr>
          </w:p>
          <w:p>
            <w:pPr>
              <w:overflowPunct w:val="0"/>
              <w:spacing w:line="280" w:lineRule="exact"/>
              <w:rPr>
                <w:rFonts w:ascii="仿宋_GB2312" w:hAnsi="宋体" w:eastAsia="仿宋_GB2312" w:cs="宋体"/>
                <w:bCs/>
                <w:szCs w:val="21"/>
              </w:rPr>
            </w:pPr>
          </w:p>
          <w:p>
            <w:pPr>
              <w:overflowPunct w:val="0"/>
              <w:spacing w:line="280" w:lineRule="exact"/>
              <w:rPr>
                <w:rFonts w:ascii="仿宋_GB2312" w:hAnsi="宋体" w:eastAsia="仿宋_GB2312" w:cs="宋体"/>
                <w:bCs/>
                <w:szCs w:val="21"/>
              </w:rPr>
            </w:pPr>
          </w:p>
          <w:p>
            <w:pPr>
              <w:overflowPunct w:val="0"/>
              <w:spacing w:line="280" w:lineRule="exact"/>
              <w:jc w:val="center"/>
              <w:rPr>
                <w:rFonts w:ascii="仿宋_GB2312" w:hAnsi="宋体" w:eastAsia="仿宋_GB2312" w:cs="宋体"/>
                <w:bCs/>
                <w:szCs w:val="21"/>
                <w:lang w:bidi="ar"/>
              </w:rPr>
            </w:pPr>
            <w:r>
              <w:rPr>
                <w:rFonts w:hint="eastAsia" w:ascii="仿宋_GB2312" w:hAnsi="宋体" w:eastAsia="仿宋_GB2312" w:cs="宋体"/>
                <w:bCs/>
                <w:szCs w:val="21"/>
                <w:lang w:bidi="ar"/>
              </w:rPr>
              <w:t>一般失信</w:t>
            </w:r>
          </w:p>
          <w:p>
            <w:pPr>
              <w:overflowPunct w:val="0"/>
              <w:spacing w:line="280" w:lineRule="exact"/>
              <w:jc w:val="center"/>
              <w:rPr>
                <w:rFonts w:ascii="仿宋_GB2312" w:hAnsi="宋体" w:eastAsia="仿宋_GB2312" w:cs="宋体"/>
                <w:bCs/>
                <w:szCs w:val="21"/>
              </w:rPr>
            </w:pPr>
            <w:r>
              <w:rPr>
                <w:rFonts w:hint="eastAsia" w:ascii="仿宋_GB2312" w:hAnsi="宋体" w:eastAsia="仿宋_GB2312" w:cs="宋体"/>
                <w:bCs/>
                <w:szCs w:val="21"/>
                <w:lang w:bidi="ar"/>
              </w:rPr>
              <w:t>行为</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SYSG3-2-1</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未按规定填报或变更信用信息</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3分/次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Cs w:val="21"/>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SYSG3-2-2</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填报或变更信用信息存在造假行为</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Cs w:val="21"/>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SYSG3-2-3</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弄虚作假或以不正当手段骗取较高信用等级</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right="-84" w:rightChars="-40"/>
              <w:jc w:val="center"/>
              <w:rPr>
                <w:rFonts w:ascii="仿宋_GB2312" w:hAnsi="宋体" w:eastAsia="仿宋_GB2312" w:cs="宋体"/>
                <w:bCs/>
                <w:sz w:val="24"/>
                <w:lang w:bidi="ar"/>
              </w:rPr>
            </w:pPr>
            <w:r>
              <w:rPr>
                <w:rFonts w:hint="eastAsia" w:ascii="仿宋_GB2312" w:hAnsi="宋体" w:eastAsia="仿宋_GB2312" w:cs="宋体"/>
                <w:bCs/>
                <w:sz w:val="24"/>
                <w:lang w:bidi="ar"/>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Cs w:val="21"/>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SYSG3-2-4</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被省级以上交通运输主管部门或部属单位通报批评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Cs w:val="21"/>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SYSG3-2-5</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被市级交通运输主管部门通报批评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2分/次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Cs w:val="21"/>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SYSG3-2-6</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拒绝参与政府部门组织的应急抢险任务</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5分/次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top w:val="single" w:color="auto" w:sz="4" w:space="0"/>
              <w:left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Cs w:val="21"/>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SYSG3-2-7</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被省级发改委、应急局、审计局等部门通报批评的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3分/次</w:t>
            </w:r>
          </w:p>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(在企业总分扣除)</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28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SYSG3-2-8</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被省级交通行业发展机构通报批评的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2分/次</w:t>
            </w:r>
          </w:p>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(在企业总分扣除)</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280" w:lineRule="exact"/>
              <w:jc w:val="center"/>
              <w:rPr>
                <w:rFonts w:ascii="仿宋_GB2312" w:hAnsi="宋体" w:eastAsia="仿宋_GB2312" w:cs="宋体"/>
                <w:bCs/>
                <w:szCs w:val="21"/>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SYSG3-2-9</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被市州级发改委、应急局、审计局等部门通报批评的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1分/次</w:t>
            </w:r>
          </w:p>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(在企业总分扣除)</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280" w:lineRule="exact"/>
              <w:jc w:val="center"/>
              <w:rPr>
                <w:rFonts w:ascii="仿宋_GB2312" w:hAnsi="宋体" w:eastAsia="仿宋_GB2312" w:cs="宋体"/>
                <w:bCs/>
                <w:szCs w:val="21"/>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SYSG3-2-10</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被省交通运输厅约谈的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2分/次</w:t>
            </w:r>
          </w:p>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(在企业总分扣除)</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280" w:lineRule="exact"/>
              <w:jc w:val="center"/>
              <w:rPr>
                <w:rFonts w:ascii="仿宋_GB2312" w:hAnsi="宋体" w:eastAsia="仿宋_GB2312" w:cs="宋体"/>
                <w:bCs/>
                <w:szCs w:val="21"/>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SYSG3-2-11</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被省级交通行业发展机构或市州交通运输局约谈的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1分/次</w:t>
            </w:r>
          </w:p>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(在企业总分扣除)</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280" w:lineRule="exact"/>
              <w:jc w:val="center"/>
              <w:rPr>
                <w:rFonts w:ascii="仿宋_GB2312" w:hAnsi="宋体" w:eastAsia="仿宋_GB2312" w:cs="宋体"/>
                <w:bCs/>
                <w:szCs w:val="21"/>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SYSG3-2-12</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不配合项目建设单位开展交工验收的，或质量缺陷责任期内不积极履行缺陷处治整改责任的，或不积极配合交通运输主管部门开展竣工验收的。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直接定为B级</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280" w:lineRule="exact"/>
              <w:jc w:val="center"/>
              <w:rPr>
                <w:rFonts w:ascii="仿宋_GB2312" w:hAnsi="宋体" w:eastAsia="仿宋_GB2312" w:cs="宋体"/>
                <w:bCs/>
                <w:szCs w:val="21"/>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SYSG3-2-13</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将人员考勤设备移动至场外或通过其它恶劣的方式进行虚假考勤的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5分/次</w:t>
            </w:r>
          </w:p>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(在企业总分扣除)</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280" w:lineRule="exact"/>
              <w:jc w:val="center"/>
              <w:rPr>
                <w:rFonts w:ascii="仿宋_GB2312" w:hAnsi="宋体" w:eastAsia="仿宋_GB2312" w:cs="宋体"/>
                <w:bCs/>
                <w:szCs w:val="21"/>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SYSG3-2-14</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确因拖欠农民工工资导致民工到市级及以上行政主管部门集访1次的（集访民工5人以上）</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5分/次</w:t>
            </w:r>
          </w:p>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(在企业总分扣除)</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280" w:lineRule="exact"/>
              <w:jc w:val="center"/>
              <w:rPr>
                <w:rFonts w:ascii="仿宋_GB2312" w:hAnsi="宋体" w:eastAsia="仿宋_GB2312" w:cs="宋体"/>
                <w:bCs/>
                <w:szCs w:val="21"/>
                <w:lang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SYSG3-2-15</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恶意拖欠工程款、农民工工资、材料款等被司法机关强制执行的，或因拖欠问题造成群体性事件引发不良社会影响的。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直接定为C级</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280" w:lineRule="exact"/>
              <w:jc w:val="center"/>
              <w:rPr>
                <w:rFonts w:ascii="仿宋_GB2312" w:hAnsi="宋体" w:eastAsia="仿宋_GB2312" w:cs="宋体"/>
                <w:bCs/>
                <w:szCs w:val="21"/>
                <w:lang w:bidi="ar"/>
              </w:rPr>
            </w:pPr>
          </w:p>
        </w:tc>
        <w:tc>
          <w:tcPr>
            <w:tcW w:w="1521" w:type="dxa"/>
            <w:tcBorders>
              <w:top w:val="single" w:color="auto" w:sz="4" w:space="0"/>
              <w:left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SYSG3-2-16</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在部、省水运建设市场信用信息管理系统录入、发布虚假信用信息或报送（提供）虚假证明资料的</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第1次直接定为B级，之后每次降低1级，直至D级</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restart"/>
            <w:tcBorders>
              <w:top w:val="single" w:color="auto" w:sz="4" w:space="0"/>
              <w:left w:val="single" w:color="auto" w:sz="4" w:space="0"/>
              <w:right w:val="single" w:color="auto" w:sz="4" w:space="0"/>
            </w:tcBorders>
            <w:shd w:val="clear" w:color="auto" w:fill="auto"/>
            <w:vAlign w:val="center"/>
          </w:tcPr>
          <w:p>
            <w:pPr>
              <w:spacing w:line="280" w:lineRule="exact"/>
              <w:rPr>
                <w:rFonts w:ascii="仿宋_GB2312" w:eastAsia="仿宋_GB2312"/>
                <w:sz w:val="20"/>
                <w:szCs w:val="20"/>
              </w:rPr>
            </w:pPr>
            <w:r>
              <w:rPr>
                <w:rFonts w:hint="eastAsia" w:ascii="仿宋_GB2312" w:hAnsi="宋体" w:eastAsia="仿宋_GB2312" w:cs="宋体"/>
                <w:bCs/>
                <w:szCs w:val="21"/>
                <w:lang w:bidi="ar"/>
              </w:rPr>
              <w:t>良好行为（年度累计加分最高不超过3分）</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SYSJ4-1-1</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受到国家级奖励表彰</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1.5分/次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28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SYSJ4-1-2</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受到省部级奖励表彰</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1分/次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614" w:type="dxa"/>
            <w:vMerge w:val="continue"/>
            <w:tcBorders>
              <w:left w:val="single" w:color="auto" w:sz="4" w:space="0"/>
              <w:right w:val="single" w:color="auto" w:sz="4" w:space="0"/>
            </w:tcBorders>
            <w:shd w:val="clear" w:color="auto" w:fill="auto"/>
            <w:vAlign w:val="center"/>
          </w:tcPr>
          <w:p>
            <w:pPr>
              <w:spacing w:line="320" w:lineRule="exact"/>
              <w:jc w:val="center"/>
              <w:rPr>
                <w:rFonts w:ascii="仿宋_GB2312" w:eastAsia="仿宋_GB2312"/>
                <w:sz w:val="20"/>
                <w:szCs w:val="20"/>
              </w:rPr>
            </w:pPr>
          </w:p>
        </w:tc>
        <w:tc>
          <w:tcPr>
            <w:tcW w:w="1701" w:type="dxa"/>
            <w:vMerge w:val="continue"/>
            <w:tcBorders>
              <w:left w:val="single" w:color="auto" w:sz="4" w:space="0"/>
              <w:right w:val="single" w:color="auto" w:sz="4" w:space="0"/>
            </w:tcBorders>
            <w:shd w:val="clear" w:color="auto" w:fill="auto"/>
            <w:vAlign w:val="center"/>
          </w:tcPr>
          <w:p>
            <w:pPr>
              <w:spacing w:line="280" w:lineRule="exact"/>
              <w:jc w:val="center"/>
              <w:rPr>
                <w:rFonts w:ascii="仿宋_GB2312" w:eastAsia="仿宋_GB2312"/>
                <w:sz w:val="20"/>
                <w:szCs w:val="20"/>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SYSJ4-1-3</w:t>
            </w:r>
          </w:p>
        </w:tc>
        <w:tc>
          <w:tcPr>
            <w:tcW w:w="571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rPr>
                <w:rFonts w:ascii="仿宋_GB2312" w:hAnsi="宋体" w:eastAsia="仿宋_GB2312" w:cs="宋体"/>
                <w:bCs/>
                <w:sz w:val="24"/>
                <w:lang w:bidi="ar"/>
              </w:rPr>
            </w:pPr>
            <w:r>
              <w:rPr>
                <w:rFonts w:hint="eastAsia" w:ascii="仿宋_GB2312" w:hAnsi="宋体" w:eastAsia="仿宋_GB2312" w:cs="宋体"/>
                <w:bCs/>
                <w:sz w:val="24"/>
                <w:lang w:bidi="ar"/>
              </w:rPr>
              <w:t>受到省交通运输厅奖励表彰</w:t>
            </w:r>
          </w:p>
        </w:tc>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pacing w:line="280" w:lineRule="exact"/>
              <w:jc w:val="center"/>
              <w:rPr>
                <w:rFonts w:ascii="仿宋_GB2312" w:hAnsi="宋体" w:eastAsia="仿宋_GB2312" w:cs="宋体"/>
                <w:bCs/>
                <w:sz w:val="24"/>
                <w:lang w:bidi="ar"/>
              </w:rPr>
            </w:pPr>
            <w:r>
              <w:rPr>
                <w:rFonts w:hint="eastAsia" w:ascii="仿宋_GB2312" w:hAnsi="宋体" w:eastAsia="仿宋_GB2312" w:cs="宋体"/>
                <w:bCs/>
                <w:sz w:val="24"/>
                <w:lang w:bidi="ar"/>
              </w:rPr>
              <w:t>0.5分/次</w:t>
            </w:r>
          </w:p>
        </w:tc>
        <w:tc>
          <w:tcPr>
            <w:tcW w:w="1222" w:type="dxa"/>
            <w:tcBorders>
              <w:top w:val="single" w:color="auto" w:sz="4" w:space="0"/>
              <w:left w:val="single" w:color="auto" w:sz="4" w:space="0"/>
              <w:bottom w:val="single" w:color="auto" w:sz="4" w:space="0"/>
              <w:right w:val="single" w:color="auto" w:sz="4" w:space="0"/>
            </w:tcBorders>
            <w:vAlign w:val="center"/>
          </w:tcPr>
          <w:p>
            <w:pPr>
              <w:overflowPunct w:val="0"/>
              <w:spacing w:line="280" w:lineRule="exact"/>
              <w:jc w:val="center"/>
              <w:rPr>
                <w:rFonts w:ascii="仿宋_GB2312" w:hAnsi="宋体" w:eastAsia="仿宋_GB2312" w:cs="宋体"/>
                <w:bCs/>
                <w:sz w:val="24"/>
                <w:lang w:bidi="ar"/>
              </w:rPr>
            </w:pPr>
          </w:p>
        </w:tc>
      </w:tr>
    </w:tbl>
    <w:p>
      <w:pPr>
        <w:adjustRightInd w:val="0"/>
        <w:snapToGrid w:val="0"/>
        <w:spacing w:line="280" w:lineRule="exact"/>
        <w:ind w:left="-850" w:leftChars="-405"/>
        <w:rPr>
          <w:rFonts w:ascii="仿宋_GB2312" w:hAnsi="宋体" w:eastAsia="仿宋_GB2312" w:cs="仿宋_GB2312"/>
          <w:sz w:val="24"/>
        </w:rPr>
      </w:pPr>
    </w:p>
    <w:p>
      <w:pPr>
        <w:adjustRightInd w:val="0"/>
        <w:snapToGrid w:val="0"/>
        <w:spacing w:line="280" w:lineRule="exact"/>
        <w:ind w:left="-850" w:leftChars="-405"/>
        <w:rPr>
          <w:rFonts w:ascii="仿宋_GB2312" w:hAnsi="宋体" w:eastAsia="仿宋_GB2312" w:cs="仿宋_GB2312"/>
          <w:sz w:val="24"/>
        </w:rPr>
      </w:pPr>
      <w:r>
        <w:rPr>
          <w:rFonts w:hint="eastAsia" w:ascii="仿宋_GB2312" w:hAnsi="宋体" w:eastAsia="仿宋_GB2312" w:cs="仿宋_GB2312"/>
          <w:sz w:val="24"/>
        </w:rPr>
        <w:t>注：1.评定标准说明中“*”表示该条款为部评定标准，其它条款为省补充评定标准。</w:t>
      </w:r>
    </w:p>
    <w:p>
      <w:pPr>
        <w:adjustRightInd w:val="0"/>
        <w:snapToGrid w:val="0"/>
        <w:spacing w:line="280" w:lineRule="exact"/>
        <w:ind w:left="-150" w:leftChars="-186" w:hanging="240" w:hangingChars="100"/>
        <w:rPr>
          <w:rFonts w:ascii="仿宋_GB2312" w:hAnsi="宋体" w:eastAsia="仿宋_GB2312" w:cs="宋体"/>
          <w:sz w:val="24"/>
        </w:rPr>
      </w:pPr>
      <w:r>
        <w:rPr>
          <w:rFonts w:hint="eastAsia" w:ascii="仿宋_GB2312" w:hAnsi="宋体" w:eastAsia="仿宋_GB2312" w:cs="宋体"/>
          <w:sz w:val="24"/>
        </w:rPr>
        <w:t>2.SYSG2-1-4、SYSG2-4-11、SYSG2-4-12应依据有关部门的事故调查处理结果认定。质量事故、安全事故的等级划分标准执行《生产安全事故报告和调查处理条例》（国务院第493号令）、《公路水运建设工程质量事故等级划分和报告制度》（交办安监〔2016〕146号）等。</w:t>
      </w:r>
    </w:p>
    <w:p>
      <w:pPr>
        <w:adjustRightInd w:val="0"/>
        <w:snapToGrid w:val="0"/>
        <w:spacing w:line="280" w:lineRule="exact"/>
        <w:ind w:left="-150" w:leftChars="-186" w:hanging="240" w:hangingChars="100"/>
        <w:rPr>
          <w:rFonts w:ascii="仿宋_GB2312" w:hAnsi="宋体" w:eastAsia="仿宋_GB2312" w:cs="宋体"/>
          <w:sz w:val="24"/>
        </w:rPr>
      </w:pPr>
      <w:r>
        <w:rPr>
          <w:rFonts w:hint="eastAsia" w:ascii="仿宋_GB2312" w:hAnsi="宋体" w:eastAsia="仿宋_GB2312" w:cs="宋体"/>
          <w:sz w:val="24"/>
        </w:rPr>
        <w:t>3.扣分“次”是指在评价期内发现的企业不良行为次数。企业不良行为能够整改的，整改期内不重复扣分，整改期满后，未整改或再次发生同一不良行为，可再次扣分；无法整改的，同一事件不重复扣分。</w:t>
      </w:r>
    </w:p>
    <w:p>
      <w:pPr>
        <w:adjustRightInd w:val="0"/>
        <w:snapToGrid w:val="0"/>
        <w:spacing w:line="280" w:lineRule="exact"/>
        <w:ind w:left="-150" w:leftChars="-186" w:hanging="240" w:hangingChars="100"/>
        <w:rPr>
          <w:rFonts w:ascii="仿宋_GB2312" w:hAnsi="宋体" w:eastAsia="仿宋_GB2312" w:cs="宋体"/>
          <w:sz w:val="24"/>
        </w:rPr>
      </w:pPr>
      <w:r>
        <w:rPr>
          <w:rFonts w:hint="eastAsia" w:ascii="仿宋_GB2312" w:hAnsi="宋体" w:eastAsia="仿宋_GB2312" w:cs="宋体"/>
          <w:sz w:val="24"/>
        </w:rPr>
        <w:t xml:space="preserve">4.本评定标准中通报表彰或书面批评等以交通运输部或湖南省行政区域内相关单位的文件为准，同一事项获多个层级表彰的，按“就高不就低”原则加分，不予重复加分。 </w:t>
      </w:r>
    </w:p>
    <w:p>
      <w:pPr>
        <w:spacing w:line="460" w:lineRule="exact"/>
        <w:ind w:left="-850" w:leftChars="-405"/>
        <w:jc w:val="left"/>
        <w:rPr>
          <w:rFonts w:ascii="黑体" w:hAnsi="黑体" w:eastAsia="黑体" w:cs="黑体"/>
          <w:sz w:val="32"/>
          <w:szCs w:val="32"/>
        </w:rPr>
      </w:pPr>
      <w:r>
        <w:rPr>
          <w:rFonts w:hint="eastAsia" w:ascii="黑体" w:hAnsi="黑体" w:eastAsia="黑体" w:cs="黑体"/>
          <w:sz w:val="32"/>
          <w:szCs w:val="32"/>
        </w:rPr>
        <w:t>附件2</w:t>
      </w:r>
    </w:p>
    <w:p>
      <w:pPr>
        <w:spacing w:line="640" w:lineRule="exact"/>
        <w:ind w:firstLine="567"/>
        <w:jc w:val="center"/>
        <w:rPr>
          <w:rFonts w:ascii="方正小标宋简体" w:hAnsi="宋体" w:eastAsia="方正小标宋简体" w:cs="宋体"/>
          <w:spacing w:val="2"/>
          <w:sz w:val="36"/>
          <w:szCs w:val="36"/>
          <w:lang w:bidi="ar"/>
        </w:rPr>
      </w:pPr>
      <w:r>
        <w:rPr>
          <w:rFonts w:hint="eastAsia" w:ascii="方正小标宋简体" w:hAnsi="宋体" w:eastAsia="方正小标宋简体" w:cs="宋体"/>
          <w:spacing w:val="2"/>
          <w:sz w:val="36"/>
          <w:szCs w:val="36"/>
          <w:lang w:bidi="ar"/>
        </w:rPr>
        <w:t>湖南省水运工程施工企业信用评价等级标准</w:t>
      </w:r>
    </w:p>
    <w:tbl>
      <w:tblPr>
        <w:tblStyle w:val="7"/>
        <w:tblW w:w="14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856"/>
        <w:gridCol w:w="4820"/>
        <w:gridCol w:w="5040"/>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77" w:type="dxa"/>
            <w:vAlign w:val="center"/>
          </w:tcPr>
          <w:p>
            <w:pPr>
              <w:adjustRightInd w:val="0"/>
              <w:spacing w:line="280" w:lineRule="exact"/>
              <w:jc w:val="center"/>
              <w:rPr>
                <w:rFonts w:ascii="黑体" w:hAnsi="黑体" w:eastAsia="黑体" w:cs="仿宋"/>
                <w:bCs/>
                <w:kern w:val="0"/>
                <w:sz w:val="24"/>
              </w:rPr>
            </w:pPr>
            <w:r>
              <w:rPr>
                <w:rFonts w:hint="eastAsia" w:ascii="黑体" w:hAnsi="黑体" w:eastAsia="黑体" w:cs="仿宋"/>
                <w:bCs/>
                <w:kern w:val="0"/>
                <w:sz w:val="24"/>
              </w:rPr>
              <w:t>信用等级</w:t>
            </w:r>
          </w:p>
        </w:tc>
        <w:tc>
          <w:tcPr>
            <w:tcW w:w="1856" w:type="dxa"/>
            <w:vAlign w:val="center"/>
          </w:tcPr>
          <w:p>
            <w:pPr>
              <w:adjustRightInd w:val="0"/>
              <w:spacing w:line="280" w:lineRule="exact"/>
              <w:jc w:val="center"/>
              <w:rPr>
                <w:rFonts w:ascii="黑体" w:hAnsi="黑体" w:eastAsia="黑体" w:cs="仿宋"/>
                <w:bCs/>
                <w:kern w:val="0"/>
                <w:sz w:val="24"/>
              </w:rPr>
            </w:pPr>
            <w:r>
              <w:rPr>
                <w:rFonts w:hint="eastAsia" w:ascii="黑体" w:hAnsi="黑体" w:eastAsia="黑体" w:cs="仿宋"/>
                <w:bCs/>
                <w:kern w:val="0"/>
                <w:sz w:val="24"/>
              </w:rPr>
              <w:t>评分要求</w:t>
            </w:r>
            <w:r>
              <w:rPr>
                <w:rFonts w:ascii="黑体" w:hAnsi="黑体" w:eastAsia="黑体" w:cs="仿宋"/>
                <w:bCs/>
                <w:kern w:val="0"/>
                <w:sz w:val="24"/>
              </w:rPr>
              <w:t>(X)</w:t>
            </w:r>
          </w:p>
        </w:tc>
        <w:tc>
          <w:tcPr>
            <w:tcW w:w="4820" w:type="dxa"/>
            <w:vAlign w:val="center"/>
          </w:tcPr>
          <w:p>
            <w:pPr>
              <w:adjustRightInd w:val="0"/>
              <w:spacing w:line="280" w:lineRule="exact"/>
              <w:jc w:val="center"/>
              <w:rPr>
                <w:rFonts w:ascii="黑体" w:hAnsi="黑体" w:eastAsia="黑体" w:cs="仿宋"/>
                <w:bCs/>
                <w:kern w:val="0"/>
                <w:sz w:val="24"/>
              </w:rPr>
            </w:pPr>
            <w:r>
              <w:rPr>
                <w:rFonts w:hint="eastAsia" w:ascii="黑体" w:hAnsi="黑体" w:eastAsia="黑体" w:cs="仿宋"/>
                <w:bCs/>
                <w:kern w:val="0"/>
                <w:sz w:val="24"/>
              </w:rPr>
              <w:t>项目数量及合同额要求</w:t>
            </w:r>
          </w:p>
        </w:tc>
        <w:tc>
          <w:tcPr>
            <w:tcW w:w="5040" w:type="dxa"/>
            <w:vAlign w:val="center"/>
          </w:tcPr>
          <w:p>
            <w:pPr>
              <w:adjustRightInd w:val="0"/>
              <w:spacing w:line="280" w:lineRule="exact"/>
              <w:jc w:val="center"/>
              <w:rPr>
                <w:rFonts w:ascii="黑体" w:hAnsi="黑体" w:eastAsia="黑体" w:cs="仿宋"/>
                <w:bCs/>
                <w:kern w:val="0"/>
                <w:sz w:val="24"/>
              </w:rPr>
            </w:pPr>
            <w:r>
              <w:rPr>
                <w:rFonts w:hint="eastAsia" w:ascii="黑体" w:hAnsi="黑体" w:eastAsia="黑体" w:cs="仿宋"/>
                <w:bCs/>
                <w:kern w:val="0"/>
                <w:sz w:val="24"/>
              </w:rPr>
              <w:t>其他要求</w:t>
            </w:r>
          </w:p>
        </w:tc>
        <w:tc>
          <w:tcPr>
            <w:tcW w:w="1422" w:type="dxa"/>
            <w:vAlign w:val="center"/>
          </w:tcPr>
          <w:p>
            <w:pPr>
              <w:adjustRightInd w:val="0"/>
              <w:spacing w:line="280" w:lineRule="exact"/>
              <w:jc w:val="center"/>
              <w:rPr>
                <w:rFonts w:ascii="黑体" w:hAnsi="黑体" w:eastAsia="黑体" w:cs="仿宋"/>
                <w:bCs/>
                <w:kern w:val="0"/>
                <w:sz w:val="24"/>
              </w:rPr>
            </w:pPr>
            <w:r>
              <w:rPr>
                <w:rFonts w:hint="eastAsia" w:ascii="黑体" w:hAnsi="黑体" w:eastAsia="黑体" w:cs="仿宋"/>
                <w:bCs/>
                <w:kern w:val="0"/>
                <w:sz w:val="24"/>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1277" w:type="dxa"/>
            <w:vAlign w:val="center"/>
          </w:tcPr>
          <w:p>
            <w:pPr>
              <w:adjustRightInd w:val="0"/>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AA</w:t>
            </w:r>
          </w:p>
        </w:tc>
        <w:tc>
          <w:tcPr>
            <w:tcW w:w="1856" w:type="dxa"/>
            <w:vAlign w:val="center"/>
          </w:tcPr>
          <w:p>
            <w:pPr>
              <w:adjustRightInd w:val="0"/>
              <w:snapToGrid w:val="0"/>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X≥95分</w:t>
            </w:r>
          </w:p>
        </w:tc>
        <w:tc>
          <w:tcPr>
            <w:tcW w:w="4820" w:type="dxa"/>
            <w:vAlign w:val="center"/>
          </w:tcPr>
          <w:p>
            <w:pPr>
              <w:adjustRightInd w:val="0"/>
              <w:snapToGrid w:val="0"/>
              <w:spacing w:line="280" w:lineRule="exact"/>
              <w:rPr>
                <w:rFonts w:ascii="仿宋_GB2312" w:hAnsi="仿宋" w:eastAsia="仿宋_GB2312" w:cs="仿宋"/>
                <w:spacing w:val="2"/>
                <w:kern w:val="0"/>
                <w:sz w:val="24"/>
              </w:rPr>
            </w:pPr>
            <w:r>
              <w:rPr>
                <w:rFonts w:hint="eastAsia" w:ascii="仿宋_GB2312" w:hAnsi="仿宋" w:eastAsia="仿宋_GB2312" w:cs="仿宋"/>
                <w:spacing w:val="2"/>
                <w:kern w:val="0"/>
                <w:sz w:val="24"/>
              </w:rPr>
              <w:t>评价年度内有2个及以上湖南省内从业项目合同段参与评价，且水运施工合同总额超过1.5亿元；</w:t>
            </w:r>
          </w:p>
          <w:p>
            <w:pPr>
              <w:adjustRightInd w:val="0"/>
              <w:snapToGrid w:val="0"/>
              <w:spacing w:line="280" w:lineRule="exact"/>
              <w:rPr>
                <w:rFonts w:ascii="仿宋_GB2312" w:hAnsi="仿宋" w:eastAsia="仿宋_GB2312" w:cs="仿宋"/>
                <w:spacing w:val="2"/>
                <w:kern w:val="0"/>
                <w:sz w:val="24"/>
              </w:rPr>
            </w:pPr>
            <w:r>
              <w:rPr>
                <w:rFonts w:hint="eastAsia" w:ascii="仿宋_GB2312" w:hAnsi="仿宋" w:eastAsia="仿宋_GB2312" w:cs="仿宋"/>
                <w:spacing w:val="2"/>
                <w:kern w:val="0"/>
                <w:sz w:val="24"/>
              </w:rPr>
              <w:t>或，有1个及以上湖南省内从业项目合同段参与评价，合同总额满足下列任意条件：航电枢纽不低于2亿元，航道整治不低于1亿元，内河港口、服务区、航道站房等配套设施工程累计不低于1.5亿元。</w:t>
            </w:r>
          </w:p>
        </w:tc>
        <w:tc>
          <w:tcPr>
            <w:tcW w:w="5040" w:type="dxa"/>
            <w:vAlign w:val="center"/>
          </w:tcPr>
          <w:p>
            <w:pPr>
              <w:adjustRightInd w:val="0"/>
              <w:spacing w:line="280" w:lineRule="exact"/>
              <w:rPr>
                <w:rFonts w:ascii="仿宋_GB2312" w:hAnsi="仿宋" w:eastAsia="仿宋_GB2312" w:cs="仿宋"/>
                <w:spacing w:val="2"/>
                <w:kern w:val="0"/>
                <w:sz w:val="24"/>
              </w:rPr>
            </w:pPr>
            <w:r>
              <w:rPr>
                <w:rFonts w:hint="eastAsia" w:ascii="仿宋_GB2312" w:hAnsi="仿宋" w:eastAsia="仿宋_GB2312" w:cs="仿宋"/>
                <w:spacing w:val="2"/>
                <w:kern w:val="0"/>
                <w:sz w:val="24"/>
              </w:rPr>
              <w:t>1.参与评价的单个从业项目合同段开工累计完成20%以上的合同工程量；</w:t>
            </w:r>
          </w:p>
          <w:p>
            <w:pPr>
              <w:adjustRightInd w:val="0"/>
              <w:spacing w:line="280" w:lineRule="exact"/>
              <w:rPr>
                <w:rFonts w:ascii="仿宋_GB2312" w:hAnsi="仿宋" w:eastAsia="仿宋_GB2312" w:cs="仿宋"/>
                <w:spacing w:val="2"/>
                <w:kern w:val="0"/>
                <w:sz w:val="24"/>
              </w:rPr>
            </w:pPr>
            <w:r>
              <w:rPr>
                <w:rFonts w:hint="eastAsia" w:ascii="仿宋_GB2312" w:hAnsi="仿宋" w:eastAsia="仿宋_GB2312" w:cs="仿宋"/>
                <w:spacing w:val="2"/>
                <w:kern w:val="0"/>
                <w:sz w:val="24"/>
              </w:rPr>
              <w:t>2.当年度所有评价单元得分均大于等于85分；</w:t>
            </w:r>
          </w:p>
          <w:p>
            <w:pPr>
              <w:adjustRightInd w:val="0"/>
              <w:spacing w:line="280" w:lineRule="exact"/>
              <w:rPr>
                <w:rFonts w:ascii="仿宋_GB2312" w:hAnsi="仿宋" w:eastAsia="仿宋_GB2312" w:cs="仿宋"/>
                <w:spacing w:val="2"/>
                <w:kern w:val="0"/>
                <w:sz w:val="24"/>
              </w:rPr>
            </w:pPr>
            <w:r>
              <w:rPr>
                <w:rFonts w:hint="eastAsia" w:ascii="仿宋_GB2312" w:hAnsi="仿宋" w:eastAsia="仿宋_GB2312" w:cs="仿宋"/>
                <w:spacing w:val="2"/>
                <w:kern w:val="0"/>
                <w:sz w:val="24"/>
              </w:rPr>
              <w:t>3.在招投标文件中明确的合法专业分包的合同金额可累加至该企业参评合同额，分包合同额占评价合同额按分包合同额的50%计列，超出部分不计入总合同额。</w:t>
            </w:r>
          </w:p>
          <w:p>
            <w:pPr>
              <w:adjustRightInd w:val="0"/>
              <w:spacing w:line="280" w:lineRule="exact"/>
              <w:rPr>
                <w:rFonts w:ascii="仿宋_GB2312" w:hAnsi="仿宋" w:eastAsia="仿宋_GB2312" w:cs="仿宋"/>
                <w:spacing w:val="2"/>
                <w:kern w:val="0"/>
                <w:sz w:val="24"/>
              </w:rPr>
            </w:pPr>
            <w:r>
              <w:rPr>
                <w:rFonts w:hint="eastAsia" w:ascii="仿宋_GB2312" w:hAnsi="仿宋" w:eastAsia="仿宋_GB2312" w:cs="仿宋"/>
                <w:spacing w:val="2"/>
                <w:kern w:val="0"/>
                <w:sz w:val="24"/>
              </w:rPr>
              <w:t>4.仅有分包工程参评单位，评价等级最高不超过A级。</w:t>
            </w:r>
          </w:p>
        </w:tc>
        <w:tc>
          <w:tcPr>
            <w:tcW w:w="1422" w:type="dxa"/>
            <w:vAlign w:val="center"/>
          </w:tcPr>
          <w:p>
            <w:pPr>
              <w:adjustRightInd w:val="0"/>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信用好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1277" w:type="dxa"/>
            <w:vAlign w:val="center"/>
          </w:tcPr>
          <w:p>
            <w:pPr>
              <w:adjustRightInd w:val="0"/>
              <w:snapToGrid w:val="0"/>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A</w:t>
            </w:r>
          </w:p>
        </w:tc>
        <w:tc>
          <w:tcPr>
            <w:tcW w:w="1856" w:type="dxa"/>
            <w:vAlign w:val="center"/>
          </w:tcPr>
          <w:p>
            <w:pPr>
              <w:adjustRightInd w:val="0"/>
              <w:snapToGrid w:val="0"/>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X≥85分</w:t>
            </w:r>
          </w:p>
        </w:tc>
        <w:tc>
          <w:tcPr>
            <w:tcW w:w="4820" w:type="dxa"/>
            <w:vAlign w:val="center"/>
          </w:tcPr>
          <w:p>
            <w:pPr>
              <w:adjustRightInd w:val="0"/>
              <w:snapToGrid w:val="0"/>
              <w:spacing w:line="280" w:lineRule="exact"/>
              <w:rPr>
                <w:rFonts w:ascii="仿宋_GB2312" w:hAnsi="仿宋" w:eastAsia="仿宋_GB2312" w:cs="仿宋"/>
                <w:spacing w:val="2"/>
                <w:kern w:val="0"/>
                <w:sz w:val="24"/>
              </w:rPr>
            </w:pPr>
            <w:r>
              <w:rPr>
                <w:rFonts w:hint="eastAsia" w:ascii="仿宋_GB2312" w:hAnsi="仿宋" w:eastAsia="仿宋_GB2312" w:cs="仿宋"/>
                <w:spacing w:val="2"/>
                <w:kern w:val="0"/>
                <w:sz w:val="24"/>
              </w:rPr>
              <w:t>评价年度内有1个及以上湖南省内从业项目合同段参与评价，且水运施工合同总额超过0.35亿元；</w:t>
            </w:r>
          </w:p>
          <w:p>
            <w:pPr>
              <w:adjustRightInd w:val="0"/>
              <w:snapToGrid w:val="0"/>
              <w:spacing w:line="280" w:lineRule="exact"/>
              <w:rPr>
                <w:rFonts w:ascii="仿宋_GB2312" w:hAnsi="仿宋" w:eastAsia="仿宋_GB2312" w:cs="仿宋"/>
                <w:spacing w:val="2"/>
                <w:kern w:val="0"/>
                <w:sz w:val="24"/>
              </w:rPr>
            </w:pPr>
            <w:r>
              <w:rPr>
                <w:rFonts w:hint="eastAsia" w:ascii="仿宋_GB2312" w:hAnsi="仿宋" w:eastAsia="仿宋_GB2312" w:cs="仿宋"/>
                <w:spacing w:val="2"/>
                <w:kern w:val="0"/>
                <w:sz w:val="24"/>
              </w:rPr>
              <w:t>或，有1个及以上湖南省内从业项目合同段参与评价，满足下列任意条件：航电枢纽不低于0.5亿元，航道整治不低于0.2亿元，内河港口、服务区、航道站房等配套设施工程累计不低于0.35亿元。</w:t>
            </w:r>
          </w:p>
        </w:tc>
        <w:tc>
          <w:tcPr>
            <w:tcW w:w="5040" w:type="dxa"/>
            <w:vAlign w:val="center"/>
          </w:tcPr>
          <w:p>
            <w:pPr>
              <w:adjustRightInd w:val="0"/>
              <w:spacing w:line="280" w:lineRule="exact"/>
              <w:rPr>
                <w:rFonts w:ascii="仿宋_GB2312" w:hAnsi="仿宋" w:eastAsia="仿宋_GB2312" w:cs="仿宋"/>
                <w:spacing w:val="2"/>
                <w:kern w:val="0"/>
                <w:sz w:val="24"/>
              </w:rPr>
            </w:pPr>
            <w:r>
              <w:rPr>
                <w:rFonts w:hint="eastAsia" w:ascii="仿宋_GB2312" w:hAnsi="仿宋" w:eastAsia="仿宋_GB2312" w:cs="仿宋"/>
                <w:spacing w:val="2"/>
                <w:kern w:val="0"/>
                <w:sz w:val="24"/>
              </w:rPr>
              <w:t>1.参与评价的单个从业项目合同段开工累计完成20%以上的合同工程量；</w:t>
            </w:r>
          </w:p>
          <w:p>
            <w:pPr>
              <w:adjustRightInd w:val="0"/>
              <w:spacing w:line="280" w:lineRule="exact"/>
              <w:rPr>
                <w:rFonts w:ascii="仿宋_GB2312" w:hAnsi="仿宋" w:eastAsia="仿宋_GB2312" w:cs="仿宋"/>
                <w:spacing w:val="2"/>
                <w:kern w:val="0"/>
                <w:sz w:val="24"/>
              </w:rPr>
            </w:pPr>
            <w:r>
              <w:rPr>
                <w:rFonts w:hint="eastAsia" w:ascii="仿宋_GB2312" w:hAnsi="仿宋" w:eastAsia="仿宋_GB2312" w:cs="仿宋"/>
                <w:spacing w:val="2"/>
                <w:kern w:val="0"/>
                <w:sz w:val="24"/>
              </w:rPr>
              <w:t>2.当年度所有评价单元得分均大于等于75分；</w:t>
            </w:r>
          </w:p>
          <w:p>
            <w:pPr>
              <w:adjustRightInd w:val="0"/>
              <w:spacing w:line="280" w:lineRule="exact"/>
              <w:rPr>
                <w:rFonts w:ascii="仿宋_GB2312" w:hAnsi="仿宋" w:eastAsia="仿宋_GB2312" w:cs="仿宋"/>
                <w:spacing w:val="2"/>
                <w:kern w:val="0"/>
                <w:sz w:val="24"/>
              </w:rPr>
            </w:pPr>
            <w:r>
              <w:rPr>
                <w:rFonts w:hint="eastAsia" w:ascii="仿宋_GB2312" w:hAnsi="仿宋" w:eastAsia="仿宋_GB2312" w:cs="仿宋"/>
                <w:spacing w:val="2"/>
                <w:kern w:val="0"/>
                <w:sz w:val="24"/>
              </w:rPr>
              <w:t>3.在招投标文件中明确的合法专业分包的合同金额可累加至该企业参评合同额，分包合同额占评价合同额按分包合同额的50%计列，超出部分不计入总合同额。</w:t>
            </w:r>
          </w:p>
        </w:tc>
        <w:tc>
          <w:tcPr>
            <w:tcW w:w="1422" w:type="dxa"/>
            <w:vAlign w:val="center"/>
          </w:tcPr>
          <w:p>
            <w:pPr>
              <w:adjustRightInd w:val="0"/>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信用较好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277" w:type="dxa"/>
            <w:vAlign w:val="center"/>
          </w:tcPr>
          <w:p>
            <w:pPr>
              <w:adjustRightInd w:val="0"/>
              <w:snapToGrid w:val="0"/>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B</w:t>
            </w:r>
          </w:p>
        </w:tc>
        <w:tc>
          <w:tcPr>
            <w:tcW w:w="1856" w:type="dxa"/>
            <w:vAlign w:val="center"/>
          </w:tcPr>
          <w:p>
            <w:pPr>
              <w:adjustRightInd w:val="0"/>
              <w:snapToGrid w:val="0"/>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75分≤X＜85分</w:t>
            </w:r>
          </w:p>
        </w:tc>
        <w:tc>
          <w:tcPr>
            <w:tcW w:w="9860" w:type="dxa"/>
            <w:gridSpan w:val="2"/>
            <w:vAlign w:val="center"/>
          </w:tcPr>
          <w:p>
            <w:pPr>
              <w:adjustRightInd w:val="0"/>
              <w:snapToGrid w:val="0"/>
              <w:spacing w:line="280" w:lineRule="exact"/>
              <w:rPr>
                <w:rFonts w:ascii="仿宋_GB2312" w:hAnsi="仿宋" w:eastAsia="仿宋_GB2312" w:cs="仿宋"/>
                <w:spacing w:val="2"/>
                <w:kern w:val="0"/>
                <w:sz w:val="24"/>
              </w:rPr>
            </w:pPr>
            <w:r>
              <w:rPr>
                <w:rFonts w:hint="eastAsia" w:ascii="仿宋_GB2312" w:hAnsi="仿宋" w:eastAsia="仿宋_GB2312" w:cs="仿宋"/>
                <w:spacing w:val="2"/>
                <w:kern w:val="0"/>
                <w:sz w:val="24"/>
              </w:rPr>
              <w:t>评价年度内有1个及以上湖南省内从业项目合同段参与评价；或X≥85分，但其他条件要求不能满足AA、A级要求；或存在直接定为B级的不良行为。</w:t>
            </w:r>
          </w:p>
        </w:tc>
        <w:tc>
          <w:tcPr>
            <w:tcW w:w="1422" w:type="dxa"/>
            <w:vAlign w:val="center"/>
          </w:tcPr>
          <w:p>
            <w:pPr>
              <w:adjustRightInd w:val="0"/>
              <w:snapToGrid w:val="0"/>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信用一般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277" w:type="dxa"/>
            <w:vAlign w:val="center"/>
          </w:tcPr>
          <w:p>
            <w:pPr>
              <w:adjustRightInd w:val="0"/>
              <w:snapToGrid w:val="0"/>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C</w:t>
            </w:r>
          </w:p>
        </w:tc>
        <w:tc>
          <w:tcPr>
            <w:tcW w:w="1856" w:type="dxa"/>
            <w:vAlign w:val="center"/>
          </w:tcPr>
          <w:p>
            <w:pPr>
              <w:adjustRightInd w:val="0"/>
              <w:snapToGrid w:val="0"/>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60分≤X＜75分</w:t>
            </w:r>
          </w:p>
        </w:tc>
        <w:tc>
          <w:tcPr>
            <w:tcW w:w="9860" w:type="dxa"/>
            <w:gridSpan w:val="2"/>
            <w:vAlign w:val="center"/>
          </w:tcPr>
          <w:p>
            <w:pPr>
              <w:adjustRightInd w:val="0"/>
              <w:snapToGrid w:val="0"/>
              <w:spacing w:line="280" w:lineRule="exact"/>
              <w:rPr>
                <w:rFonts w:ascii="仿宋_GB2312" w:hAnsi="仿宋" w:eastAsia="仿宋_GB2312" w:cs="仿宋"/>
                <w:spacing w:val="-2"/>
                <w:kern w:val="0"/>
                <w:sz w:val="24"/>
              </w:rPr>
            </w:pPr>
            <w:r>
              <w:rPr>
                <w:rFonts w:hint="eastAsia" w:ascii="仿宋_GB2312" w:hAnsi="仿宋" w:eastAsia="仿宋_GB2312" w:cs="仿宋"/>
                <w:spacing w:val="-2"/>
                <w:kern w:val="0"/>
                <w:sz w:val="24"/>
              </w:rPr>
              <w:t>评价年度内有1个及以上湖南省内从业项目合同段参与评价；或存在直接定为C级的不良行为。</w:t>
            </w:r>
          </w:p>
        </w:tc>
        <w:tc>
          <w:tcPr>
            <w:tcW w:w="1422" w:type="dxa"/>
            <w:vAlign w:val="center"/>
          </w:tcPr>
          <w:p>
            <w:pPr>
              <w:adjustRightInd w:val="0"/>
              <w:snapToGrid w:val="0"/>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信用较差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277" w:type="dxa"/>
            <w:vAlign w:val="center"/>
          </w:tcPr>
          <w:p>
            <w:pPr>
              <w:adjustRightInd w:val="0"/>
              <w:snapToGrid w:val="0"/>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D</w:t>
            </w:r>
          </w:p>
        </w:tc>
        <w:tc>
          <w:tcPr>
            <w:tcW w:w="1856" w:type="dxa"/>
            <w:vAlign w:val="center"/>
          </w:tcPr>
          <w:p>
            <w:pPr>
              <w:adjustRightInd w:val="0"/>
              <w:snapToGrid w:val="0"/>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X＜60</w:t>
            </w:r>
          </w:p>
        </w:tc>
        <w:tc>
          <w:tcPr>
            <w:tcW w:w="9860" w:type="dxa"/>
            <w:gridSpan w:val="2"/>
            <w:vAlign w:val="center"/>
          </w:tcPr>
          <w:p>
            <w:pPr>
              <w:adjustRightInd w:val="0"/>
              <w:snapToGrid w:val="0"/>
              <w:spacing w:line="280" w:lineRule="exact"/>
              <w:rPr>
                <w:rFonts w:ascii="仿宋_GB2312" w:hAnsi="仿宋" w:eastAsia="仿宋_GB2312" w:cs="仿宋"/>
                <w:spacing w:val="-2"/>
                <w:kern w:val="0"/>
                <w:sz w:val="24"/>
              </w:rPr>
            </w:pPr>
            <w:r>
              <w:rPr>
                <w:rFonts w:hint="eastAsia" w:ascii="仿宋_GB2312" w:hAnsi="仿宋" w:eastAsia="仿宋_GB2312" w:cs="仿宋"/>
                <w:spacing w:val="-2"/>
                <w:kern w:val="0"/>
                <w:sz w:val="24"/>
              </w:rPr>
              <w:t>评价年度内有1个及以上湖南省内从业项目合同段参与评价；或存在直接定为D级的不良行为。</w:t>
            </w:r>
          </w:p>
        </w:tc>
        <w:tc>
          <w:tcPr>
            <w:tcW w:w="1422" w:type="dxa"/>
            <w:vAlign w:val="center"/>
          </w:tcPr>
          <w:p>
            <w:pPr>
              <w:adjustRightInd w:val="0"/>
              <w:snapToGrid w:val="0"/>
              <w:spacing w:line="280" w:lineRule="exact"/>
              <w:jc w:val="center"/>
              <w:rPr>
                <w:rFonts w:ascii="仿宋_GB2312" w:hAnsi="仿宋" w:eastAsia="仿宋_GB2312" w:cs="仿宋"/>
                <w:kern w:val="0"/>
                <w:sz w:val="24"/>
              </w:rPr>
            </w:pPr>
            <w:r>
              <w:rPr>
                <w:rFonts w:hint="eastAsia" w:ascii="仿宋_GB2312" w:hAnsi="仿宋" w:eastAsia="仿宋_GB2312" w:cs="仿宋"/>
                <w:kern w:val="0"/>
                <w:sz w:val="24"/>
              </w:rPr>
              <w:t>信用差</w:t>
            </w:r>
          </w:p>
        </w:tc>
      </w:tr>
    </w:tbl>
    <w:p>
      <w:pPr>
        <w:adjustRightInd w:val="0"/>
        <w:snapToGrid w:val="0"/>
        <w:spacing w:line="280" w:lineRule="exact"/>
        <w:ind w:left="-850" w:leftChars="-405"/>
        <w:rPr>
          <w:rFonts w:ascii="仿宋_GB2312" w:hAnsi="宋体" w:eastAsia="仿宋_GB2312" w:cs="仿宋_GB2312"/>
          <w:sz w:val="24"/>
        </w:rPr>
      </w:pPr>
      <w:r>
        <w:rPr>
          <w:rFonts w:hint="eastAsia" w:ascii="仿宋_GB2312" w:hAnsi="宋体" w:eastAsia="仿宋_GB2312" w:cs="仿宋_GB2312"/>
          <w:sz w:val="24"/>
        </w:rPr>
        <w:t>注：1.分包企业评分不得高于主包企业在该标段的评分；仅有分包工程参评单位，评价等级最高不超过A级。</w:t>
      </w:r>
    </w:p>
    <w:p>
      <w:pPr>
        <w:adjustRightInd w:val="0"/>
        <w:snapToGrid w:val="0"/>
        <w:spacing w:line="280" w:lineRule="exact"/>
        <w:ind w:left="-850" w:leftChars="-405" w:firstLine="480" w:firstLineChars="200"/>
        <w:rPr>
          <w:rFonts w:ascii="仿宋_GB2312" w:hAnsi="宋体" w:eastAsia="仿宋_GB2312" w:cs="仿宋_GB2312"/>
          <w:sz w:val="24"/>
        </w:rPr>
      </w:pPr>
      <w:r>
        <w:rPr>
          <w:rFonts w:hint="eastAsia" w:ascii="仿宋_GB2312" w:hAnsi="宋体" w:eastAsia="仿宋_GB2312" w:cs="仿宋_GB2312"/>
          <w:sz w:val="24"/>
        </w:rPr>
        <w:t>2.凡直接定级的企业，按对应等级分值的上限报交通运输部。</w:t>
      </w:r>
    </w:p>
    <w:tbl>
      <w:tblPr>
        <w:tblStyle w:val="7"/>
        <w:tblW w:w="14422" w:type="dxa"/>
        <w:jc w:val="center"/>
        <w:tblLayout w:type="fixed"/>
        <w:tblCellMar>
          <w:top w:w="0" w:type="dxa"/>
          <w:left w:w="108" w:type="dxa"/>
          <w:bottom w:w="0" w:type="dxa"/>
          <w:right w:w="108" w:type="dxa"/>
        </w:tblCellMar>
      </w:tblPr>
      <w:tblGrid>
        <w:gridCol w:w="881"/>
        <w:gridCol w:w="1276"/>
        <w:gridCol w:w="1276"/>
        <w:gridCol w:w="850"/>
        <w:gridCol w:w="993"/>
        <w:gridCol w:w="708"/>
        <w:gridCol w:w="851"/>
        <w:gridCol w:w="1067"/>
        <w:gridCol w:w="850"/>
        <w:gridCol w:w="993"/>
        <w:gridCol w:w="917"/>
        <w:gridCol w:w="992"/>
        <w:gridCol w:w="851"/>
        <w:gridCol w:w="850"/>
        <w:gridCol w:w="1067"/>
      </w:tblGrid>
      <w:tr>
        <w:trPr>
          <w:trHeight w:val="356" w:hRule="atLeast"/>
          <w:jc w:val="center"/>
        </w:trPr>
        <w:tc>
          <w:tcPr>
            <w:tcW w:w="2157" w:type="dxa"/>
            <w:gridSpan w:val="2"/>
            <w:tcBorders>
              <w:top w:val="nil"/>
              <w:left w:val="nil"/>
              <w:bottom w:val="nil"/>
              <w:right w:val="nil"/>
            </w:tcBorders>
            <w:vAlign w:val="center"/>
          </w:tcPr>
          <w:p>
            <w:pPr>
              <w:spacing w:line="520" w:lineRule="exact"/>
              <w:ind w:left="-153" w:leftChars="-73" w:firstLine="153" w:firstLineChars="64"/>
              <w:rPr>
                <w:rFonts w:ascii="黑体" w:hAnsi="宋体" w:eastAsia="黑体" w:cs="宋体"/>
                <w:bCs/>
                <w:color w:val="000000"/>
                <w:kern w:val="0"/>
                <w:sz w:val="32"/>
                <w:szCs w:val="32"/>
              </w:rPr>
            </w:pPr>
            <w:r>
              <w:rPr>
                <w:rFonts w:hint="eastAsia" w:ascii="宋体" w:hAnsi="宋体" w:cs="仿宋_GB2312"/>
                <w:sz w:val="24"/>
              </w:rPr>
              <w:br w:type="page"/>
            </w:r>
            <w:r>
              <w:rPr>
                <w:rFonts w:hint="eastAsia" w:ascii="黑体" w:hAnsi="宋体" w:eastAsia="黑体" w:cs="宋体"/>
                <w:bCs/>
                <w:color w:val="000000"/>
                <w:kern w:val="0"/>
                <w:sz w:val="32"/>
                <w:szCs w:val="32"/>
              </w:rPr>
              <w:t>附件3</w:t>
            </w:r>
          </w:p>
        </w:tc>
        <w:tc>
          <w:tcPr>
            <w:tcW w:w="1276" w:type="dxa"/>
            <w:tcBorders>
              <w:top w:val="nil"/>
              <w:left w:val="nil"/>
              <w:bottom w:val="nil"/>
              <w:right w:val="nil"/>
            </w:tcBorders>
            <w:vAlign w:val="center"/>
          </w:tcPr>
          <w:p>
            <w:pPr>
              <w:widowControl/>
              <w:jc w:val="left"/>
              <w:rPr>
                <w:rFonts w:ascii="宋体" w:hAnsi="宋体" w:cs="宋体"/>
                <w:color w:val="000000"/>
                <w:kern w:val="0"/>
                <w:sz w:val="24"/>
              </w:rPr>
            </w:pPr>
          </w:p>
        </w:tc>
        <w:tc>
          <w:tcPr>
            <w:tcW w:w="850" w:type="dxa"/>
            <w:tcBorders>
              <w:top w:val="nil"/>
              <w:left w:val="nil"/>
              <w:bottom w:val="nil"/>
              <w:right w:val="nil"/>
            </w:tcBorders>
            <w:vAlign w:val="center"/>
          </w:tcPr>
          <w:p>
            <w:pPr>
              <w:widowControl/>
              <w:jc w:val="left"/>
              <w:rPr>
                <w:rFonts w:ascii="宋体" w:hAnsi="宋体" w:cs="宋体"/>
                <w:color w:val="000000"/>
                <w:kern w:val="0"/>
                <w:sz w:val="24"/>
              </w:rPr>
            </w:pPr>
          </w:p>
        </w:tc>
        <w:tc>
          <w:tcPr>
            <w:tcW w:w="993" w:type="dxa"/>
            <w:tcBorders>
              <w:top w:val="nil"/>
              <w:left w:val="nil"/>
              <w:bottom w:val="nil"/>
              <w:right w:val="nil"/>
            </w:tcBorders>
            <w:vAlign w:val="center"/>
          </w:tcPr>
          <w:p>
            <w:pPr>
              <w:widowControl/>
              <w:jc w:val="left"/>
              <w:rPr>
                <w:rFonts w:ascii="宋体" w:hAnsi="宋体" w:cs="宋体"/>
                <w:color w:val="000000"/>
                <w:kern w:val="0"/>
                <w:sz w:val="24"/>
              </w:rPr>
            </w:pPr>
          </w:p>
        </w:tc>
        <w:tc>
          <w:tcPr>
            <w:tcW w:w="708" w:type="dxa"/>
            <w:tcBorders>
              <w:top w:val="nil"/>
              <w:left w:val="nil"/>
              <w:bottom w:val="nil"/>
              <w:right w:val="nil"/>
            </w:tcBorders>
            <w:vAlign w:val="center"/>
          </w:tcPr>
          <w:p>
            <w:pPr>
              <w:widowControl/>
              <w:jc w:val="left"/>
              <w:rPr>
                <w:rFonts w:ascii="宋体" w:hAnsi="宋体" w:cs="宋体"/>
                <w:color w:val="000000"/>
                <w:kern w:val="0"/>
                <w:sz w:val="24"/>
              </w:rPr>
            </w:pPr>
          </w:p>
        </w:tc>
        <w:tc>
          <w:tcPr>
            <w:tcW w:w="851" w:type="dxa"/>
            <w:tcBorders>
              <w:top w:val="nil"/>
              <w:left w:val="nil"/>
              <w:bottom w:val="nil"/>
              <w:right w:val="nil"/>
            </w:tcBorders>
            <w:vAlign w:val="center"/>
          </w:tcPr>
          <w:p>
            <w:pPr>
              <w:widowControl/>
              <w:jc w:val="left"/>
              <w:rPr>
                <w:rFonts w:ascii="宋体" w:hAnsi="宋体" w:cs="宋体"/>
                <w:color w:val="000000"/>
                <w:kern w:val="0"/>
                <w:sz w:val="24"/>
              </w:rPr>
            </w:pPr>
          </w:p>
        </w:tc>
        <w:tc>
          <w:tcPr>
            <w:tcW w:w="1067" w:type="dxa"/>
            <w:tcBorders>
              <w:top w:val="nil"/>
              <w:left w:val="nil"/>
              <w:bottom w:val="nil"/>
              <w:right w:val="nil"/>
            </w:tcBorders>
            <w:vAlign w:val="center"/>
          </w:tcPr>
          <w:p>
            <w:pPr>
              <w:widowControl/>
              <w:jc w:val="left"/>
              <w:rPr>
                <w:rFonts w:ascii="宋体" w:hAnsi="宋体" w:cs="宋体"/>
                <w:color w:val="000000"/>
                <w:kern w:val="0"/>
                <w:sz w:val="24"/>
              </w:rPr>
            </w:pPr>
          </w:p>
        </w:tc>
        <w:tc>
          <w:tcPr>
            <w:tcW w:w="850" w:type="dxa"/>
            <w:tcBorders>
              <w:top w:val="nil"/>
              <w:left w:val="nil"/>
              <w:bottom w:val="nil"/>
              <w:right w:val="nil"/>
            </w:tcBorders>
            <w:vAlign w:val="center"/>
          </w:tcPr>
          <w:p>
            <w:pPr>
              <w:widowControl/>
              <w:jc w:val="left"/>
              <w:rPr>
                <w:rFonts w:ascii="宋体" w:hAnsi="宋体" w:cs="宋体"/>
                <w:color w:val="000000"/>
                <w:kern w:val="0"/>
                <w:sz w:val="24"/>
              </w:rPr>
            </w:pPr>
          </w:p>
        </w:tc>
        <w:tc>
          <w:tcPr>
            <w:tcW w:w="993" w:type="dxa"/>
            <w:tcBorders>
              <w:top w:val="nil"/>
              <w:left w:val="nil"/>
              <w:bottom w:val="nil"/>
              <w:right w:val="nil"/>
            </w:tcBorders>
            <w:vAlign w:val="center"/>
          </w:tcPr>
          <w:p>
            <w:pPr>
              <w:widowControl/>
              <w:jc w:val="left"/>
              <w:rPr>
                <w:rFonts w:ascii="宋体" w:hAnsi="宋体" w:cs="宋体"/>
                <w:color w:val="000000"/>
                <w:kern w:val="0"/>
                <w:sz w:val="24"/>
              </w:rPr>
            </w:pPr>
          </w:p>
        </w:tc>
        <w:tc>
          <w:tcPr>
            <w:tcW w:w="917" w:type="dxa"/>
            <w:tcBorders>
              <w:top w:val="nil"/>
              <w:left w:val="nil"/>
              <w:bottom w:val="nil"/>
              <w:right w:val="nil"/>
            </w:tcBorders>
            <w:vAlign w:val="center"/>
          </w:tcPr>
          <w:p>
            <w:pPr>
              <w:widowControl/>
              <w:jc w:val="left"/>
              <w:rPr>
                <w:rFonts w:ascii="宋体" w:hAnsi="宋体" w:cs="宋体"/>
                <w:color w:val="000000"/>
                <w:kern w:val="0"/>
                <w:sz w:val="24"/>
              </w:rPr>
            </w:pPr>
          </w:p>
        </w:tc>
        <w:tc>
          <w:tcPr>
            <w:tcW w:w="992" w:type="dxa"/>
            <w:tcBorders>
              <w:top w:val="nil"/>
              <w:left w:val="nil"/>
              <w:bottom w:val="nil"/>
              <w:right w:val="nil"/>
            </w:tcBorders>
            <w:vAlign w:val="center"/>
          </w:tcPr>
          <w:p>
            <w:pPr>
              <w:widowControl/>
              <w:jc w:val="left"/>
              <w:rPr>
                <w:rFonts w:ascii="宋体" w:hAnsi="宋体" w:cs="宋体"/>
                <w:color w:val="000000"/>
                <w:kern w:val="0"/>
                <w:sz w:val="24"/>
              </w:rPr>
            </w:pPr>
          </w:p>
        </w:tc>
        <w:tc>
          <w:tcPr>
            <w:tcW w:w="851" w:type="dxa"/>
            <w:tcBorders>
              <w:top w:val="nil"/>
              <w:left w:val="nil"/>
              <w:bottom w:val="nil"/>
              <w:right w:val="nil"/>
            </w:tcBorders>
            <w:vAlign w:val="center"/>
          </w:tcPr>
          <w:p>
            <w:pPr>
              <w:widowControl/>
              <w:jc w:val="left"/>
              <w:rPr>
                <w:rFonts w:ascii="宋体" w:hAnsi="宋体" w:cs="宋体"/>
                <w:color w:val="000000"/>
                <w:kern w:val="0"/>
                <w:sz w:val="24"/>
              </w:rPr>
            </w:pPr>
          </w:p>
        </w:tc>
        <w:tc>
          <w:tcPr>
            <w:tcW w:w="850" w:type="dxa"/>
            <w:tcBorders>
              <w:top w:val="nil"/>
              <w:left w:val="nil"/>
              <w:bottom w:val="nil"/>
              <w:right w:val="nil"/>
            </w:tcBorders>
            <w:vAlign w:val="center"/>
          </w:tcPr>
          <w:p>
            <w:pPr>
              <w:widowControl/>
              <w:jc w:val="left"/>
              <w:rPr>
                <w:rFonts w:ascii="宋体" w:hAnsi="宋体" w:cs="宋体"/>
                <w:color w:val="000000"/>
                <w:kern w:val="0"/>
                <w:sz w:val="24"/>
              </w:rPr>
            </w:pPr>
          </w:p>
        </w:tc>
        <w:tc>
          <w:tcPr>
            <w:tcW w:w="1067" w:type="dxa"/>
            <w:tcBorders>
              <w:top w:val="nil"/>
              <w:left w:val="nil"/>
              <w:bottom w:val="nil"/>
              <w:right w:val="nil"/>
            </w:tcBorders>
            <w:vAlign w:val="center"/>
          </w:tcPr>
          <w:p>
            <w:pPr>
              <w:widowControl/>
              <w:jc w:val="left"/>
              <w:rPr>
                <w:rFonts w:ascii="宋体" w:hAnsi="宋体" w:cs="宋体"/>
                <w:color w:val="000000"/>
                <w:kern w:val="0"/>
                <w:sz w:val="24"/>
              </w:rPr>
            </w:pPr>
          </w:p>
        </w:tc>
      </w:tr>
      <w:tr>
        <w:trPr>
          <w:trHeight w:val="696" w:hRule="atLeast"/>
          <w:jc w:val="center"/>
        </w:trPr>
        <w:tc>
          <w:tcPr>
            <w:tcW w:w="14422" w:type="dxa"/>
            <w:gridSpan w:val="15"/>
            <w:tcBorders>
              <w:top w:val="nil"/>
              <w:left w:val="nil"/>
              <w:bottom w:val="nil"/>
              <w:right w:val="nil"/>
            </w:tcBorders>
            <w:vAlign w:val="center"/>
          </w:tcPr>
          <w:p>
            <w:pPr>
              <w:widowControl/>
              <w:jc w:val="center"/>
              <w:rPr>
                <w:rFonts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建设项目</w:t>
            </w:r>
            <w:r>
              <w:rPr>
                <w:rFonts w:hint="eastAsia" w:ascii="方正小标宋简体" w:hAnsi="宋体" w:eastAsia="方正小标宋简体" w:cs="宋体"/>
                <w:bCs/>
                <w:color w:val="000000"/>
                <w:kern w:val="0"/>
                <w:sz w:val="36"/>
                <w:szCs w:val="36"/>
                <w:u w:val="single"/>
              </w:rPr>
              <w:t xml:space="preserve">     </w:t>
            </w:r>
            <w:r>
              <w:rPr>
                <w:rFonts w:hint="eastAsia" w:ascii="方正小标宋简体" w:hAnsi="宋体" w:eastAsia="方正小标宋简体" w:cs="宋体"/>
                <w:bCs/>
                <w:color w:val="000000"/>
                <w:kern w:val="0"/>
                <w:sz w:val="36"/>
                <w:szCs w:val="36"/>
              </w:rPr>
              <w:t>年第</w:t>
            </w:r>
            <w:r>
              <w:rPr>
                <w:rFonts w:hint="eastAsia" w:ascii="方正小标宋简体" w:hAnsi="宋体" w:eastAsia="方正小标宋简体" w:cs="宋体"/>
                <w:color w:val="000000"/>
                <w:kern w:val="0"/>
                <w:sz w:val="36"/>
                <w:szCs w:val="36"/>
                <w:u w:val="single"/>
              </w:rPr>
              <w:t xml:space="preserve">    </w:t>
            </w:r>
            <w:r>
              <w:rPr>
                <w:rFonts w:hint="eastAsia" w:ascii="方正小标宋简体" w:hAnsi="宋体" w:eastAsia="方正小标宋简体" w:cs="宋体"/>
                <w:color w:val="000000"/>
                <w:kern w:val="0"/>
                <w:sz w:val="36"/>
                <w:szCs w:val="36"/>
              </w:rPr>
              <w:t>次水运</w:t>
            </w:r>
            <w:r>
              <w:rPr>
                <w:rFonts w:hint="eastAsia" w:ascii="方正小标宋简体" w:hAnsi="宋体" w:eastAsia="方正小标宋简体" w:cs="宋体"/>
                <w:bCs/>
                <w:color w:val="000000"/>
                <w:kern w:val="0"/>
                <w:sz w:val="36"/>
                <w:szCs w:val="36"/>
              </w:rPr>
              <w:t>施工企业信用评价表    表1</w:t>
            </w:r>
          </w:p>
        </w:tc>
      </w:tr>
      <w:tr>
        <w:trPr>
          <w:trHeight w:val="876"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序号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施工企业名称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组织机构代码</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企业资质</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合同段</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工程内容</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完成情况</w:t>
            </w:r>
          </w:p>
        </w:tc>
        <w:tc>
          <w:tcPr>
            <w:tcW w:w="1917"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评定内容</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总扣分</w:t>
            </w:r>
          </w:p>
        </w:tc>
        <w:tc>
          <w:tcPr>
            <w:tcW w:w="917"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行为</w:t>
            </w:r>
          </w:p>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代码</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不良</w:t>
            </w:r>
          </w:p>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行为</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扣分标准</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扣分</w:t>
            </w:r>
          </w:p>
        </w:tc>
        <w:tc>
          <w:tcPr>
            <w:tcW w:w="1067"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备注</w:t>
            </w:r>
          </w:p>
        </w:tc>
      </w:tr>
      <w:tr>
        <w:trPr>
          <w:trHeight w:val="336" w:hRule="atLeast"/>
          <w:jc w:val="center"/>
        </w:trPr>
        <w:tc>
          <w:tcPr>
            <w:tcW w:w="881" w:type="dxa"/>
            <w:vMerge w:val="restart"/>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276" w:type="dxa"/>
            <w:vMerge w:val="restart"/>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76" w:type="dxa"/>
            <w:vMerge w:val="restart"/>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0" w:type="dxa"/>
            <w:vMerge w:val="restart"/>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67"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投标行为评价评分</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rPr>
          <w:trHeight w:val="336" w:hRule="atLeast"/>
          <w:jc w:val="center"/>
        </w:trPr>
        <w:tc>
          <w:tcPr>
            <w:tcW w:w="88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0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rPr>
          <w:trHeight w:val="336" w:hRule="atLeast"/>
          <w:jc w:val="center"/>
        </w:trPr>
        <w:tc>
          <w:tcPr>
            <w:tcW w:w="88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0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rPr>
          <w:trHeight w:val="336" w:hRule="atLeast"/>
          <w:jc w:val="center"/>
        </w:trPr>
        <w:tc>
          <w:tcPr>
            <w:tcW w:w="88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067"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履约行为评价评分</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rPr>
          <w:trHeight w:val="336" w:hRule="atLeast"/>
          <w:jc w:val="center"/>
        </w:trPr>
        <w:tc>
          <w:tcPr>
            <w:tcW w:w="88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0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rPr>
          <w:trHeight w:val="336" w:hRule="atLeast"/>
          <w:jc w:val="center"/>
        </w:trPr>
        <w:tc>
          <w:tcPr>
            <w:tcW w:w="88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0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rPr>
          <w:trHeight w:val="336" w:hRule="atLeast"/>
          <w:jc w:val="center"/>
        </w:trPr>
        <w:tc>
          <w:tcPr>
            <w:tcW w:w="88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70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67"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投标行为评价评分</w:t>
            </w:r>
          </w:p>
        </w:tc>
        <w:tc>
          <w:tcPr>
            <w:tcW w:w="85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rPr>
          <w:trHeight w:val="336" w:hRule="atLeast"/>
          <w:jc w:val="center"/>
        </w:trPr>
        <w:tc>
          <w:tcPr>
            <w:tcW w:w="88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0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rPr>
          <w:trHeight w:val="336" w:hRule="atLeast"/>
          <w:jc w:val="center"/>
        </w:trPr>
        <w:tc>
          <w:tcPr>
            <w:tcW w:w="88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0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rPr>
          <w:trHeight w:val="336" w:hRule="atLeast"/>
          <w:jc w:val="center"/>
        </w:trPr>
        <w:tc>
          <w:tcPr>
            <w:tcW w:w="88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067"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履约行为评价评分</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rPr>
          <w:trHeight w:val="336" w:hRule="atLeast"/>
          <w:jc w:val="center"/>
        </w:trPr>
        <w:tc>
          <w:tcPr>
            <w:tcW w:w="88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0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rPr>
          <w:trHeight w:val="336" w:hRule="atLeast"/>
          <w:jc w:val="center"/>
        </w:trPr>
        <w:tc>
          <w:tcPr>
            <w:tcW w:w="88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0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6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rPr>
          <w:trHeight w:val="675" w:hRule="atLeast"/>
          <w:jc w:val="center"/>
        </w:trPr>
        <w:tc>
          <w:tcPr>
            <w:tcW w:w="14422" w:type="dxa"/>
            <w:gridSpan w:val="15"/>
            <w:tcBorders>
              <w:top w:val="single" w:color="auto" w:sz="4" w:space="0"/>
              <w:left w:val="nil"/>
              <w:bottom w:val="nil"/>
              <w:right w:val="nil"/>
            </w:tcBorders>
            <w:vAlign w:val="center"/>
          </w:tcPr>
          <w:p>
            <w:pPr>
              <w:widowControl/>
              <w:ind w:left="480" w:hanging="480" w:hanging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注：此表由建设单位评价填写，投标行为评价仅对存在不良投标行为的水运施工企业进行评价，评定内容仅为投标行为评价评分，工程内容填为资审或投标。</w:t>
            </w:r>
          </w:p>
        </w:tc>
      </w:tr>
      <w:tr>
        <w:trPr>
          <w:trHeight w:val="510" w:hRule="atLeast"/>
          <w:jc w:val="center"/>
        </w:trPr>
        <w:tc>
          <w:tcPr>
            <w:tcW w:w="14422" w:type="dxa"/>
            <w:gridSpan w:val="15"/>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项目建设单位：签字（盖章）                                                               日期：</w:t>
            </w:r>
          </w:p>
        </w:tc>
      </w:tr>
    </w:tbl>
    <w:p>
      <w:pPr>
        <w:widowControl/>
        <w:jc w:val="left"/>
        <w:rPr>
          <w:rFonts w:ascii="仿宋_GB2312" w:hAnsi="宋体" w:eastAsia="仿宋_GB2312" w:cs="仿宋_GB2312"/>
          <w:sz w:val="24"/>
        </w:rPr>
      </w:pPr>
      <w:r>
        <w:rPr>
          <w:rFonts w:ascii="仿宋_GB2312" w:hAnsi="宋体" w:eastAsia="仿宋_GB2312" w:cs="仿宋_GB2312"/>
          <w:sz w:val="24"/>
        </w:rPr>
        <w:br w:type="page"/>
      </w:r>
    </w:p>
    <w:tbl>
      <w:tblPr>
        <w:tblStyle w:val="7"/>
        <w:tblW w:w="14528" w:type="dxa"/>
        <w:jc w:val="center"/>
        <w:tblLayout w:type="fixed"/>
        <w:tblCellMar>
          <w:top w:w="0" w:type="dxa"/>
          <w:left w:w="108" w:type="dxa"/>
          <w:bottom w:w="0" w:type="dxa"/>
          <w:right w:w="108" w:type="dxa"/>
        </w:tblCellMar>
      </w:tblPr>
      <w:tblGrid>
        <w:gridCol w:w="531"/>
        <w:gridCol w:w="709"/>
        <w:gridCol w:w="764"/>
        <w:gridCol w:w="732"/>
        <w:gridCol w:w="713"/>
        <w:gridCol w:w="709"/>
        <w:gridCol w:w="1051"/>
        <w:gridCol w:w="709"/>
        <w:gridCol w:w="708"/>
        <w:gridCol w:w="709"/>
        <w:gridCol w:w="782"/>
        <w:gridCol w:w="777"/>
        <w:gridCol w:w="924"/>
        <w:gridCol w:w="879"/>
        <w:gridCol w:w="709"/>
        <w:gridCol w:w="963"/>
        <w:gridCol w:w="1305"/>
        <w:gridCol w:w="854"/>
      </w:tblGrid>
      <w:tr>
        <w:tblPrEx>
          <w:tblCellMar>
            <w:top w:w="0" w:type="dxa"/>
            <w:left w:w="108" w:type="dxa"/>
            <w:bottom w:w="0" w:type="dxa"/>
            <w:right w:w="108" w:type="dxa"/>
          </w:tblCellMar>
        </w:tblPrEx>
        <w:trPr>
          <w:trHeight w:val="570" w:hRule="atLeast"/>
          <w:jc w:val="center"/>
        </w:trPr>
        <w:tc>
          <w:tcPr>
            <w:tcW w:w="14528" w:type="dxa"/>
            <w:gridSpan w:val="18"/>
            <w:tcBorders>
              <w:top w:val="nil"/>
              <w:left w:val="nil"/>
              <w:bottom w:val="nil"/>
              <w:right w:val="nil"/>
            </w:tcBorders>
            <w:vAlign w:val="center"/>
          </w:tcPr>
          <w:p>
            <w:pPr>
              <w:widowControl/>
              <w:ind w:firstLine="3040" w:firstLineChars="950"/>
              <w:rPr>
                <w:rFonts w:ascii="方正小标宋简体" w:hAnsi="宋体" w:eastAsia="方正小标宋简体" w:cs="宋体"/>
                <w:bCs/>
                <w:color w:val="000000"/>
                <w:kern w:val="0"/>
                <w:sz w:val="32"/>
                <w:szCs w:val="32"/>
              </w:rPr>
            </w:pPr>
          </w:p>
          <w:p>
            <w:pPr>
              <w:widowControl/>
              <w:ind w:firstLine="2160" w:firstLineChars="600"/>
              <w:rPr>
                <w:rFonts w:ascii="方正小标宋简体" w:hAnsi="宋体" w:eastAsia="方正小标宋简体" w:cs="宋体"/>
                <w:bCs/>
                <w:color w:val="000000"/>
                <w:kern w:val="0"/>
                <w:sz w:val="32"/>
                <w:szCs w:val="32"/>
              </w:rPr>
            </w:pPr>
            <w:r>
              <w:rPr>
                <w:rFonts w:hint="eastAsia" w:ascii="方正小标宋简体" w:hAnsi="宋体" w:eastAsia="方正小标宋简体" w:cs="宋体"/>
                <w:bCs/>
                <w:color w:val="000000"/>
                <w:kern w:val="0"/>
                <w:sz w:val="36"/>
                <w:szCs w:val="32"/>
              </w:rPr>
              <w:t xml:space="preserve"> </w:t>
            </w:r>
            <w:r>
              <w:rPr>
                <w:rFonts w:hint="eastAsia" w:ascii="方正小标宋简体" w:hAnsi="宋体" w:eastAsia="方正小标宋简体" w:cs="宋体"/>
                <w:bCs/>
                <w:color w:val="000000"/>
                <w:kern w:val="0"/>
                <w:sz w:val="36"/>
                <w:szCs w:val="32"/>
                <w:u w:val="single"/>
              </w:rPr>
              <w:t xml:space="preserve">      </w:t>
            </w:r>
            <w:r>
              <w:rPr>
                <w:rFonts w:hint="eastAsia" w:ascii="方正小标宋简体" w:hAnsi="宋体" w:eastAsia="方正小标宋简体" w:cs="宋体"/>
                <w:bCs/>
                <w:color w:val="000000"/>
                <w:kern w:val="0"/>
                <w:sz w:val="36"/>
                <w:szCs w:val="32"/>
              </w:rPr>
              <w:t>市</w:t>
            </w:r>
            <w:r>
              <w:rPr>
                <w:rFonts w:hint="eastAsia" w:ascii="方正小标宋简体" w:hAnsi="宋体" w:eastAsia="方正小标宋简体" w:cs="宋体"/>
                <w:bCs/>
                <w:color w:val="000000"/>
                <w:kern w:val="0"/>
                <w:sz w:val="36"/>
                <w:szCs w:val="32"/>
                <w:u w:val="single"/>
              </w:rPr>
              <w:t xml:space="preserve">     </w:t>
            </w:r>
            <w:r>
              <w:rPr>
                <w:rFonts w:hint="eastAsia" w:ascii="方正小标宋简体" w:hAnsi="宋体" w:eastAsia="方正小标宋简体" w:cs="宋体"/>
                <w:bCs/>
                <w:color w:val="000000"/>
                <w:kern w:val="0"/>
                <w:sz w:val="36"/>
                <w:szCs w:val="32"/>
              </w:rPr>
              <w:t>年第</w:t>
            </w:r>
            <w:r>
              <w:rPr>
                <w:rFonts w:hint="eastAsia" w:ascii="方正小标宋简体" w:hAnsi="宋体" w:eastAsia="方正小标宋简体" w:cs="宋体"/>
                <w:color w:val="000000"/>
                <w:kern w:val="0"/>
                <w:sz w:val="36"/>
                <w:szCs w:val="32"/>
                <w:u w:val="single"/>
              </w:rPr>
              <w:t xml:space="preserve">    </w:t>
            </w:r>
            <w:r>
              <w:rPr>
                <w:rFonts w:hint="eastAsia" w:ascii="方正小标宋简体" w:hAnsi="宋体" w:eastAsia="方正小标宋简体" w:cs="宋体"/>
                <w:color w:val="000000"/>
                <w:kern w:val="0"/>
                <w:sz w:val="36"/>
                <w:szCs w:val="32"/>
              </w:rPr>
              <w:t>次</w:t>
            </w:r>
            <w:r>
              <w:rPr>
                <w:rFonts w:hint="eastAsia" w:ascii="方正小标宋简体" w:hAnsi="宋体" w:eastAsia="方正小标宋简体" w:cs="宋体"/>
                <w:bCs/>
                <w:color w:val="000000"/>
                <w:kern w:val="0"/>
                <w:sz w:val="36"/>
                <w:szCs w:val="32"/>
              </w:rPr>
              <w:t>水运施工企业信用评价表    表2</w:t>
            </w:r>
          </w:p>
        </w:tc>
      </w:tr>
      <w:tr>
        <w:trPr>
          <w:trHeight w:val="363" w:hRule="atLeast"/>
          <w:jc w:val="center"/>
        </w:trPr>
        <w:tc>
          <w:tcPr>
            <w:tcW w:w="531"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序号</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施工企业名称</w:t>
            </w:r>
          </w:p>
        </w:tc>
        <w:tc>
          <w:tcPr>
            <w:tcW w:w="764"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组织机构代码证</w:t>
            </w:r>
          </w:p>
        </w:tc>
        <w:tc>
          <w:tcPr>
            <w:tcW w:w="73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企业资质</w:t>
            </w:r>
          </w:p>
        </w:tc>
        <w:tc>
          <w:tcPr>
            <w:tcW w:w="713"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建设项目及合同段</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工程内容</w:t>
            </w:r>
          </w:p>
        </w:tc>
        <w:tc>
          <w:tcPr>
            <w:tcW w:w="1051"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评价次数及周期</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工程量完成情况</w:t>
            </w:r>
          </w:p>
        </w:tc>
        <w:tc>
          <w:tcPr>
            <w:tcW w:w="2199" w:type="dxa"/>
            <w:gridSpan w:val="3"/>
            <w:tcBorders>
              <w:top w:val="single" w:color="auto" w:sz="4" w:space="0"/>
              <w:left w:val="nil"/>
              <w:bottom w:val="nil"/>
              <w:right w:val="single" w:color="000000"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投标行为评价</w:t>
            </w:r>
          </w:p>
        </w:tc>
        <w:tc>
          <w:tcPr>
            <w:tcW w:w="2580"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履约行为评价</w:t>
            </w:r>
          </w:p>
        </w:tc>
        <w:tc>
          <w:tcPr>
            <w:tcW w:w="1672" w:type="dxa"/>
            <w:gridSpan w:val="2"/>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其他行为评价</w:t>
            </w:r>
          </w:p>
        </w:tc>
        <w:tc>
          <w:tcPr>
            <w:tcW w:w="1305" w:type="dxa"/>
            <w:vMerge w:val="restart"/>
            <w:tcBorders>
              <w:top w:val="single" w:color="auto" w:sz="4" w:space="0"/>
              <w:left w:val="nil"/>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扣分依据</w:t>
            </w:r>
          </w:p>
          <w:p>
            <w:pPr>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　</w:t>
            </w:r>
          </w:p>
        </w:tc>
        <w:tc>
          <w:tcPr>
            <w:tcW w:w="854" w:type="dxa"/>
            <w:vMerge w:val="restart"/>
            <w:tcBorders>
              <w:top w:val="single" w:color="auto" w:sz="4" w:space="0"/>
              <w:left w:val="nil"/>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备注</w:t>
            </w:r>
          </w:p>
          <w:p>
            <w:pPr>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　</w:t>
            </w:r>
          </w:p>
        </w:tc>
      </w:tr>
      <w:tr>
        <w:tblPrEx>
          <w:tblCellMar>
            <w:top w:w="0" w:type="dxa"/>
            <w:left w:w="108" w:type="dxa"/>
            <w:bottom w:w="0" w:type="dxa"/>
            <w:right w:w="108" w:type="dxa"/>
          </w:tblCellMar>
        </w:tblPrEx>
        <w:trPr>
          <w:trHeight w:val="764" w:hRule="atLeast"/>
          <w:jc w:val="center"/>
        </w:trPr>
        <w:tc>
          <w:tcPr>
            <w:tcW w:w="53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ascii="黑体" w:hAnsi="宋体" w:eastAsia="黑体" w:cs="宋体"/>
                <w:color w:val="000000"/>
                <w:kern w:val="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ascii="黑体" w:hAnsi="宋体" w:eastAsia="黑体" w:cs="宋体"/>
                <w:color w:val="000000"/>
                <w:kern w:val="0"/>
                <w:sz w:val="20"/>
                <w:szCs w:val="20"/>
              </w:rPr>
            </w:pPr>
          </w:p>
        </w:tc>
        <w:tc>
          <w:tcPr>
            <w:tcW w:w="76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ascii="黑体" w:hAnsi="宋体" w:eastAsia="黑体" w:cs="宋体"/>
                <w:color w:val="000000"/>
                <w:kern w:val="0"/>
                <w:sz w:val="20"/>
                <w:szCs w:val="20"/>
              </w:rPr>
            </w:pPr>
          </w:p>
        </w:tc>
        <w:tc>
          <w:tcPr>
            <w:tcW w:w="73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ascii="黑体" w:hAnsi="宋体" w:eastAsia="黑体" w:cs="宋体"/>
                <w:color w:val="000000"/>
                <w:kern w:val="0"/>
                <w:sz w:val="20"/>
                <w:szCs w:val="20"/>
              </w:rPr>
            </w:pPr>
          </w:p>
        </w:tc>
        <w:tc>
          <w:tcPr>
            <w:tcW w:w="71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ascii="黑体" w:hAnsi="宋体" w:eastAsia="黑体" w:cs="宋体"/>
                <w:color w:val="000000"/>
                <w:kern w:val="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ascii="黑体" w:hAnsi="宋体" w:eastAsia="黑体" w:cs="宋体"/>
                <w:color w:val="000000"/>
                <w:kern w:val="0"/>
                <w:sz w:val="20"/>
                <w:szCs w:val="20"/>
              </w:rPr>
            </w:pPr>
          </w:p>
        </w:tc>
        <w:tc>
          <w:tcPr>
            <w:tcW w:w="105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ascii="黑体" w:hAnsi="宋体" w:eastAsia="黑体" w:cs="宋体"/>
                <w:color w:val="000000"/>
                <w:kern w:val="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ascii="黑体" w:hAnsi="宋体" w:eastAsia="黑体" w:cs="宋体"/>
                <w:color w:val="000000"/>
                <w:kern w:val="0"/>
                <w:sz w:val="20"/>
                <w:szCs w:val="20"/>
              </w:rPr>
            </w:pPr>
          </w:p>
        </w:tc>
        <w:tc>
          <w:tcPr>
            <w:tcW w:w="70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个数</w:t>
            </w:r>
          </w:p>
        </w:tc>
        <w:tc>
          <w:tcPr>
            <w:tcW w:w="70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建设项目评分</w:t>
            </w:r>
          </w:p>
        </w:tc>
        <w:tc>
          <w:tcPr>
            <w:tcW w:w="78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市州复核评分</w:t>
            </w:r>
          </w:p>
        </w:tc>
        <w:tc>
          <w:tcPr>
            <w:tcW w:w="777" w:type="dxa"/>
            <w:tcBorders>
              <w:top w:val="nil"/>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个数</w:t>
            </w:r>
          </w:p>
        </w:tc>
        <w:tc>
          <w:tcPr>
            <w:tcW w:w="924" w:type="dxa"/>
            <w:tcBorders>
              <w:top w:val="nil"/>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建设项目评分</w:t>
            </w:r>
          </w:p>
        </w:tc>
        <w:tc>
          <w:tcPr>
            <w:tcW w:w="879" w:type="dxa"/>
            <w:tcBorders>
              <w:top w:val="nil"/>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市州复核评分</w:t>
            </w:r>
          </w:p>
        </w:tc>
        <w:tc>
          <w:tcPr>
            <w:tcW w:w="70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个数</w:t>
            </w:r>
          </w:p>
        </w:tc>
        <w:tc>
          <w:tcPr>
            <w:tcW w:w="963" w:type="dxa"/>
            <w:tcBorders>
              <w:top w:val="nil"/>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市州</w:t>
            </w:r>
          </w:p>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评分</w:t>
            </w:r>
          </w:p>
        </w:tc>
        <w:tc>
          <w:tcPr>
            <w:tcW w:w="1305" w:type="dxa"/>
            <w:vMerge w:val="continue"/>
            <w:tcBorders>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0"/>
                <w:szCs w:val="20"/>
              </w:rPr>
            </w:pPr>
          </w:p>
        </w:tc>
        <w:tc>
          <w:tcPr>
            <w:tcW w:w="854" w:type="dxa"/>
            <w:vMerge w:val="continue"/>
            <w:tcBorders>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0"/>
                <w:szCs w:val="20"/>
              </w:rPr>
            </w:pPr>
          </w:p>
        </w:tc>
      </w:tr>
      <w:tr>
        <w:trPr>
          <w:trHeight w:val="456" w:hRule="atLeast"/>
          <w:jc w:val="center"/>
        </w:trPr>
        <w:tc>
          <w:tcPr>
            <w:tcW w:w="53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709"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64"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2"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13"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51"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第Ⅰ次</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708"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782"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777"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924"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87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注②</w:t>
            </w:r>
          </w:p>
        </w:tc>
        <w:tc>
          <w:tcPr>
            <w:tcW w:w="709" w:type="dxa"/>
            <w:vMerge w:val="restart"/>
            <w:tcBorders>
              <w:top w:val="single" w:color="auto" w:sz="4" w:space="0"/>
              <w:left w:val="nil"/>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963" w:type="dxa"/>
            <w:tcBorders>
              <w:top w:val="nil"/>
              <w:left w:val="nil"/>
              <w:bottom w:val="single" w:color="auto" w:sz="4" w:space="0"/>
              <w:right w:val="single" w:color="auto" w:sz="4" w:space="0"/>
            </w:tcBorders>
            <w:vAlign w:val="center"/>
          </w:tcPr>
          <w:p>
            <w:pPr>
              <w:widowControl/>
              <w:spacing w:line="32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注</w:t>
            </w:r>
            <w:r>
              <w:rPr>
                <w:rFonts w:hint="eastAsia" w:ascii="仿宋_GB2312" w:hAnsi="宋体" w:eastAsia="仿宋_GB2312" w:cs="宋体"/>
                <w:bCs/>
                <w:color w:val="000000"/>
                <w:kern w:val="0"/>
                <w:sz w:val="24"/>
              </w:rPr>
              <w:t>④</w:t>
            </w:r>
          </w:p>
        </w:tc>
        <w:tc>
          <w:tcPr>
            <w:tcW w:w="1305"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4"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6" w:hRule="atLeast"/>
          <w:jc w:val="center"/>
        </w:trPr>
        <w:tc>
          <w:tcPr>
            <w:tcW w:w="53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6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3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13"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1051"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第Ⅱ次</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782"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777"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924"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87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709" w:type="dxa"/>
            <w:vMerge w:val="continue"/>
            <w:tcBorders>
              <w:left w:val="nil"/>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963"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1305"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854"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r>
      <w:tr>
        <w:trPr>
          <w:trHeight w:val="456" w:hRule="atLeast"/>
          <w:jc w:val="center"/>
        </w:trPr>
        <w:tc>
          <w:tcPr>
            <w:tcW w:w="53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6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3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13"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1051"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第Ⅲ次</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782"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777"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924"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87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709" w:type="dxa"/>
            <w:vMerge w:val="continue"/>
            <w:tcBorders>
              <w:left w:val="nil"/>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963"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p>
            <w:pPr>
              <w:widowControl/>
              <w:spacing w:line="320" w:lineRule="exact"/>
              <w:jc w:val="center"/>
              <w:rPr>
                <w:rFonts w:ascii="仿宋_GB2312" w:hAnsi="宋体" w:eastAsia="仿宋_GB2312" w:cs="宋体"/>
                <w:color w:val="000000"/>
                <w:kern w:val="0"/>
                <w:sz w:val="24"/>
              </w:rPr>
            </w:pPr>
          </w:p>
        </w:tc>
        <w:tc>
          <w:tcPr>
            <w:tcW w:w="1305"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4"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6" w:hRule="atLeast"/>
          <w:jc w:val="center"/>
        </w:trPr>
        <w:tc>
          <w:tcPr>
            <w:tcW w:w="53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6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3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13"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1051"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全年</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708"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782" w:type="dxa"/>
            <w:tcBorders>
              <w:top w:val="nil"/>
              <w:left w:val="nil"/>
              <w:bottom w:val="single" w:color="auto" w:sz="4" w:space="0"/>
              <w:right w:val="single" w:color="auto" w:sz="4" w:space="0"/>
            </w:tcBorders>
            <w:vAlign w:val="center"/>
          </w:tcPr>
          <w:p>
            <w:pPr>
              <w:widowControl/>
              <w:numPr>
                <w:ilvl w:val="0"/>
                <w:numId w:val="2"/>
              </w:numPr>
              <w:spacing w:line="320" w:lineRule="exact"/>
              <w:rPr>
                <w:rFonts w:ascii="仿宋_GB2312" w:hAnsi="宋体" w:eastAsia="仿宋_GB2312" w:cs="宋体"/>
                <w:color w:val="000000"/>
                <w:kern w:val="0"/>
                <w:sz w:val="24"/>
              </w:rPr>
            </w:pPr>
          </w:p>
        </w:tc>
        <w:tc>
          <w:tcPr>
            <w:tcW w:w="777"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924"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87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bCs/>
                <w:color w:val="000000"/>
                <w:kern w:val="0"/>
                <w:sz w:val="24"/>
              </w:rPr>
              <w:t>注③</w:t>
            </w:r>
          </w:p>
        </w:tc>
        <w:tc>
          <w:tcPr>
            <w:tcW w:w="709" w:type="dxa"/>
            <w:vMerge w:val="continue"/>
            <w:tcBorders>
              <w:left w:val="nil"/>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963"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注</w:t>
            </w:r>
            <w:r>
              <w:rPr>
                <w:rFonts w:hint="eastAsia" w:ascii="仿宋_GB2312" w:hAnsi="宋体" w:eastAsia="仿宋_GB2312" w:cs="宋体"/>
                <w:bCs/>
                <w:color w:val="000000"/>
                <w:kern w:val="0"/>
                <w:sz w:val="24"/>
              </w:rPr>
              <w:t>⑤</w:t>
            </w:r>
          </w:p>
        </w:tc>
        <w:tc>
          <w:tcPr>
            <w:tcW w:w="1305"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854"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rPr>
          <w:trHeight w:val="456" w:hRule="atLeast"/>
          <w:jc w:val="center"/>
        </w:trPr>
        <w:tc>
          <w:tcPr>
            <w:tcW w:w="53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6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3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13"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51"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8"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782"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777"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924"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7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vMerge w:val="continue"/>
            <w:tcBorders>
              <w:left w:val="nil"/>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c>
          <w:tcPr>
            <w:tcW w:w="963"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1305"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4"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6"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709"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6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3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13"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51"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8" w:type="dxa"/>
            <w:tcBorders>
              <w:top w:val="nil"/>
              <w:left w:val="single" w:color="auto" w:sz="4" w:space="0"/>
              <w:bottom w:val="single" w:color="000000"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782"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777" w:type="dxa"/>
            <w:tcBorders>
              <w:top w:val="nil"/>
              <w:left w:val="single" w:color="auto" w:sz="4" w:space="0"/>
              <w:bottom w:val="single" w:color="000000"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24"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7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63"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1305"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4"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r>
      <w:tr>
        <w:trPr>
          <w:trHeight w:val="438" w:hRule="atLeast"/>
          <w:jc w:val="center"/>
        </w:trPr>
        <w:tc>
          <w:tcPr>
            <w:tcW w:w="14528" w:type="dxa"/>
            <w:gridSpan w:val="18"/>
            <w:tcBorders>
              <w:top w:val="single" w:color="auto" w:sz="4" w:space="0"/>
              <w:left w:val="nil"/>
              <w:bottom w:val="nil"/>
              <w:right w:val="nil"/>
            </w:tcBorders>
            <w:vAlign w:val="center"/>
          </w:tcPr>
          <w:p>
            <w:pPr>
              <w:widowControl/>
              <w:spacing w:line="300" w:lineRule="exact"/>
              <w:ind w:left="480" w:hanging="480" w:hanging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注：1.此表由市州交通运输主管部门评价填写，当市州评分与建设项目评分不一致时，须注明扣分依据。</w:t>
            </w:r>
          </w:p>
          <w:p>
            <w:pPr>
              <w:widowControl/>
              <w:spacing w:line="300" w:lineRule="exact"/>
              <w:ind w:left="718" w:leftChars="228" w:hanging="240" w:hangingChars="100"/>
              <w:jc w:val="left"/>
              <w:rPr>
                <w:rFonts w:ascii="仿宋_GB2312" w:hAnsi="宋体" w:eastAsia="仿宋_GB2312" w:cs="宋体"/>
                <w:bCs/>
                <w:color w:val="000000"/>
                <w:kern w:val="0"/>
                <w:sz w:val="18"/>
                <w:szCs w:val="18"/>
              </w:rPr>
            </w:pPr>
            <w:r>
              <w:rPr>
                <w:rFonts w:hint="eastAsia" w:ascii="仿宋_GB2312" w:hAnsi="宋体" w:eastAsia="仿宋_GB2312" w:cs="宋体"/>
                <w:color w:val="000000"/>
                <w:kern w:val="0"/>
                <w:sz w:val="24"/>
              </w:rPr>
              <w:t>2.填表注意事项如下：①全年投标评分=100-Σ经复核后的单次评价扣分；②经复核后的单次评价得分；③全年履约评分=Σ单次评价得分；④单次评价其他行为扣分或加分；⑤全年其他行为得分=Σ单次评价其他行为扣分或加分。</w:t>
            </w:r>
          </w:p>
        </w:tc>
      </w:tr>
      <w:tr>
        <w:tblPrEx>
          <w:tblCellMar>
            <w:top w:w="0" w:type="dxa"/>
            <w:left w:w="108" w:type="dxa"/>
            <w:bottom w:w="0" w:type="dxa"/>
            <w:right w:w="108" w:type="dxa"/>
          </w:tblCellMar>
        </w:tblPrEx>
        <w:trPr>
          <w:trHeight w:val="474" w:hRule="atLeast"/>
          <w:jc w:val="center"/>
        </w:trPr>
        <w:tc>
          <w:tcPr>
            <w:tcW w:w="14528" w:type="dxa"/>
            <w:gridSpan w:val="18"/>
            <w:tcBorders>
              <w:top w:val="nil"/>
              <w:left w:val="nil"/>
              <w:bottom w:val="nil"/>
              <w:right w:val="nil"/>
            </w:tcBorders>
            <w:vAlign w:val="center"/>
          </w:tcPr>
          <w:p>
            <w:pPr>
              <w:widowControl/>
              <w:spacing w:line="260" w:lineRule="exact"/>
              <w:jc w:val="left"/>
              <w:rPr>
                <w:rFonts w:ascii="仿宋_GB2312" w:hAnsi="宋体" w:eastAsia="仿宋_GB2312" w:cs="宋体"/>
                <w:color w:val="000000"/>
                <w:kern w:val="0"/>
                <w:sz w:val="24"/>
              </w:rPr>
            </w:pPr>
          </w:p>
          <w:p>
            <w:pPr>
              <w:widowControl/>
              <w:spacing w:line="260" w:lineRule="exact"/>
              <w:jc w:val="left"/>
              <w:rPr>
                <w:rFonts w:ascii="仿宋_GB2312" w:hAnsi="宋体" w:eastAsia="仿宋_GB2312" w:cs="宋体"/>
                <w:color w:val="000000"/>
                <w:kern w:val="0"/>
                <w:sz w:val="24"/>
              </w:rPr>
            </w:pPr>
          </w:p>
          <w:p>
            <w:pPr>
              <w:widowControl/>
              <w:spacing w:line="2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市州交通运输行业主管部门： 签字（盖章）                                               日期：</w:t>
            </w:r>
          </w:p>
        </w:tc>
      </w:tr>
      <w:tr>
        <w:trPr>
          <w:trHeight w:val="492" w:hRule="atLeast"/>
          <w:jc w:val="center"/>
        </w:trPr>
        <w:tc>
          <w:tcPr>
            <w:tcW w:w="14528" w:type="dxa"/>
            <w:gridSpan w:val="18"/>
            <w:tcBorders>
              <w:top w:val="nil"/>
              <w:left w:val="nil"/>
              <w:bottom w:val="nil"/>
              <w:right w:val="nil"/>
            </w:tcBorders>
            <w:vAlign w:val="center"/>
          </w:tcPr>
          <w:p>
            <w:pPr>
              <w:widowControl/>
              <w:spacing w:line="2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p>
            <w:pPr>
              <w:widowControl/>
              <w:spacing w:line="260" w:lineRule="exact"/>
              <w:jc w:val="left"/>
              <w:rPr>
                <w:rFonts w:ascii="仿宋_GB2312" w:hAnsi="宋体" w:eastAsia="仿宋_GB2312" w:cs="宋体"/>
                <w:color w:val="000000"/>
                <w:kern w:val="0"/>
                <w:sz w:val="24"/>
              </w:rPr>
            </w:pPr>
          </w:p>
          <w:p>
            <w:pPr>
              <w:widowControl/>
              <w:spacing w:line="2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市州交通运输局： 签字（盖章）                                                         日期：</w:t>
            </w:r>
          </w:p>
        </w:tc>
      </w:tr>
    </w:tbl>
    <w:p>
      <w:r>
        <w:br w:type="page"/>
      </w:r>
    </w:p>
    <w:tbl>
      <w:tblPr>
        <w:tblStyle w:val="7"/>
        <w:tblW w:w="14550" w:type="dxa"/>
        <w:jc w:val="center"/>
        <w:tblLayout w:type="fixed"/>
        <w:tblCellMar>
          <w:top w:w="0" w:type="dxa"/>
          <w:left w:w="108" w:type="dxa"/>
          <w:bottom w:w="0" w:type="dxa"/>
          <w:right w:w="108" w:type="dxa"/>
        </w:tblCellMar>
      </w:tblPr>
      <w:tblGrid>
        <w:gridCol w:w="567"/>
        <w:gridCol w:w="851"/>
        <w:gridCol w:w="709"/>
        <w:gridCol w:w="709"/>
        <w:gridCol w:w="992"/>
        <w:gridCol w:w="1197"/>
        <w:gridCol w:w="995"/>
        <w:gridCol w:w="702"/>
        <w:gridCol w:w="702"/>
        <w:gridCol w:w="1234"/>
        <w:gridCol w:w="702"/>
        <w:gridCol w:w="1263"/>
        <w:gridCol w:w="702"/>
        <w:gridCol w:w="1262"/>
        <w:gridCol w:w="1194"/>
        <w:gridCol w:w="343"/>
        <w:gridCol w:w="426"/>
      </w:tblGrid>
      <w:tr>
        <w:trPr>
          <w:gridAfter w:val="1"/>
          <w:wAfter w:w="426" w:type="dxa"/>
          <w:trHeight w:val="709" w:hRule="atLeast"/>
          <w:jc w:val="center"/>
        </w:trPr>
        <w:tc>
          <w:tcPr>
            <w:tcW w:w="14124" w:type="dxa"/>
            <w:gridSpan w:val="16"/>
            <w:tcBorders>
              <w:top w:val="nil"/>
              <w:left w:val="nil"/>
              <w:bottom w:val="nil"/>
              <w:right w:val="nil"/>
            </w:tcBorders>
            <w:vAlign w:val="center"/>
          </w:tcPr>
          <w:p>
            <w:pPr>
              <w:widowControl/>
              <w:ind w:firstLine="3040" w:firstLineChars="950"/>
              <w:rPr>
                <w:rFonts w:ascii="方正小标宋简体" w:hAnsi="宋体" w:eastAsia="方正小标宋简体" w:cs="宋体"/>
                <w:bCs/>
                <w:color w:val="000000"/>
                <w:kern w:val="0"/>
                <w:sz w:val="32"/>
                <w:szCs w:val="32"/>
              </w:rPr>
            </w:pPr>
          </w:p>
          <w:p>
            <w:pPr>
              <w:widowControl/>
              <w:jc w:val="center"/>
              <w:rPr>
                <w:rFonts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湖南省     年第    次水运施工企业信用评价表    表3</w:t>
            </w:r>
          </w:p>
        </w:tc>
      </w:tr>
      <w:tr>
        <w:trPr>
          <w:trHeight w:val="454" w:hRule="atLeast"/>
          <w:jc w:val="center"/>
        </w:trPr>
        <w:tc>
          <w:tcPr>
            <w:tcW w:w="56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序号</w:t>
            </w:r>
          </w:p>
        </w:tc>
        <w:tc>
          <w:tcPr>
            <w:tcW w:w="851"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施工企业名称</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组织机构代码证</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企业资质</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建设项目及合同段</w:t>
            </w:r>
          </w:p>
        </w:tc>
        <w:tc>
          <w:tcPr>
            <w:tcW w:w="119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工程内容</w:t>
            </w:r>
          </w:p>
        </w:tc>
        <w:tc>
          <w:tcPr>
            <w:tcW w:w="99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评价次数及周期</w:t>
            </w:r>
          </w:p>
        </w:tc>
        <w:tc>
          <w:tcPr>
            <w:tcW w:w="70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工程量完成情况</w:t>
            </w:r>
          </w:p>
        </w:tc>
        <w:tc>
          <w:tcPr>
            <w:tcW w:w="1936" w:type="dxa"/>
            <w:gridSpan w:val="2"/>
            <w:tcBorders>
              <w:top w:val="single" w:color="auto" w:sz="4" w:space="0"/>
              <w:left w:val="nil"/>
              <w:bottom w:val="nil"/>
              <w:right w:val="single" w:color="000000"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投标行为评价</w:t>
            </w:r>
          </w:p>
        </w:tc>
        <w:tc>
          <w:tcPr>
            <w:tcW w:w="1965" w:type="dxa"/>
            <w:gridSpan w:val="2"/>
            <w:tcBorders>
              <w:top w:val="single" w:color="auto" w:sz="4" w:space="0"/>
              <w:left w:val="nil"/>
              <w:bottom w:val="single" w:color="auto" w:sz="4" w:space="0"/>
              <w:right w:val="single" w:color="000000"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履约行为评价</w:t>
            </w:r>
          </w:p>
        </w:tc>
        <w:tc>
          <w:tcPr>
            <w:tcW w:w="1964" w:type="dxa"/>
            <w:gridSpan w:val="2"/>
            <w:tcBorders>
              <w:top w:val="single" w:color="auto" w:sz="4" w:space="0"/>
              <w:left w:val="nil"/>
              <w:bottom w:val="single" w:color="auto" w:sz="4" w:space="0"/>
              <w:right w:val="single" w:color="000000"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其他行为评价</w:t>
            </w:r>
          </w:p>
        </w:tc>
        <w:tc>
          <w:tcPr>
            <w:tcW w:w="1194" w:type="dxa"/>
            <w:vMerge w:val="restart"/>
            <w:tcBorders>
              <w:top w:val="single" w:color="auto" w:sz="4" w:space="0"/>
              <w:left w:val="nil"/>
              <w:right w:val="single" w:color="auto"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扣分依据</w:t>
            </w:r>
          </w:p>
          <w:p>
            <w:pPr>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　</w:t>
            </w:r>
          </w:p>
        </w:tc>
        <w:tc>
          <w:tcPr>
            <w:tcW w:w="769" w:type="dxa"/>
            <w:gridSpan w:val="2"/>
            <w:vMerge w:val="restart"/>
            <w:tcBorders>
              <w:top w:val="single" w:color="auto" w:sz="4" w:space="0"/>
              <w:left w:val="nil"/>
              <w:right w:val="single" w:color="auto"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备注</w:t>
            </w:r>
          </w:p>
          <w:p>
            <w:pPr>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　</w:t>
            </w:r>
          </w:p>
        </w:tc>
      </w:tr>
      <w:tr>
        <w:trPr>
          <w:trHeight w:val="1016" w:hRule="atLeast"/>
          <w:jc w:val="center"/>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黑体" w:hAnsi="宋体" w:eastAsia="黑体" w:cs="宋体"/>
                <w:color w:val="000000"/>
                <w:kern w:val="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黑体" w:hAnsi="宋体" w:eastAsia="黑体" w:cs="宋体"/>
                <w:color w:val="000000"/>
                <w:kern w:val="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黑体" w:hAnsi="宋体" w:eastAsia="黑体" w:cs="宋体"/>
                <w:color w:val="000000"/>
                <w:kern w:val="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黑体" w:hAnsi="宋体" w:eastAsia="黑体" w:cs="宋体"/>
                <w:color w:val="000000"/>
                <w:kern w:val="0"/>
                <w:sz w:val="20"/>
                <w:szCs w:val="20"/>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黑体" w:hAnsi="宋体" w:eastAsia="黑体" w:cs="宋体"/>
                <w:color w:val="000000"/>
                <w:kern w:val="0"/>
                <w:sz w:val="20"/>
                <w:szCs w:val="20"/>
              </w:rPr>
            </w:pPr>
          </w:p>
        </w:tc>
        <w:tc>
          <w:tcPr>
            <w:tcW w:w="119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黑体" w:hAnsi="宋体" w:eastAsia="黑体" w:cs="宋体"/>
                <w:color w:val="000000"/>
                <w:kern w:val="0"/>
                <w:sz w:val="20"/>
                <w:szCs w:val="20"/>
              </w:rPr>
            </w:pPr>
          </w:p>
        </w:tc>
        <w:tc>
          <w:tcPr>
            <w:tcW w:w="99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黑体" w:hAnsi="宋体" w:eastAsia="黑体" w:cs="宋体"/>
                <w:color w:val="000000"/>
                <w:kern w:val="0"/>
                <w:sz w:val="20"/>
                <w:szCs w:val="20"/>
              </w:rPr>
            </w:pPr>
          </w:p>
        </w:tc>
        <w:tc>
          <w:tcPr>
            <w:tcW w:w="70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黑体" w:hAnsi="宋体" w:eastAsia="黑体" w:cs="宋体"/>
                <w:color w:val="000000"/>
                <w:kern w:val="0"/>
                <w:sz w:val="20"/>
                <w:szCs w:val="20"/>
              </w:rPr>
            </w:pPr>
          </w:p>
        </w:tc>
        <w:tc>
          <w:tcPr>
            <w:tcW w:w="70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个数</w:t>
            </w:r>
          </w:p>
        </w:tc>
        <w:tc>
          <w:tcPr>
            <w:tcW w:w="12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省级交通行业发展机构复核评分</w:t>
            </w:r>
          </w:p>
        </w:tc>
        <w:tc>
          <w:tcPr>
            <w:tcW w:w="702" w:type="dxa"/>
            <w:tcBorders>
              <w:top w:val="nil"/>
              <w:left w:val="nil"/>
              <w:bottom w:val="single" w:color="auto" w:sz="4" w:space="0"/>
              <w:right w:val="single" w:color="auto"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个数</w:t>
            </w:r>
          </w:p>
        </w:tc>
        <w:tc>
          <w:tcPr>
            <w:tcW w:w="1263" w:type="dxa"/>
            <w:tcBorders>
              <w:top w:val="nil"/>
              <w:left w:val="nil"/>
              <w:bottom w:val="single" w:color="auto" w:sz="4" w:space="0"/>
              <w:right w:val="single" w:color="auto"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省级交通行业发展机构复核评分</w:t>
            </w:r>
          </w:p>
        </w:tc>
        <w:tc>
          <w:tcPr>
            <w:tcW w:w="702" w:type="dxa"/>
            <w:tcBorders>
              <w:top w:val="nil"/>
              <w:left w:val="nil"/>
              <w:bottom w:val="single" w:color="auto" w:sz="4" w:space="0"/>
              <w:right w:val="single" w:color="auto"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个数</w:t>
            </w:r>
          </w:p>
        </w:tc>
        <w:tc>
          <w:tcPr>
            <w:tcW w:w="1262" w:type="dxa"/>
            <w:tcBorders>
              <w:top w:val="nil"/>
              <w:left w:val="nil"/>
              <w:bottom w:val="single" w:color="auto" w:sz="4" w:space="0"/>
              <w:right w:val="single" w:color="auto" w:sz="4" w:space="0"/>
            </w:tcBorders>
            <w:vAlign w:val="center"/>
          </w:tcPr>
          <w:p>
            <w:pPr>
              <w:widowControl/>
              <w:spacing w:line="300" w:lineRule="exact"/>
              <w:jc w:val="center"/>
              <w:rPr>
                <w:rFonts w:ascii="黑体" w:hAnsi="宋体" w:eastAsia="黑体" w:cs="宋体"/>
                <w:color w:val="000000"/>
                <w:kern w:val="0"/>
                <w:sz w:val="24"/>
              </w:rPr>
            </w:pPr>
            <w:r>
              <w:rPr>
                <w:rFonts w:hint="eastAsia" w:ascii="黑体" w:hAnsi="宋体" w:eastAsia="黑体" w:cs="宋体"/>
                <w:color w:val="000000"/>
                <w:kern w:val="0"/>
                <w:sz w:val="24"/>
              </w:rPr>
              <w:t>省级交通行业发展机构评分</w:t>
            </w:r>
          </w:p>
        </w:tc>
        <w:tc>
          <w:tcPr>
            <w:tcW w:w="1194" w:type="dxa"/>
            <w:vMerge w:val="continue"/>
            <w:tcBorders>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p>
        </w:tc>
        <w:tc>
          <w:tcPr>
            <w:tcW w:w="769" w:type="dxa"/>
            <w:gridSpan w:val="2"/>
            <w:vMerge w:val="continue"/>
            <w:tcBorders>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p>
        </w:tc>
      </w:tr>
      <w:tr>
        <w:trPr>
          <w:trHeight w:val="397" w:hRule="atLeast"/>
          <w:jc w:val="center"/>
        </w:trPr>
        <w:tc>
          <w:tcPr>
            <w:tcW w:w="567" w:type="dxa"/>
            <w:vMerge w:val="restart"/>
            <w:tcBorders>
              <w:top w:val="nil"/>
              <w:left w:val="single" w:color="auto" w:sz="4" w:space="0"/>
              <w:bottom w:val="nil"/>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851" w:type="dxa"/>
            <w:vMerge w:val="restart"/>
            <w:tcBorders>
              <w:top w:val="nil"/>
              <w:left w:val="single" w:color="auto" w:sz="4" w:space="0"/>
              <w:bottom w:val="nil"/>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vMerge w:val="restart"/>
            <w:tcBorders>
              <w:top w:val="nil"/>
              <w:left w:val="single" w:color="auto" w:sz="4" w:space="0"/>
              <w:bottom w:val="nil"/>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vMerge w:val="restart"/>
            <w:tcBorders>
              <w:top w:val="nil"/>
              <w:left w:val="single" w:color="auto" w:sz="4" w:space="0"/>
              <w:bottom w:val="nil"/>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2"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*项目**合同段</w:t>
            </w:r>
          </w:p>
        </w:tc>
        <w:tc>
          <w:tcPr>
            <w:tcW w:w="1197"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第Ⅰ次</w:t>
            </w:r>
          </w:p>
        </w:tc>
        <w:tc>
          <w:tcPr>
            <w:tcW w:w="70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2" w:type="dxa"/>
            <w:vMerge w:val="restart"/>
            <w:tcBorders>
              <w:top w:val="nil"/>
              <w:left w:val="single" w:color="auto" w:sz="4" w:space="0"/>
              <w:bottom w:val="nil"/>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3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2" w:type="dxa"/>
            <w:vMerge w:val="restart"/>
            <w:tcBorders>
              <w:top w:val="nil"/>
              <w:left w:val="single" w:color="auto" w:sz="4" w:space="0"/>
              <w:bottom w:val="nil"/>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63" w:type="dxa"/>
            <w:tcBorders>
              <w:top w:val="nil"/>
              <w:left w:val="nil"/>
              <w:bottom w:val="single" w:color="auto" w:sz="4" w:space="0"/>
              <w:right w:val="single" w:color="auto" w:sz="4" w:space="0"/>
            </w:tcBorders>
            <w:vAlign w:val="center"/>
          </w:tcPr>
          <w:p>
            <w:pPr>
              <w:widowControl/>
              <w:spacing w:line="300" w:lineRule="exact"/>
              <w:ind w:firstLine="240" w:firstLineChars="1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注②</w:t>
            </w:r>
          </w:p>
        </w:tc>
        <w:tc>
          <w:tcPr>
            <w:tcW w:w="702" w:type="dxa"/>
            <w:vMerge w:val="restart"/>
            <w:tcBorders>
              <w:top w:val="nil"/>
              <w:left w:val="single" w:color="auto" w:sz="4" w:space="0"/>
              <w:bottom w:val="nil"/>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6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注</w:t>
            </w:r>
            <w:r>
              <w:rPr>
                <w:rFonts w:hint="eastAsia" w:ascii="仿宋_GB2312" w:hAnsi="宋体" w:eastAsia="仿宋_GB2312" w:cs="宋体"/>
                <w:bCs/>
                <w:color w:val="000000"/>
                <w:kern w:val="0"/>
                <w:sz w:val="24"/>
              </w:rPr>
              <w:t>④</w:t>
            </w:r>
          </w:p>
        </w:tc>
        <w:tc>
          <w:tcPr>
            <w:tcW w:w="119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6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4"/>
              </w:rPr>
            </w:pPr>
            <w:r>
              <w:rPr>
                <w:rFonts w:hint="eastAsia" w:ascii="宋体" w:hAnsi="宋体" w:cs="宋体"/>
                <w:color w:val="000000"/>
                <w:kern w:val="0"/>
                <w:sz w:val="24"/>
              </w:rPr>
              <w:t>　</w:t>
            </w:r>
          </w:p>
        </w:tc>
      </w:tr>
      <w:tr>
        <w:trPr>
          <w:trHeight w:val="397" w:hRule="atLeast"/>
          <w:jc w:val="center"/>
        </w:trPr>
        <w:tc>
          <w:tcPr>
            <w:tcW w:w="567"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851"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9"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9"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197"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99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第Ⅱ次</w:t>
            </w:r>
          </w:p>
        </w:tc>
        <w:tc>
          <w:tcPr>
            <w:tcW w:w="70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p>
        </w:tc>
        <w:tc>
          <w:tcPr>
            <w:tcW w:w="702"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3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2"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6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2"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6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p>
        </w:tc>
        <w:tc>
          <w:tcPr>
            <w:tcW w:w="119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6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4"/>
              </w:rPr>
            </w:pPr>
          </w:p>
        </w:tc>
      </w:tr>
      <w:tr>
        <w:trPr>
          <w:trHeight w:val="351" w:hRule="atLeast"/>
          <w:jc w:val="center"/>
        </w:trPr>
        <w:tc>
          <w:tcPr>
            <w:tcW w:w="567"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851"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9"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9"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197"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99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第Ⅲ次</w:t>
            </w:r>
          </w:p>
        </w:tc>
        <w:tc>
          <w:tcPr>
            <w:tcW w:w="70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2"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3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2"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6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2"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6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p>
        </w:tc>
        <w:tc>
          <w:tcPr>
            <w:tcW w:w="119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6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4"/>
              </w:rPr>
            </w:pPr>
            <w:r>
              <w:rPr>
                <w:rFonts w:hint="eastAsia" w:ascii="宋体" w:hAnsi="宋体" w:cs="宋体"/>
                <w:color w:val="000000"/>
                <w:kern w:val="0"/>
                <w:sz w:val="24"/>
              </w:rPr>
              <w:t>　</w:t>
            </w:r>
          </w:p>
        </w:tc>
      </w:tr>
      <w:tr>
        <w:trPr>
          <w:trHeight w:val="397" w:hRule="atLeast"/>
          <w:jc w:val="center"/>
        </w:trPr>
        <w:tc>
          <w:tcPr>
            <w:tcW w:w="567"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851"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9"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9"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197"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99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全年</w:t>
            </w:r>
          </w:p>
        </w:tc>
        <w:tc>
          <w:tcPr>
            <w:tcW w:w="70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2"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34" w:type="dxa"/>
            <w:tcBorders>
              <w:top w:val="nil"/>
              <w:left w:val="nil"/>
              <w:bottom w:val="single" w:color="auto" w:sz="4" w:space="0"/>
              <w:right w:val="single" w:color="auto" w:sz="4" w:space="0"/>
            </w:tcBorders>
            <w:vAlign w:val="center"/>
          </w:tcPr>
          <w:p>
            <w:pPr>
              <w:pStyle w:val="10"/>
              <w:widowControl/>
              <w:numPr>
                <w:ilvl w:val="0"/>
                <w:numId w:val="3"/>
              </w:numPr>
              <w:spacing w:line="300" w:lineRule="exact"/>
              <w:ind w:firstLineChars="0"/>
              <w:jc w:val="left"/>
              <w:rPr>
                <w:rFonts w:ascii="仿宋_GB2312" w:hAnsi="宋体" w:eastAsia="仿宋_GB2312" w:cs="宋体"/>
                <w:color w:val="000000"/>
                <w:kern w:val="0"/>
                <w:sz w:val="24"/>
              </w:rPr>
            </w:pPr>
          </w:p>
        </w:tc>
        <w:tc>
          <w:tcPr>
            <w:tcW w:w="702"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63" w:type="dxa"/>
            <w:tcBorders>
              <w:top w:val="nil"/>
              <w:left w:val="nil"/>
              <w:bottom w:val="single" w:color="auto" w:sz="4" w:space="0"/>
              <w:right w:val="single" w:color="auto" w:sz="4" w:space="0"/>
            </w:tcBorders>
            <w:vAlign w:val="center"/>
          </w:tcPr>
          <w:p>
            <w:pPr>
              <w:widowControl/>
              <w:spacing w:line="300" w:lineRule="exact"/>
              <w:ind w:firstLine="240" w:firstLineChars="100"/>
              <w:jc w:val="left"/>
              <w:rPr>
                <w:rFonts w:ascii="仿宋_GB2312" w:hAnsi="宋体" w:eastAsia="仿宋_GB2312" w:cs="宋体"/>
                <w:color w:val="000000"/>
                <w:kern w:val="0"/>
                <w:sz w:val="24"/>
              </w:rPr>
            </w:pPr>
            <w:r>
              <w:rPr>
                <w:rFonts w:hint="eastAsia" w:ascii="仿宋_GB2312" w:hAnsi="宋体" w:eastAsia="仿宋_GB2312" w:cs="宋体"/>
                <w:bCs/>
                <w:color w:val="000000"/>
                <w:kern w:val="0"/>
                <w:sz w:val="24"/>
              </w:rPr>
              <w:t>注③</w:t>
            </w:r>
          </w:p>
        </w:tc>
        <w:tc>
          <w:tcPr>
            <w:tcW w:w="702" w:type="dxa"/>
            <w:vMerge w:val="continue"/>
            <w:tcBorders>
              <w:top w:val="nil"/>
              <w:left w:val="single" w:color="auto" w:sz="4" w:space="0"/>
              <w:bottom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6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注</w:t>
            </w:r>
            <w:r>
              <w:rPr>
                <w:rFonts w:hint="eastAsia" w:ascii="仿宋_GB2312" w:hAnsi="宋体" w:eastAsia="仿宋_GB2312" w:cs="宋体"/>
                <w:bCs/>
                <w:color w:val="000000"/>
                <w:kern w:val="0"/>
                <w:sz w:val="24"/>
              </w:rPr>
              <w:t>⑤</w:t>
            </w:r>
          </w:p>
        </w:tc>
        <w:tc>
          <w:tcPr>
            <w:tcW w:w="119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6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4"/>
              </w:rPr>
            </w:pPr>
            <w:r>
              <w:rPr>
                <w:rFonts w:hint="eastAsia" w:ascii="宋体" w:hAnsi="宋体" w:cs="宋体"/>
                <w:color w:val="000000"/>
                <w:kern w:val="0"/>
                <w:sz w:val="24"/>
              </w:rPr>
              <w:t>　</w:t>
            </w:r>
          </w:p>
        </w:tc>
      </w:tr>
      <w:tr>
        <w:trPr>
          <w:trHeight w:val="397" w:hRule="atLeast"/>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2" w:type="dxa"/>
            <w:vMerge w:val="restart"/>
            <w:tcBorders>
              <w:top w:val="nil"/>
              <w:left w:val="nil"/>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*项目**合同段</w:t>
            </w:r>
          </w:p>
        </w:tc>
        <w:tc>
          <w:tcPr>
            <w:tcW w:w="1197" w:type="dxa"/>
            <w:vMerge w:val="restart"/>
            <w:tcBorders>
              <w:top w:val="nil"/>
              <w:left w:val="nil"/>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第Ⅰ次</w:t>
            </w:r>
          </w:p>
        </w:tc>
        <w:tc>
          <w:tcPr>
            <w:tcW w:w="70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3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63" w:type="dxa"/>
            <w:tcBorders>
              <w:top w:val="nil"/>
              <w:left w:val="nil"/>
              <w:bottom w:val="single" w:color="auto" w:sz="4" w:space="0"/>
              <w:right w:val="single" w:color="auto" w:sz="4" w:space="0"/>
            </w:tcBorders>
            <w:vAlign w:val="center"/>
          </w:tcPr>
          <w:p>
            <w:pPr>
              <w:widowControl/>
              <w:spacing w:line="300" w:lineRule="exact"/>
              <w:ind w:firstLine="240" w:firstLineChars="1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注②</w:t>
            </w:r>
          </w:p>
        </w:tc>
        <w:tc>
          <w:tcPr>
            <w:tcW w:w="70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6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注</w:t>
            </w:r>
            <w:r>
              <w:rPr>
                <w:rFonts w:hint="eastAsia" w:ascii="仿宋_GB2312" w:hAnsi="宋体" w:eastAsia="仿宋_GB2312" w:cs="宋体"/>
                <w:bCs/>
                <w:color w:val="000000"/>
                <w:kern w:val="0"/>
                <w:sz w:val="24"/>
              </w:rPr>
              <w:t>④</w:t>
            </w:r>
          </w:p>
        </w:tc>
        <w:tc>
          <w:tcPr>
            <w:tcW w:w="119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6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4"/>
              </w:rPr>
            </w:pPr>
          </w:p>
        </w:tc>
      </w:tr>
      <w:tr>
        <w:trPr>
          <w:trHeight w:val="39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992" w:type="dxa"/>
            <w:vMerge w:val="continue"/>
            <w:tcBorders>
              <w:left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197" w:type="dxa"/>
            <w:vMerge w:val="continue"/>
            <w:tcBorders>
              <w:left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99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第Ⅱ次</w:t>
            </w:r>
          </w:p>
        </w:tc>
        <w:tc>
          <w:tcPr>
            <w:tcW w:w="70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p>
        </w:tc>
        <w:tc>
          <w:tcPr>
            <w:tcW w:w="702"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3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2"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6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2"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6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p>
        </w:tc>
        <w:tc>
          <w:tcPr>
            <w:tcW w:w="119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6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4"/>
              </w:rPr>
            </w:pPr>
          </w:p>
        </w:tc>
      </w:tr>
      <w:tr>
        <w:trPr>
          <w:trHeight w:val="39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992" w:type="dxa"/>
            <w:vMerge w:val="continue"/>
            <w:tcBorders>
              <w:left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197" w:type="dxa"/>
            <w:vMerge w:val="continue"/>
            <w:tcBorders>
              <w:left w:val="nil"/>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99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第Ⅲ次</w:t>
            </w:r>
          </w:p>
        </w:tc>
        <w:tc>
          <w:tcPr>
            <w:tcW w:w="70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2"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3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2"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6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2"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6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p>
        </w:tc>
        <w:tc>
          <w:tcPr>
            <w:tcW w:w="119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6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4"/>
              </w:rPr>
            </w:pPr>
          </w:p>
        </w:tc>
      </w:tr>
      <w:tr>
        <w:trPr>
          <w:trHeight w:val="397"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992" w:type="dxa"/>
            <w:vMerge w:val="continue"/>
            <w:tcBorders>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197" w:type="dxa"/>
            <w:vMerge w:val="continue"/>
            <w:tcBorders>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995"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全年</w:t>
            </w:r>
          </w:p>
        </w:tc>
        <w:tc>
          <w:tcPr>
            <w:tcW w:w="70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2"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34" w:type="dxa"/>
            <w:tcBorders>
              <w:top w:val="nil"/>
              <w:left w:val="nil"/>
              <w:bottom w:val="single" w:color="auto" w:sz="4" w:space="0"/>
              <w:right w:val="single" w:color="auto" w:sz="4" w:space="0"/>
            </w:tcBorders>
            <w:vAlign w:val="center"/>
          </w:tcPr>
          <w:p>
            <w:pPr>
              <w:pStyle w:val="10"/>
              <w:widowControl/>
              <w:numPr>
                <w:ilvl w:val="0"/>
                <w:numId w:val="4"/>
              </w:numPr>
              <w:spacing w:line="300" w:lineRule="exact"/>
              <w:ind w:firstLineChars="0"/>
              <w:jc w:val="left"/>
              <w:rPr>
                <w:rFonts w:ascii="仿宋_GB2312" w:hAnsi="宋体" w:eastAsia="仿宋_GB2312" w:cs="宋体"/>
                <w:color w:val="000000"/>
                <w:kern w:val="0"/>
                <w:sz w:val="24"/>
              </w:rPr>
            </w:pPr>
          </w:p>
        </w:tc>
        <w:tc>
          <w:tcPr>
            <w:tcW w:w="702"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63" w:type="dxa"/>
            <w:tcBorders>
              <w:top w:val="nil"/>
              <w:left w:val="nil"/>
              <w:bottom w:val="single" w:color="auto" w:sz="4" w:space="0"/>
              <w:right w:val="single" w:color="auto" w:sz="4" w:space="0"/>
            </w:tcBorders>
            <w:vAlign w:val="center"/>
          </w:tcPr>
          <w:p>
            <w:pPr>
              <w:widowControl/>
              <w:spacing w:line="300" w:lineRule="exact"/>
              <w:ind w:firstLine="240" w:firstLineChars="1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注</w:t>
            </w:r>
            <w:r>
              <w:rPr>
                <w:rFonts w:hint="eastAsia" w:ascii="仿宋_GB2312" w:hAnsi="宋体" w:eastAsia="仿宋_GB2312" w:cs="宋体"/>
                <w:bCs/>
                <w:color w:val="000000"/>
                <w:kern w:val="0"/>
                <w:sz w:val="24"/>
              </w:rPr>
              <w:t>③</w:t>
            </w:r>
          </w:p>
        </w:tc>
        <w:tc>
          <w:tcPr>
            <w:tcW w:w="702"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p>
        </w:tc>
        <w:tc>
          <w:tcPr>
            <w:tcW w:w="126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注</w:t>
            </w:r>
            <w:r>
              <w:rPr>
                <w:rFonts w:hint="eastAsia" w:ascii="仿宋_GB2312" w:hAnsi="宋体" w:eastAsia="仿宋_GB2312" w:cs="宋体"/>
                <w:bCs/>
                <w:color w:val="000000"/>
                <w:kern w:val="0"/>
                <w:sz w:val="24"/>
              </w:rPr>
              <w:t>⑤</w:t>
            </w:r>
          </w:p>
        </w:tc>
        <w:tc>
          <w:tcPr>
            <w:tcW w:w="119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6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r>
      <w:tr>
        <w:trPr>
          <w:gridAfter w:val="1"/>
          <w:wAfter w:w="426" w:type="dxa"/>
          <w:trHeight w:val="402" w:hRule="atLeast"/>
          <w:jc w:val="center"/>
        </w:trPr>
        <w:tc>
          <w:tcPr>
            <w:tcW w:w="14124" w:type="dxa"/>
            <w:gridSpan w:val="16"/>
            <w:tcBorders>
              <w:top w:val="single" w:color="auto" w:sz="4" w:space="0"/>
              <w:left w:val="nil"/>
              <w:bottom w:val="nil"/>
              <w:right w:val="nil"/>
            </w:tcBorders>
            <w:vAlign w:val="center"/>
          </w:tcPr>
          <w:p>
            <w:pPr>
              <w:widowControl/>
              <w:spacing w:line="300" w:lineRule="exact"/>
              <w:ind w:left="630" w:hanging="630" w:hangingChars="3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注：1.此表由省级交通行业发展机构评价填写，当省级交通行业发展机构复核评分与建设项目（市州）评分不一致时，须在“扣分依据”及“备注”栏中详细注明。</w:t>
            </w:r>
          </w:p>
          <w:p>
            <w:pPr>
              <w:widowControl/>
              <w:spacing w:line="3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2.填表备注同表2 </w:t>
            </w:r>
          </w:p>
        </w:tc>
      </w:tr>
      <w:tr>
        <w:trPr>
          <w:gridAfter w:val="1"/>
          <w:wAfter w:w="426" w:type="dxa"/>
          <w:trHeight w:val="450" w:hRule="atLeast"/>
          <w:jc w:val="center"/>
        </w:trPr>
        <w:tc>
          <w:tcPr>
            <w:tcW w:w="14124" w:type="dxa"/>
            <w:gridSpan w:val="16"/>
            <w:tcBorders>
              <w:top w:val="nil"/>
              <w:left w:val="nil"/>
              <w:bottom w:val="nil"/>
              <w:right w:val="nil"/>
            </w:tcBorders>
            <w:vAlign w:val="center"/>
          </w:tcPr>
          <w:p>
            <w:pPr>
              <w:widowControl/>
              <w:spacing w:line="300" w:lineRule="exact"/>
              <w:ind w:firstLine="420" w:firstLineChars="200"/>
              <w:jc w:val="left"/>
              <w:rPr>
                <w:rFonts w:ascii="仿宋_GB2312" w:hAnsi="宋体" w:eastAsia="仿宋_GB2312" w:cs="宋体"/>
                <w:color w:val="000000"/>
                <w:kern w:val="0"/>
                <w:szCs w:val="21"/>
              </w:rPr>
            </w:pPr>
          </w:p>
          <w:p>
            <w:pPr>
              <w:widowControl/>
              <w:spacing w:line="300" w:lineRule="exact"/>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省级交通行业发展机构： 签字 （盖章）                                                                日期：</w:t>
            </w:r>
          </w:p>
        </w:tc>
      </w:tr>
    </w:tbl>
    <w:p>
      <w:r>
        <w:br w:type="page"/>
      </w:r>
    </w:p>
    <w:tbl>
      <w:tblPr>
        <w:tblStyle w:val="7"/>
        <w:tblW w:w="14499" w:type="dxa"/>
        <w:tblInd w:w="-743" w:type="dxa"/>
        <w:tblLayout w:type="fixed"/>
        <w:tblCellMar>
          <w:top w:w="0" w:type="dxa"/>
          <w:left w:w="108" w:type="dxa"/>
          <w:bottom w:w="0" w:type="dxa"/>
          <w:right w:w="108" w:type="dxa"/>
        </w:tblCellMar>
      </w:tblPr>
      <w:tblGrid>
        <w:gridCol w:w="509"/>
        <w:gridCol w:w="724"/>
        <w:gridCol w:w="703"/>
        <w:gridCol w:w="836"/>
        <w:gridCol w:w="1045"/>
        <w:gridCol w:w="1276"/>
        <w:gridCol w:w="992"/>
        <w:gridCol w:w="992"/>
        <w:gridCol w:w="709"/>
        <w:gridCol w:w="1003"/>
        <w:gridCol w:w="709"/>
        <w:gridCol w:w="1134"/>
        <w:gridCol w:w="709"/>
        <w:gridCol w:w="992"/>
        <w:gridCol w:w="1276"/>
        <w:gridCol w:w="880"/>
        <w:gridCol w:w="10"/>
      </w:tblGrid>
      <w:tr>
        <w:tblPrEx>
          <w:tblCellMar>
            <w:top w:w="0" w:type="dxa"/>
            <w:left w:w="108" w:type="dxa"/>
            <w:bottom w:w="0" w:type="dxa"/>
            <w:right w:w="108" w:type="dxa"/>
          </w:tblCellMar>
        </w:tblPrEx>
        <w:trPr>
          <w:gridAfter w:val="1"/>
          <w:wAfter w:w="10" w:type="dxa"/>
          <w:trHeight w:val="525" w:hRule="atLeast"/>
        </w:trPr>
        <w:tc>
          <w:tcPr>
            <w:tcW w:w="14489" w:type="dxa"/>
            <w:gridSpan w:val="16"/>
            <w:tcBorders>
              <w:top w:val="nil"/>
              <w:left w:val="nil"/>
              <w:bottom w:val="single" w:color="auto" w:sz="4" w:space="0"/>
              <w:right w:val="nil"/>
            </w:tcBorders>
            <w:vAlign w:val="center"/>
          </w:tcPr>
          <w:p>
            <w:pPr>
              <w:widowControl/>
              <w:jc w:val="center"/>
              <w:rPr>
                <w:rFonts w:ascii="方正小标宋简体" w:hAnsi="宋体" w:eastAsia="方正小标宋简体" w:cs="宋体"/>
                <w:bCs/>
                <w:color w:val="000000"/>
                <w:kern w:val="0"/>
                <w:sz w:val="32"/>
                <w:szCs w:val="32"/>
              </w:rPr>
            </w:pPr>
          </w:p>
          <w:p>
            <w:pPr>
              <w:widowControl/>
              <w:jc w:val="center"/>
              <w:rPr>
                <w:rFonts w:ascii="方正小标宋简体" w:hAnsi="宋体" w:eastAsia="方正小标宋简体" w:cs="宋体"/>
                <w:bCs/>
                <w:color w:val="000000"/>
                <w:kern w:val="0"/>
                <w:sz w:val="32"/>
                <w:szCs w:val="32"/>
              </w:rPr>
            </w:pPr>
            <w:r>
              <w:rPr>
                <w:rFonts w:hint="eastAsia" w:ascii="方正小标宋简体" w:hAnsi="宋体" w:eastAsia="方正小标宋简体" w:cs="宋体"/>
                <w:bCs/>
                <w:color w:val="000000"/>
                <w:kern w:val="0"/>
                <w:sz w:val="36"/>
                <w:szCs w:val="32"/>
              </w:rPr>
              <w:t>湖南省</w:t>
            </w:r>
            <w:r>
              <w:rPr>
                <w:rFonts w:hint="eastAsia" w:ascii="方正小标宋简体" w:hAnsi="宋体" w:eastAsia="方正小标宋简体" w:cs="宋体"/>
                <w:color w:val="000000"/>
                <w:kern w:val="0"/>
                <w:sz w:val="36"/>
                <w:szCs w:val="32"/>
                <w:u w:val="single"/>
              </w:rPr>
              <w:t xml:space="preserve">     </w:t>
            </w:r>
            <w:r>
              <w:rPr>
                <w:rFonts w:hint="eastAsia" w:ascii="方正小标宋简体" w:hAnsi="宋体" w:eastAsia="方正小标宋简体" w:cs="宋体"/>
                <w:color w:val="000000"/>
                <w:kern w:val="0"/>
                <w:sz w:val="36"/>
                <w:szCs w:val="32"/>
              </w:rPr>
              <w:t>年</w:t>
            </w:r>
            <w:r>
              <w:rPr>
                <w:rFonts w:hint="eastAsia" w:ascii="方正小标宋简体" w:hAnsi="宋体" w:eastAsia="方正小标宋简体" w:cs="宋体"/>
                <w:bCs/>
                <w:color w:val="000000"/>
                <w:kern w:val="0"/>
                <w:sz w:val="36"/>
                <w:szCs w:val="32"/>
              </w:rPr>
              <w:t>第</w:t>
            </w:r>
            <w:r>
              <w:rPr>
                <w:rFonts w:hint="eastAsia" w:ascii="方正小标宋简体" w:hAnsi="宋体" w:eastAsia="方正小标宋简体" w:cs="宋体"/>
                <w:color w:val="000000"/>
                <w:kern w:val="0"/>
                <w:sz w:val="36"/>
                <w:szCs w:val="32"/>
                <w:u w:val="single"/>
              </w:rPr>
              <w:t xml:space="preserve">    </w:t>
            </w:r>
            <w:r>
              <w:rPr>
                <w:rFonts w:hint="eastAsia" w:ascii="方正小标宋简体" w:hAnsi="宋体" w:eastAsia="方正小标宋简体" w:cs="宋体"/>
                <w:color w:val="000000"/>
                <w:kern w:val="0"/>
                <w:sz w:val="36"/>
                <w:szCs w:val="32"/>
              </w:rPr>
              <w:t>次</w:t>
            </w:r>
            <w:r>
              <w:rPr>
                <w:rFonts w:hint="eastAsia" w:ascii="方正小标宋简体" w:hAnsi="宋体" w:eastAsia="方正小标宋简体" w:cs="宋体"/>
                <w:bCs/>
                <w:color w:val="000000"/>
                <w:kern w:val="0"/>
                <w:sz w:val="36"/>
                <w:szCs w:val="32"/>
              </w:rPr>
              <w:t>水运施工企业信用评价表    表4</w:t>
            </w:r>
          </w:p>
        </w:tc>
      </w:tr>
      <w:tr>
        <w:tblPrEx>
          <w:tblCellMar>
            <w:top w:w="0" w:type="dxa"/>
            <w:left w:w="108" w:type="dxa"/>
            <w:bottom w:w="0" w:type="dxa"/>
            <w:right w:w="108" w:type="dxa"/>
          </w:tblCellMar>
        </w:tblPrEx>
        <w:trPr>
          <w:gridAfter w:val="1"/>
          <w:wAfter w:w="10" w:type="dxa"/>
          <w:trHeight w:val="377" w:hRule="atLeast"/>
        </w:trPr>
        <w:tc>
          <w:tcPr>
            <w:tcW w:w="509"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序号</w:t>
            </w:r>
          </w:p>
        </w:tc>
        <w:tc>
          <w:tcPr>
            <w:tcW w:w="724"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施工企业名称</w:t>
            </w:r>
          </w:p>
        </w:tc>
        <w:tc>
          <w:tcPr>
            <w:tcW w:w="703"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组织机构代码</w:t>
            </w:r>
          </w:p>
        </w:tc>
        <w:tc>
          <w:tcPr>
            <w:tcW w:w="836"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企业资质</w:t>
            </w:r>
          </w:p>
        </w:tc>
        <w:tc>
          <w:tcPr>
            <w:tcW w:w="1045"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建设项目及合同段</w:t>
            </w:r>
          </w:p>
        </w:tc>
        <w:tc>
          <w:tcPr>
            <w:tcW w:w="1276"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工程内容</w:t>
            </w:r>
          </w:p>
        </w:tc>
        <w:tc>
          <w:tcPr>
            <w:tcW w:w="992"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评价次数及周期</w:t>
            </w:r>
          </w:p>
        </w:tc>
        <w:tc>
          <w:tcPr>
            <w:tcW w:w="992"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工程量完成情况</w:t>
            </w:r>
          </w:p>
        </w:tc>
        <w:tc>
          <w:tcPr>
            <w:tcW w:w="1712"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投标行为评价</w:t>
            </w:r>
          </w:p>
        </w:tc>
        <w:tc>
          <w:tcPr>
            <w:tcW w:w="184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履约行为评价</w:t>
            </w:r>
          </w:p>
        </w:tc>
        <w:tc>
          <w:tcPr>
            <w:tcW w:w="1701"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其他行为评价</w:t>
            </w:r>
          </w:p>
        </w:tc>
        <w:tc>
          <w:tcPr>
            <w:tcW w:w="1276" w:type="dxa"/>
            <w:tcBorders>
              <w:top w:val="nil"/>
              <w:left w:val="nil"/>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扣分依据</w:t>
            </w:r>
          </w:p>
        </w:tc>
        <w:tc>
          <w:tcPr>
            <w:tcW w:w="880" w:type="dxa"/>
            <w:tcBorders>
              <w:top w:val="nil"/>
              <w:left w:val="nil"/>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备注</w:t>
            </w:r>
          </w:p>
        </w:tc>
      </w:tr>
      <w:tr>
        <w:tblPrEx>
          <w:tblCellMar>
            <w:top w:w="0" w:type="dxa"/>
            <w:left w:w="108" w:type="dxa"/>
            <w:bottom w:w="0" w:type="dxa"/>
            <w:right w:w="108" w:type="dxa"/>
          </w:tblCellMar>
        </w:tblPrEx>
        <w:trPr>
          <w:trHeight w:val="727" w:hRule="atLeast"/>
        </w:trPr>
        <w:tc>
          <w:tcPr>
            <w:tcW w:w="509"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4"/>
              </w:rPr>
            </w:pPr>
          </w:p>
        </w:tc>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4"/>
              </w:rPr>
            </w:pPr>
          </w:p>
        </w:tc>
        <w:tc>
          <w:tcPr>
            <w:tcW w:w="703"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4"/>
              </w:rPr>
            </w:pPr>
          </w:p>
        </w:tc>
        <w:tc>
          <w:tcPr>
            <w:tcW w:w="836"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4"/>
              </w:rPr>
            </w:pPr>
          </w:p>
        </w:tc>
        <w:tc>
          <w:tcPr>
            <w:tcW w:w="1045"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4"/>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4"/>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4"/>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个数</w:t>
            </w:r>
          </w:p>
        </w:tc>
        <w:tc>
          <w:tcPr>
            <w:tcW w:w="100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省厅汇总复核评分</w:t>
            </w:r>
          </w:p>
        </w:tc>
        <w:tc>
          <w:tcPr>
            <w:tcW w:w="70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个数</w:t>
            </w:r>
          </w:p>
        </w:tc>
        <w:tc>
          <w:tcPr>
            <w:tcW w:w="113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省厅汇总复核评分</w:t>
            </w:r>
          </w:p>
        </w:tc>
        <w:tc>
          <w:tcPr>
            <w:tcW w:w="70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个数</w:t>
            </w:r>
          </w:p>
        </w:tc>
        <w:tc>
          <w:tcPr>
            <w:tcW w:w="992"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省厅</w:t>
            </w:r>
          </w:p>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评分</w:t>
            </w:r>
          </w:p>
        </w:tc>
        <w:tc>
          <w:tcPr>
            <w:tcW w:w="1276" w:type="dxa"/>
            <w:tcBorders>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p>
        </w:tc>
        <w:tc>
          <w:tcPr>
            <w:tcW w:w="890" w:type="dxa"/>
            <w:gridSpan w:val="2"/>
            <w:tcBorders>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r>
      <w:tr>
        <w:trPr>
          <w:trHeight w:val="528" w:hRule="atLeast"/>
        </w:trPr>
        <w:tc>
          <w:tcPr>
            <w:tcW w:w="509"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24"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703"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836"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045"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甲项目**合同段</w:t>
            </w:r>
          </w:p>
        </w:tc>
        <w:tc>
          <w:tcPr>
            <w:tcW w:w="1276"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第Ⅰ次</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00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　</w:t>
            </w:r>
          </w:p>
        </w:tc>
        <w:tc>
          <w:tcPr>
            <w:tcW w:w="1134" w:type="dxa"/>
            <w:tcBorders>
              <w:top w:val="nil"/>
              <w:left w:val="nil"/>
              <w:bottom w:val="single" w:color="auto" w:sz="4" w:space="0"/>
              <w:right w:val="single" w:color="auto" w:sz="4" w:space="0"/>
            </w:tcBorders>
            <w:vAlign w:val="center"/>
          </w:tcPr>
          <w:p>
            <w:pPr>
              <w:widowControl/>
              <w:ind w:firstLine="240" w:firstLineChars="1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注②</w:t>
            </w: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　</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注</w:t>
            </w:r>
            <w:r>
              <w:rPr>
                <w:rFonts w:hint="eastAsia" w:ascii="仿宋_GB2312" w:hAnsi="宋体" w:eastAsia="仿宋_GB2312" w:cs="宋体"/>
                <w:bCs/>
                <w:color w:val="000000"/>
                <w:kern w:val="0"/>
                <w:sz w:val="24"/>
              </w:rPr>
              <w:t>④</w:t>
            </w:r>
          </w:p>
        </w:tc>
        <w:tc>
          <w:tcPr>
            <w:tcW w:w="12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89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357" w:hRule="atLeast"/>
        </w:trPr>
        <w:tc>
          <w:tcPr>
            <w:tcW w:w="50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24"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03"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6"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04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92" w:type="dxa"/>
            <w:tcBorders>
              <w:top w:val="nil"/>
              <w:left w:val="nil"/>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第Ⅱ次</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003"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90"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87" w:hRule="atLeast"/>
        </w:trPr>
        <w:tc>
          <w:tcPr>
            <w:tcW w:w="50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24"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03"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6"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045"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第Ⅲ次</w:t>
            </w:r>
          </w:p>
        </w:tc>
        <w:tc>
          <w:tcPr>
            <w:tcW w:w="992"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003"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890"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462" w:hRule="atLeast"/>
        </w:trPr>
        <w:tc>
          <w:tcPr>
            <w:tcW w:w="50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24"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03"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6"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045"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276"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全年</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vMerge w:val="continue"/>
            <w:tcBorders>
              <w:top w:val="single" w:color="auto" w:sz="4" w:space="0"/>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003" w:type="dxa"/>
            <w:tcBorders>
              <w:top w:val="single" w:color="auto" w:sz="4" w:space="0"/>
              <w:left w:val="nil"/>
              <w:bottom w:val="single" w:color="auto" w:sz="4" w:space="0"/>
              <w:right w:val="single" w:color="auto" w:sz="4" w:space="0"/>
            </w:tcBorders>
            <w:vAlign w:val="center"/>
          </w:tcPr>
          <w:p>
            <w:pPr>
              <w:pStyle w:val="10"/>
              <w:widowControl/>
              <w:numPr>
                <w:ilvl w:val="0"/>
                <w:numId w:val="5"/>
              </w:numPr>
              <w:ind w:firstLineChars="0"/>
              <w:jc w:val="center"/>
              <w:rPr>
                <w:rFonts w:ascii="仿宋_GB2312" w:hAnsi="宋体" w:eastAsia="仿宋_GB2312" w:cs="宋体"/>
                <w:color w:val="000000"/>
                <w:kern w:val="0"/>
                <w:sz w:val="24"/>
              </w:rPr>
            </w:pPr>
          </w:p>
        </w:tc>
        <w:tc>
          <w:tcPr>
            <w:tcW w:w="709" w:type="dxa"/>
            <w:vMerge w:val="continue"/>
            <w:tcBorders>
              <w:top w:val="single" w:color="auto" w:sz="4" w:space="0"/>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ind w:firstLine="240" w:firstLineChars="100"/>
              <w:jc w:val="left"/>
              <w:rPr>
                <w:rFonts w:ascii="仿宋_GB2312" w:hAnsi="宋体" w:eastAsia="仿宋_GB2312" w:cs="宋体"/>
                <w:color w:val="000000"/>
                <w:kern w:val="0"/>
                <w:sz w:val="24"/>
              </w:rPr>
            </w:pPr>
            <w:r>
              <w:rPr>
                <w:rFonts w:hint="eastAsia" w:ascii="仿宋_GB2312" w:hAnsi="宋体" w:eastAsia="仿宋_GB2312" w:cs="宋体"/>
                <w:bCs/>
                <w:color w:val="000000"/>
                <w:kern w:val="0"/>
                <w:sz w:val="24"/>
              </w:rPr>
              <w:t>注③</w:t>
            </w:r>
          </w:p>
        </w:tc>
        <w:tc>
          <w:tcPr>
            <w:tcW w:w="709" w:type="dxa"/>
            <w:vMerge w:val="continue"/>
            <w:tcBorders>
              <w:top w:val="single" w:color="auto" w:sz="4" w:space="0"/>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注</w:t>
            </w:r>
            <w:r>
              <w:rPr>
                <w:rFonts w:hint="eastAsia" w:ascii="仿宋_GB2312" w:hAnsi="宋体" w:eastAsia="仿宋_GB2312" w:cs="宋体"/>
                <w:bCs/>
                <w:color w:val="000000"/>
                <w:kern w:val="0"/>
                <w:sz w:val="24"/>
              </w:rPr>
              <w:t>⑤</w:t>
            </w:r>
          </w:p>
        </w:tc>
        <w:tc>
          <w:tcPr>
            <w:tcW w:w="1276"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890"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446" w:hRule="atLeast"/>
        </w:trPr>
        <w:tc>
          <w:tcPr>
            <w:tcW w:w="50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24"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03"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6"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0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vMerge w:val="continue"/>
            <w:tcBorders>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00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vMerge w:val="continue"/>
            <w:tcBorders>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1134"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4"/>
              </w:rPr>
            </w:pPr>
          </w:p>
        </w:tc>
        <w:tc>
          <w:tcPr>
            <w:tcW w:w="709" w:type="dxa"/>
            <w:vMerge w:val="continue"/>
            <w:tcBorders>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9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89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gridAfter w:val="1"/>
          <w:wAfter w:w="10" w:type="dxa"/>
          <w:trHeight w:val="262" w:hRule="atLeast"/>
        </w:trPr>
        <w:tc>
          <w:tcPr>
            <w:tcW w:w="50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24"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03"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6"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4305"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倒权重计分</w:t>
            </w:r>
          </w:p>
        </w:tc>
        <w:tc>
          <w:tcPr>
            <w:tcW w:w="1712"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3"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gridAfter w:val="1"/>
          <w:wAfter w:w="10" w:type="dxa"/>
          <w:trHeight w:val="262" w:hRule="atLeast"/>
        </w:trPr>
        <w:tc>
          <w:tcPr>
            <w:tcW w:w="509"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24"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03"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6"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4305"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综合评分X</w:t>
            </w:r>
          </w:p>
        </w:tc>
        <w:tc>
          <w:tcPr>
            <w:tcW w:w="5256" w:type="dxa"/>
            <w:gridSpan w:val="6"/>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gridAfter w:val="1"/>
          <w:wAfter w:w="10" w:type="dxa"/>
          <w:trHeight w:val="264" w:hRule="atLeast"/>
        </w:trPr>
        <w:tc>
          <w:tcPr>
            <w:tcW w:w="509"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24"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703"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6"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4305"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信用等级</w:t>
            </w:r>
          </w:p>
        </w:tc>
        <w:tc>
          <w:tcPr>
            <w:tcW w:w="5256" w:type="dxa"/>
            <w:gridSpan w:val="6"/>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7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gridAfter w:val="1"/>
          <w:wAfter w:w="10" w:type="dxa"/>
          <w:trHeight w:val="450" w:hRule="atLeast"/>
        </w:trPr>
        <w:tc>
          <w:tcPr>
            <w:tcW w:w="14489" w:type="dxa"/>
            <w:gridSpan w:val="16"/>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省交通运输厅审定意见：</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（盖章）</w:t>
            </w:r>
          </w:p>
          <w:p>
            <w:pPr>
              <w:widowControl/>
              <w:jc w:val="left"/>
              <w:rPr>
                <w:rFonts w:ascii="仿宋_GB2312" w:hAnsi="宋体" w:eastAsia="仿宋_GB2312" w:cs="宋体"/>
                <w:color w:val="000000"/>
                <w:kern w:val="0"/>
                <w:sz w:val="24"/>
              </w:rPr>
            </w:pPr>
          </w:p>
          <w:p>
            <w:pPr>
              <w:widowControl/>
              <w:ind w:firstLine="9960" w:firstLineChars="415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日期：</w:t>
            </w:r>
          </w:p>
        </w:tc>
      </w:tr>
    </w:tbl>
    <w:p>
      <w:pPr>
        <w:adjustRightInd w:val="0"/>
        <w:snapToGrid w:val="0"/>
        <w:spacing w:line="280" w:lineRule="exact"/>
        <w:ind w:left="-850" w:leftChars="-405" w:firstLine="50" w:firstLineChars="21"/>
        <w:rPr>
          <w:rFonts w:ascii="仿宋_GB2312" w:hAnsi="宋体" w:eastAsia="仿宋_GB2312" w:cs="宋体"/>
          <w:color w:val="000000"/>
          <w:kern w:val="0"/>
          <w:sz w:val="24"/>
        </w:rPr>
      </w:pPr>
      <w:r>
        <w:rPr>
          <w:rFonts w:hint="eastAsia" w:ascii="仿宋_GB2312" w:hAnsi="宋体" w:eastAsia="仿宋_GB2312" w:cs="宋体"/>
          <w:color w:val="000000"/>
          <w:kern w:val="0"/>
          <w:sz w:val="24"/>
        </w:rPr>
        <w:t>注：此表由省厅组织填写,填表备注同表2</w:t>
      </w:r>
    </w:p>
    <w:p>
      <w:pPr>
        <w:adjustRightInd w:val="0"/>
        <w:snapToGrid w:val="0"/>
        <w:spacing w:line="280" w:lineRule="exact"/>
        <w:ind w:left="-850" w:leftChars="-405" w:firstLine="50" w:firstLineChars="21"/>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sectPr>
          <w:pgSz w:w="16838" w:h="11906" w:orient="landscape"/>
          <w:pgMar w:top="1588" w:right="1928" w:bottom="1588" w:left="2098" w:header="851" w:footer="1701" w:gutter="0"/>
          <w:cols w:space="425" w:num="1"/>
          <w:docGrid w:type="linesAndChars" w:linePitch="312" w:charSpace="0"/>
        </w:sectPr>
      </w:pPr>
    </w:p>
    <w:p>
      <w:pPr>
        <w:spacing w:line="390" w:lineRule="atLeast"/>
        <w:ind w:left="-540" w:leftChars="-257"/>
        <w:rPr>
          <w:rFonts w:ascii="黑体" w:hAnsi="_x0010_" w:eastAsia="黑体" w:cs="Arial"/>
          <w:color w:val="000000"/>
          <w:sz w:val="32"/>
          <w:szCs w:val="32"/>
        </w:rPr>
      </w:pPr>
      <w:r>
        <w:rPr>
          <w:rFonts w:hint="eastAsia" w:ascii="黑体" w:hAnsi="_x0010_" w:eastAsia="黑体" w:cs="Arial"/>
          <w:color w:val="000000"/>
          <w:sz w:val="32"/>
          <w:szCs w:val="32"/>
        </w:rPr>
        <w:t>附件4</w:t>
      </w:r>
    </w:p>
    <w:p>
      <w:pPr>
        <w:spacing w:line="390" w:lineRule="atLeast"/>
        <w:jc w:val="center"/>
        <w:rPr>
          <w:rFonts w:ascii="方正小标宋简体" w:hAnsi="宋体" w:eastAsia="方正小标宋简体" w:cs="宋体"/>
          <w:color w:val="000000"/>
          <w:sz w:val="36"/>
          <w:szCs w:val="36"/>
        </w:rPr>
      </w:pPr>
      <w:r>
        <w:rPr>
          <w:rFonts w:hint="eastAsia" w:ascii="方正小标宋简体" w:hAnsi="宋体" w:eastAsia="方正小标宋简体" w:cs="Arial"/>
          <w:bCs/>
          <w:color w:val="000000"/>
          <w:sz w:val="36"/>
          <w:szCs w:val="36"/>
        </w:rPr>
        <w:t>投标人不良投标行为记录表</w:t>
      </w:r>
    </w:p>
    <w:p>
      <w:pPr>
        <w:spacing w:line="300" w:lineRule="exact"/>
        <w:rPr>
          <w:rFonts w:ascii="仿宋_GB2312" w:eastAsia="仿宋_GB2312" w:cs="宋体"/>
          <w:color w:val="000000"/>
          <w:sz w:val="24"/>
        </w:rPr>
      </w:pPr>
    </w:p>
    <w:p>
      <w:pPr>
        <w:spacing w:line="300" w:lineRule="exact"/>
        <w:ind w:left="-321" w:leftChars="-153"/>
        <w:rPr>
          <w:rFonts w:ascii="仿宋_GB2312" w:hAnsi="宋体" w:eastAsia="仿宋_GB2312" w:cs="宋体"/>
          <w:color w:val="000000"/>
          <w:sz w:val="24"/>
        </w:rPr>
      </w:pPr>
      <w:r>
        <w:rPr>
          <w:rFonts w:hint="eastAsia" w:ascii="仿宋_GB2312" w:eastAsia="仿宋_GB2312" w:cs="宋体"/>
          <w:color w:val="000000"/>
          <w:sz w:val="24"/>
        </w:rPr>
        <w:t>项目名称及合同段：</w:t>
      </w:r>
    </w:p>
    <w:p>
      <w:pPr>
        <w:spacing w:line="300" w:lineRule="exact"/>
        <w:ind w:left="-321" w:leftChars="-153"/>
        <w:rPr>
          <w:rFonts w:ascii="仿宋_GB2312" w:hAnsi="宋体" w:eastAsia="仿宋_GB2312" w:cs="宋体"/>
          <w:color w:val="000000"/>
          <w:sz w:val="24"/>
        </w:rPr>
      </w:pPr>
      <w:r>
        <w:rPr>
          <w:rFonts w:hint="eastAsia" w:ascii="仿宋_GB2312" w:eastAsia="仿宋_GB2312" w:cs="宋体"/>
          <w:color w:val="000000"/>
          <w:sz w:val="24"/>
        </w:rPr>
        <w:t>开评标时间：    年  月  日</w:t>
      </w:r>
    </w:p>
    <w:tbl>
      <w:tblPr>
        <w:tblStyle w:val="7"/>
        <w:tblW w:w="936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40" w:type="dxa"/>
          <w:bottom w:w="0" w:type="dxa"/>
          <w:right w:w="40" w:type="dxa"/>
        </w:tblCellMar>
      </w:tblPr>
      <w:tblGrid>
        <w:gridCol w:w="3292"/>
        <w:gridCol w:w="3728"/>
        <w:gridCol w:w="234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40" w:type="dxa"/>
            <w:bottom w:w="0" w:type="dxa"/>
            <w:right w:w="40" w:type="dxa"/>
          </w:tblCellMar>
        </w:tblPrEx>
        <w:trPr>
          <w:trHeight w:val="773" w:hRule="atLeast"/>
          <w:jc w:val="center"/>
        </w:trPr>
        <w:tc>
          <w:tcPr>
            <w:tcW w:w="9360" w:type="dxa"/>
            <w:gridSpan w:val="3"/>
            <w:tcBorders>
              <w:top w:val="single" w:color="auto" w:sz="12" w:space="0"/>
              <w:left w:val="single" w:color="auto" w:sz="12" w:space="0"/>
              <w:bottom w:val="single" w:color="auto" w:sz="6" w:space="0"/>
              <w:right w:val="single" w:color="auto" w:sz="12" w:space="0"/>
            </w:tcBorders>
            <w:vAlign w:val="center"/>
          </w:tcPr>
          <w:p>
            <w:pPr>
              <w:spacing w:line="300" w:lineRule="exact"/>
              <w:rPr>
                <w:rFonts w:ascii="仿宋_GB2312" w:hAnsi="宋体" w:eastAsia="仿宋_GB2312" w:cs="Arial"/>
                <w:color w:val="000000"/>
                <w:sz w:val="24"/>
              </w:rPr>
            </w:pPr>
            <w:r>
              <w:rPr>
                <w:rFonts w:hint="eastAsia" w:ascii="仿宋_GB2312" w:eastAsia="仿宋_GB2312" w:cs="Arial"/>
                <w:color w:val="000000"/>
                <w:sz w:val="24"/>
              </w:rPr>
              <w:t>招标人名称：                            （盖章）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40" w:type="dxa"/>
            <w:bottom w:w="0" w:type="dxa"/>
            <w:right w:w="40" w:type="dxa"/>
          </w:tblCellMar>
        </w:tblPrEx>
        <w:trPr>
          <w:trHeight w:val="436" w:hRule="atLeast"/>
          <w:jc w:val="center"/>
        </w:trPr>
        <w:tc>
          <w:tcPr>
            <w:tcW w:w="3292" w:type="dxa"/>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黑体" w:hAnsi="黑体" w:eastAsia="黑体" w:cs="Arial"/>
                <w:color w:val="000000"/>
                <w:sz w:val="24"/>
              </w:rPr>
            </w:pPr>
            <w:r>
              <w:rPr>
                <w:rFonts w:hint="eastAsia" w:ascii="黑体" w:hAnsi="黑体" w:eastAsia="黑体" w:cs="Arial"/>
                <w:color w:val="000000"/>
                <w:sz w:val="24"/>
              </w:rPr>
              <w:t>投标行为</w:t>
            </w:r>
          </w:p>
        </w:tc>
        <w:tc>
          <w:tcPr>
            <w:tcW w:w="372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黑体" w:hAnsi="黑体" w:eastAsia="黑体" w:cs="Arial"/>
                <w:color w:val="000000"/>
                <w:sz w:val="24"/>
              </w:rPr>
            </w:pPr>
            <w:r>
              <w:rPr>
                <w:rFonts w:hint="eastAsia" w:ascii="黑体" w:hAnsi="黑体" w:eastAsia="黑体" w:cs="Arial"/>
                <w:color w:val="000000"/>
                <w:sz w:val="24"/>
              </w:rPr>
              <w:t>投标人名称</w:t>
            </w:r>
          </w:p>
        </w:tc>
        <w:tc>
          <w:tcPr>
            <w:tcW w:w="2340"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黑体" w:hAnsi="黑体" w:eastAsia="黑体" w:cs="Arial"/>
                <w:color w:val="000000"/>
                <w:sz w:val="24"/>
              </w:rPr>
            </w:pPr>
            <w:r>
              <w:rPr>
                <w:rFonts w:hint="eastAsia" w:ascii="黑体" w:hAnsi="黑体" w:eastAsia="黑体" w:cs="Arial"/>
                <w:color w:val="000000"/>
                <w:sz w:val="24"/>
              </w:rPr>
              <w:t>备注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40" w:type="dxa"/>
            <w:bottom w:w="0" w:type="dxa"/>
            <w:right w:w="40" w:type="dxa"/>
          </w:tblCellMar>
        </w:tblPrEx>
        <w:trPr>
          <w:cantSplit/>
          <w:trHeight w:val="873" w:hRule="atLeast"/>
          <w:jc w:val="center"/>
        </w:trPr>
        <w:tc>
          <w:tcPr>
            <w:tcW w:w="3292" w:type="dxa"/>
            <w:tcBorders>
              <w:top w:val="single" w:color="auto" w:sz="6" w:space="0"/>
              <w:left w:val="single" w:color="auto" w:sz="12" w:space="0"/>
              <w:bottom w:val="single" w:color="auto" w:sz="6" w:space="0"/>
              <w:right w:val="single" w:color="auto" w:sz="6" w:space="0"/>
            </w:tcBorders>
            <w:vAlign w:val="center"/>
          </w:tcPr>
          <w:p>
            <w:pPr>
              <w:snapToGrid w:val="0"/>
              <w:spacing w:line="300" w:lineRule="exact"/>
              <w:rPr>
                <w:rFonts w:ascii="仿宋_GB2312" w:hAnsi="宋体" w:eastAsia="仿宋_GB2312" w:cs="Arial"/>
                <w:color w:val="000000"/>
                <w:sz w:val="24"/>
              </w:rPr>
            </w:pPr>
            <w:r>
              <w:rPr>
                <w:rFonts w:hint="eastAsia" w:ascii="仿宋_GB2312" w:eastAsia="仿宋_GB2312"/>
                <w:color w:val="000000"/>
                <w:sz w:val="24"/>
              </w:rPr>
              <w:t>同一次招标中同一家企业多次购买资格预审文件或招标文件</w:t>
            </w:r>
          </w:p>
        </w:tc>
        <w:tc>
          <w:tcPr>
            <w:tcW w:w="372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hAnsi="宋体" w:eastAsia="仿宋_GB2312" w:cs="Arial"/>
                <w:color w:val="000000"/>
                <w:sz w:val="24"/>
              </w:rPr>
            </w:pPr>
          </w:p>
        </w:tc>
        <w:tc>
          <w:tcPr>
            <w:tcW w:w="2340" w:type="dxa"/>
            <w:tcBorders>
              <w:top w:val="single" w:color="auto" w:sz="6" w:space="0"/>
              <w:left w:val="single" w:color="auto" w:sz="6" w:space="0"/>
              <w:bottom w:val="single" w:color="auto" w:sz="6" w:space="0"/>
              <w:right w:val="single" w:color="auto" w:sz="12" w:space="0"/>
            </w:tcBorders>
            <w:vAlign w:val="center"/>
          </w:tcPr>
          <w:p>
            <w:pPr>
              <w:spacing w:line="300" w:lineRule="exact"/>
              <w:rPr>
                <w:rFonts w:ascii="仿宋_GB2312"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40" w:type="dxa"/>
            <w:bottom w:w="0" w:type="dxa"/>
            <w:right w:w="40" w:type="dxa"/>
          </w:tblCellMar>
        </w:tblPrEx>
        <w:trPr>
          <w:cantSplit/>
          <w:trHeight w:val="667" w:hRule="atLeast"/>
          <w:jc w:val="center"/>
        </w:trPr>
        <w:tc>
          <w:tcPr>
            <w:tcW w:w="3292" w:type="dxa"/>
            <w:tcBorders>
              <w:top w:val="single" w:color="auto" w:sz="6" w:space="0"/>
              <w:left w:val="single" w:color="auto" w:sz="12" w:space="0"/>
              <w:bottom w:val="single" w:color="auto" w:sz="6" w:space="0"/>
              <w:right w:val="single" w:color="auto" w:sz="6" w:space="0"/>
            </w:tcBorders>
            <w:vAlign w:val="center"/>
          </w:tcPr>
          <w:p>
            <w:pPr>
              <w:snapToGrid w:val="0"/>
              <w:spacing w:line="300" w:lineRule="exact"/>
              <w:rPr>
                <w:rFonts w:ascii="仿宋_GB2312" w:hAnsi="宋体" w:eastAsia="仿宋_GB2312" w:cs="Arial"/>
                <w:color w:val="000000"/>
                <w:sz w:val="24"/>
              </w:rPr>
            </w:pPr>
            <w:r>
              <w:rPr>
                <w:rFonts w:hint="eastAsia" w:ascii="仿宋_GB2312" w:eastAsia="仿宋_GB2312"/>
                <w:color w:val="000000"/>
                <w:sz w:val="24"/>
              </w:rPr>
              <w:t>同一家企业同时递交了2份及以上资格预审文件或投标文件</w:t>
            </w:r>
          </w:p>
        </w:tc>
        <w:tc>
          <w:tcPr>
            <w:tcW w:w="372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hAnsi="宋体" w:eastAsia="仿宋_GB2312" w:cs="Arial"/>
                <w:color w:val="000000"/>
                <w:sz w:val="24"/>
              </w:rPr>
            </w:pPr>
          </w:p>
        </w:tc>
        <w:tc>
          <w:tcPr>
            <w:tcW w:w="2340" w:type="dxa"/>
            <w:tcBorders>
              <w:top w:val="single" w:color="auto" w:sz="6" w:space="0"/>
              <w:left w:val="single" w:color="auto" w:sz="6" w:space="0"/>
              <w:bottom w:val="single" w:color="auto" w:sz="6" w:space="0"/>
              <w:right w:val="single" w:color="auto" w:sz="12" w:space="0"/>
            </w:tcBorders>
            <w:vAlign w:val="center"/>
          </w:tcPr>
          <w:p>
            <w:pPr>
              <w:spacing w:line="300" w:lineRule="exact"/>
              <w:rPr>
                <w:rFonts w:ascii="仿宋_GB2312"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40" w:type="dxa"/>
            <w:bottom w:w="0" w:type="dxa"/>
            <w:right w:w="40" w:type="dxa"/>
          </w:tblCellMar>
        </w:tblPrEx>
        <w:trPr>
          <w:cantSplit/>
          <w:trHeight w:val="753" w:hRule="atLeast"/>
          <w:jc w:val="center"/>
        </w:trPr>
        <w:tc>
          <w:tcPr>
            <w:tcW w:w="3292" w:type="dxa"/>
            <w:tcBorders>
              <w:top w:val="single" w:color="auto" w:sz="6" w:space="0"/>
              <w:left w:val="single" w:color="auto" w:sz="12" w:space="0"/>
              <w:bottom w:val="single" w:color="auto" w:sz="6" w:space="0"/>
              <w:right w:val="single" w:color="auto" w:sz="6" w:space="0"/>
            </w:tcBorders>
            <w:vAlign w:val="center"/>
          </w:tcPr>
          <w:p>
            <w:pPr>
              <w:snapToGrid w:val="0"/>
              <w:spacing w:line="300" w:lineRule="exact"/>
              <w:rPr>
                <w:rFonts w:ascii="仿宋_GB2312" w:hAnsi="宋体" w:eastAsia="仿宋_GB2312" w:cs="Arial"/>
                <w:color w:val="000000"/>
                <w:spacing w:val="-8"/>
                <w:sz w:val="24"/>
              </w:rPr>
            </w:pPr>
            <w:r>
              <w:rPr>
                <w:rFonts w:hint="eastAsia" w:ascii="仿宋_GB2312" w:eastAsia="仿宋_GB2312"/>
                <w:color w:val="000000"/>
                <w:sz w:val="24"/>
              </w:rPr>
              <w:t>非招标人或招标文件原因放弃投标，未提前书面告知招标人</w:t>
            </w:r>
          </w:p>
        </w:tc>
        <w:tc>
          <w:tcPr>
            <w:tcW w:w="372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hAnsi="宋体" w:eastAsia="仿宋_GB2312" w:cs="Arial"/>
                <w:color w:val="000000"/>
                <w:sz w:val="24"/>
              </w:rPr>
            </w:pPr>
          </w:p>
        </w:tc>
        <w:tc>
          <w:tcPr>
            <w:tcW w:w="2340" w:type="dxa"/>
            <w:tcBorders>
              <w:top w:val="single" w:color="auto" w:sz="6" w:space="0"/>
              <w:left w:val="single" w:color="auto" w:sz="6" w:space="0"/>
              <w:bottom w:val="single" w:color="auto" w:sz="6" w:space="0"/>
              <w:right w:val="single" w:color="auto" w:sz="12" w:space="0"/>
            </w:tcBorders>
            <w:vAlign w:val="center"/>
          </w:tcPr>
          <w:p>
            <w:pPr>
              <w:spacing w:line="300" w:lineRule="exact"/>
              <w:rPr>
                <w:rFonts w:ascii="仿宋_GB2312"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40" w:type="dxa"/>
            <w:bottom w:w="0" w:type="dxa"/>
            <w:right w:w="40" w:type="dxa"/>
          </w:tblCellMar>
        </w:tblPrEx>
        <w:trPr>
          <w:cantSplit/>
          <w:trHeight w:val="669" w:hRule="atLeast"/>
          <w:jc w:val="center"/>
        </w:trPr>
        <w:tc>
          <w:tcPr>
            <w:tcW w:w="3292" w:type="dxa"/>
            <w:tcBorders>
              <w:top w:val="single" w:color="auto" w:sz="6" w:space="0"/>
              <w:left w:val="single" w:color="auto" w:sz="12" w:space="0"/>
              <w:bottom w:val="single" w:color="auto" w:sz="6" w:space="0"/>
              <w:right w:val="single" w:color="auto" w:sz="6" w:space="0"/>
            </w:tcBorders>
            <w:vAlign w:val="center"/>
          </w:tcPr>
          <w:p>
            <w:pPr>
              <w:snapToGrid w:val="0"/>
              <w:spacing w:line="300" w:lineRule="exact"/>
              <w:rPr>
                <w:rFonts w:ascii="仿宋_GB2312" w:hAnsi="宋体" w:eastAsia="仿宋_GB2312" w:cs="Arial"/>
                <w:color w:val="000000"/>
                <w:sz w:val="24"/>
              </w:rPr>
            </w:pPr>
            <w:r>
              <w:rPr>
                <w:rFonts w:hint="eastAsia" w:ascii="仿宋_GB2312" w:eastAsia="仿宋_GB2312"/>
                <w:color w:val="000000"/>
                <w:sz w:val="24"/>
              </w:rPr>
              <w:t>未按时确认补遗书等招标人发出的通知</w:t>
            </w:r>
          </w:p>
        </w:tc>
        <w:tc>
          <w:tcPr>
            <w:tcW w:w="372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hAnsi="宋体" w:eastAsia="仿宋_GB2312" w:cs="Arial"/>
                <w:color w:val="000000"/>
                <w:sz w:val="24"/>
              </w:rPr>
            </w:pPr>
          </w:p>
        </w:tc>
        <w:tc>
          <w:tcPr>
            <w:tcW w:w="2340" w:type="dxa"/>
            <w:tcBorders>
              <w:top w:val="single" w:color="auto" w:sz="6" w:space="0"/>
              <w:left w:val="single" w:color="auto" w:sz="6" w:space="0"/>
              <w:bottom w:val="single" w:color="auto" w:sz="6" w:space="0"/>
              <w:right w:val="single" w:color="auto" w:sz="12" w:space="0"/>
            </w:tcBorders>
            <w:vAlign w:val="center"/>
          </w:tcPr>
          <w:p>
            <w:pPr>
              <w:spacing w:line="300" w:lineRule="exact"/>
              <w:rPr>
                <w:rFonts w:ascii="仿宋_GB2312"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40" w:type="dxa"/>
            <w:bottom w:w="0" w:type="dxa"/>
            <w:right w:w="40" w:type="dxa"/>
          </w:tblCellMar>
        </w:tblPrEx>
        <w:trPr>
          <w:cantSplit/>
          <w:trHeight w:val="657" w:hRule="atLeast"/>
          <w:jc w:val="center"/>
        </w:trPr>
        <w:tc>
          <w:tcPr>
            <w:tcW w:w="3292" w:type="dxa"/>
            <w:tcBorders>
              <w:top w:val="single" w:color="auto" w:sz="6" w:space="0"/>
              <w:left w:val="single" w:color="auto" w:sz="12" w:space="0"/>
              <w:bottom w:val="single" w:color="auto" w:sz="6" w:space="0"/>
              <w:right w:val="single" w:color="auto" w:sz="6" w:space="0"/>
            </w:tcBorders>
            <w:vAlign w:val="center"/>
          </w:tcPr>
          <w:p>
            <w:pPr>
              <w:snapToGrid w:val="0"/>
              <w:spacing w:line="300" w:lineRule="exact"/>
              <w:rPr>
                <w:rFonts w:ascii="仿宋_GB2312" w:eastAsia="仿宋_GB2312" w:cs="Arial"/>
                <w:color w:val="000000"/>
                <w:sz w:val="24"/>
              </w:rPr>
            </w:pPr>
            <w:r>
              <w:rPr>
                <w:rFonts w:hint="eastAsia" w:ascii="仿宋_GB2312" w:eastAsia="仿宋_GB2312"/>
                <w:color w:val="000000"/>
                <w:sz w:val="24"/>
              </w:rPr>
              <w:t>不及时反馈评标澄清</w:t>
            </w:r>
          </w:p>
        </w:tc>
        <w:tc>
          <w:tcPr>
            <w:tcW w:w="372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hAnsi="宋体" w:eastAsia="仿宋_GB2312" w:cs="Arial"/>
                <w:color w:val="000000"/>
                <w:sz w:val="24"/>
              </w:rPr>
            </w:pPr>
          </w:p>
        </w:tc>
        <w:tc>
          <w:tcPr>
            <w:tcW w:w="2340" w:type="dxa"/>
            <w:tcBorders>
              <w:top w:val="single" w:color="auto" w:sz="6" w:space="0"/>
              <w:left w:val="single" w:color="auto" w:sz="6" w:space="0"/>
              <w:bottom w:val="single" w:color="auto" w:sz="6" w:space="0"/>
              <w:right w:val="single" w:color="auto" w:sz="12" w:space="0"/>
            </w:tcBorders>
            <w:vAlign w:val="center"/>
          </w:tcPr>
          <w:p>
            <w:pPr>
              <w:spacing w:line="300" w:lineRule="exact"/>
              <w:rPr>
                <w:rFonts w:ascii="仿宋_GB2312"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40" w:type="dxa"/>
            <w:bottom w:w="0" w:type="dxa"/>
            <w:right w:w="40" w:type="dxa"/>
          </w:tblCellMar>
        </w:tblPrEx>
        <w:trPr>
          <w:cantSplit/>
          <w:trHeight w:val="657" w:hRule="atLeast"/>
          <w:jc w:val="center"/>
        </w:trPr>
        <w:tc>
          <w:tcPr>
            <w:tcW w:w="3292" w:type="dxa"/>
            <w:tcBorders>
              <w:top w:val="single" w:color="auto" w:sz="6" w:space="0"/>
              <w:left w:val="single" w:color="auto" w:sz="12" w:space="0"/>
              <w:bottom w:val="single" w:color="auto" w:sz="6" w:space="0"/>
              <w:right w:val="single" w:color="auto" w:sz="6" w:space="0"/>
            </w:tcBorders>
            <w:vAlign w:val="center"/>
          </w:tcPr>
          <w:p>
            <w:pPr>
              <w:snapToGrid w:val="0"/>
              <w:spacing w:line="300" w:lineRule="exact"/>
              <w:rPr>
                <w:rFonts w:ascii="仿宋_GB2312" w:hAnsi="宋体" w:eastAsia="仿宋_GB2312" w:cs="Arial"/>
                <w:color w:val="000000"/>
                <w:sz w:val="24"/>
              </w:rPr>
            </w:pPr>
            <w:r>
              <w:rPr>
                <w:rFonts w:hint="eastAsia" w:ascii="仿宋_GB2312" w:eastAsia="仿宋_GB2312"/>
                <w:color w:val="000000"/>
                <w:sz w:val="24"/>
              </w:rPr>
              <w:t>中标后无正当理由放弃中标</w:t>
            </w:r>
          </w:p>
        </w:tc>
        <w:tc>
          <w:tcPr>
            <w:tcW w:w="372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hAnsi="宋体" w:eastAsia="仿宋_GB2312" w:cs="Arial"/>
                <w:color w:val="000000"/>
                <w:sz w:val="24"/>
              </w:rPr>
            </w:pPr>
          </w:p>
        </w:tc>
        <w:tc>
          <w:tcPr>
            <w:tcW w:w="2340" w:type="dxa"/>
            <w:tcBorders>
              <w:top w:val="single" w:color="auto" w:sz="6" w:space="0"/>
              <w:left w:val="single" w:color="auto" w:sz="6" w:space="0"/>
              <w:bottom w:val="single" w:color="auto" w:sz="6" w:space="0"/>
              <w:right w:val="single" w:color="auto" w:sz="12" w:space="0"/>
            </w:tcBorders>
            <w:vAlign w:val="center"/>
          </w:tcPr>
          <w:p>
            <w:pPr>
              <w:spacing w:line="300" w:lineRule="exact"/>
              <w:rPr>
                <w:rFonts w:ascii="仿宋_GB2312"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40" w:type="dxa"/>
            <w:bottom w:w="0" w:type="dxa"/>
            <w:right w:w="40" w:type="dxa"/>
          </w:tblCellMar>
        </w:tblPrEx>
        <w:trPr>
          <w:trHeight w:val="615" w:hRule="atLeast"/>
          <w:jc w:val="center"/>
        </w:trPr>
        <w:tc>
          <w:tcPr>
            <w:tcW w:w="3292" w:type="dxa"/>
            <w:tcBorders>
              <w:top w:val="single" w:color="auto" w:sz="6" w:space="0"/>
              <w:left w:val="single" w:color="auto" w:sz="12" w:space="0"/>
              <w:bottom w:val="single" w:color="auto" w:sz="6" w:space="0"/>
              <w:right w:val="single" w:color="auto" w:sz="6" w:space="0"/>
            </w:tcBorders>
            <w:vAlign w:val="center"/>
          </w:tcPr>
          <w:p>
            <w:pPr>
              <w:snapToGrid w:val="0"/>
              <w:spacing w:line="300" w:lineRule="exact"/>
              <w:rPr>
                <w:rFonts w:ascii="仿宋_GB2312" w:eastAsia="仿宋_GB2312" w:cs="Arial"/>
                <w:color w:val="000000"/>
                <w:sz w:val="24"/>
              </w:rPr>
            </w:pPr>
            <w:r>
              <w:rPr>
                <w:rFonts w:hint="eastAsia" w:ascii="仿宋_GB2312" w:eastAsia="仿宋_GB2312"/>
                <w:color w:val="000000"/>
                <w:sz w:val="24"/>
              </w:rPr>
              <w:t>无正当理由未在规定时间内签订合同</w:t>
            </w:r>
          </w:p>
        </w:tc>
        <w:tc>
          <w:tcPr>
            <w:tcW w:w="372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hAnsi="宋体" w:eastAsia="仿宋_GB2312" w:cs="宋体"/>
                <w:color w:val="000000"/>
                <w:spacing w:val="-10"/>
                <w:sz w:val="24"/>
              </w:rPr>
            </w:pPr>
          </w:p>
        </w:tc>
        <w:tc>
          <w:tcPr>
            <w:tcW w:w="2340" w:type="dxa"/>
            <w:tcBorders>
              <w:top w:val="single" w:color="auto" w:sz="6" w:space="0"/>
              <w:left w:val="single" w:color="auto" w:sz="6" w:space="0"/>
              <w:bottom w:val="single" w:color="auto" w:sz="6" w:space="0"/>
              <w:right w:val="single" w:color="auto" w:sz="12" w:space="0"/>
            </w:tcBorders>
            <w:vAlign w:val="center"/>
          </w:tcPr>
          <w:p>
            <w:pPr>
              <w:spacing w:line="300" w:lineRule="exact"/>
              <w:rPr>
                <w:rFonts w:ascii="仿宋_GB2312" w:hAnsi="宋体" w:eastAsia="仿宋_GB2312" w:cs="Arial"/>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40" w:type="dxa"/>
            <w:bottom w:w="0" w:type="dxa"/>
            <w:right w:w="40" w:type="dxa"/>
          </w:tblCellMar>
        </w:tblPrEx>
        <w:trPr>
          <w:trHeight w:val="615" w:hRule="atLeast"/>
          <w:jc w:val="center"/>
        </w:trPr>
        <w:tc>
          <w:tcPr>
            <w:tcW w:w="3292" w:type="dxa"/>
            <w:tcBorders>
              <w:top w:val="single" w:color="auto" w:sz="6" w:space="0"/>
              <w:left w:val="single" w:color="auto" w:sz="12" w:space="0"/>
              <w:bottom w:val="single" w:color="auto" w:sz="4" w:space="0"/>
              <w:right w:val="single" w:color="auto" w:sz="6" w:space="0"/>
            </w:tcBorders>
            <w:vAlign w:val="center"/>
          </w:tcPr>
          <w:p>
            <w:pPr>
              <w:snapToGrid w:val="0"/>
              <w:spacing w:line="300" w:lineRule="exact"/>
              <w:rPr>
                <w:rFonts w:ascii="仿宋_GB2312" w:eastAsia="仿宋_GB2312" w:cs="Arial"/>
                <w:color w:val="000000"/>
                <w:sz w:val="24"/>
              </w:rPr>
            </w:pPr>
            <w:r>
              <w:rPr>
                <w:rFonts w:hint="eastAsia" w:ascii="仿宋_GB2312" w:eastAsia="仿宋_GB2312"/>
                <w:color w:val="000000"/>
                <w:sz w:val="24"/>
              </w:rPr>
              <w:t>中标人拒不按照招标文件要求提交履约保证金</w:t>
            </w:r>
          </w:p>
        </w:tc>
        <w:tc>
          <w:tcPr>
            <w:tcW w:w="3728"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仿宋_GB2312" w:hAnsi="宋体" w:eastAsia="仿宋_GB2312" w:cs="宋体"/>
                <w:color w:val="000000"/>
                <w:spacing w:val="-10"/>
                <w:sz w:val="24"/>
              </w:rPr>
            </w:pPr>
          </w:p>
        </w:tc>
        <w:tc>
          <w:tcPr>
            <w:tcW w:w="2340" w:type="dxa"/>
            <w:tcBorders>
              <w:top w:val="single" w:color="auto" w:sz="6" w:space="0"/>
              <w:left w:val="single" w:color="auto" w:sz="6" w:space="0"/>
              <w:bottom w:val="single" w:color="auto" w:sz="6" w:space="0"/>
              <w:right w:val="single" w:color="auto" w:sz="12" w:space="0"/>
            </w:tcBorders>
            <w:vAlign w:val="center"/>
          </w:tcPr>
          <w:p>
            <w:pPr>
              <w:spacing w:line="300" w:lineRule="exact"/>
              <w:rPr>
                <w:rFonts w:ascii="仿宋_GB2312"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40" w:type="dxa"/>
            <w:bottom w:w="0" w:type="dxa"/>
            <w:right w:w="40" w:type="dxa"/>
          </w:tblCellMar>
        </w:tblPrEx>
        <w:trPr>
          <w:cantSplit/>
          <w:trHeight w:val="1168" w:hRule="atLeast"/>
          <w:jc w:val="center"/>
        </w:trPr>
        <w:tc>
          <w:tcPr>
            <w:tcW w:w="3292" w:type="dxa"/>
            <w:tcBorders>
              <w:top w:val="single" w:color="auto" w:sz="4" w:space="0"/>
              <w:left w:val="single" w:color="auto" w:sz="12" w:space="0"/>
              <w:bottom w:val="single" w:color="auto" w:sz="4" w:space="0"/>
              <w:right w:val="single" w:color="auto" w:sz="4" w:space="0"/>
            </w:tcBorders>
            <w:vAlign w:val="center"/>
          </w:tcPr>
          <w:p>
            <w:pPr>
              <w:snapToGrid w:val="0"/>
              <w:spacing w:line="300" w:lineRule="exact"/>
              <w:rPr>
                <w:rFonts w:ascii="仿宋_GB2312" w:hAnsi="宋体" w:eastAsia="仿宋_GB2312" w:cs="Arial"/>
                <w:color w:val="000000"/>
                <w:sz w:val="24"/>
              </w:rPr>
            </w:pPr>
            <w:r>
              <w:rPr>
                <w:rFonts w:hint="eastAsia" w:ascii="仿宋_GB2312" w:eastAsia="仿宋_GB2312"/>
                <w:color w:val="000000"/>
                <w:sz w:val="24"/>
              </w:rPr>
              <w:t>资审申请文件或投标文件虚假（包括虚报、瞒报、提供虚假资料等情况）</w:t>
            </w:r>
          </w:p>
        </w:tc>
        <w:tc>
          <w:tcPr>
            <w:tcW w:w="3728" w:type="dxa"/>
            <w:tcBorders>
              <w:top w:val="single" w:color="auto" w:sz="6" w:space="0"/>
              <w:left w:val="single" w:color="auto" w:sz="4" w:space="0"/>
              <w:bottom w:val="single" w:color="auto" w:sz="6" w:space="0"/>
              <w:right w:val="single" w:color="auto" w:sz="6" w:space="0"/>
            </w:tcBorders>
            <w:vAlign w:val="center"/>
          </w:tcPr>
          <w:p>
            <w:pPr>
              <w:spacing w:line="300" w:lineRule="exact"/>
              <w:rPr>
                <w:rFonts w:ascii="仿宋_GB2312" w:hAnsi="宋体" w:eastAsia="仿宋_GB2312" w:cs="Arial"/>
                <w:color w:val="000000"/>
                <w:sz w:val="24"/>
              </w:rPr>
            </w:pPr>
          </w:p>
        </w:tc>
        <w:tc>
          <w:tcPr>
            <w:tcW w:w="2340" w:type="dxa"/>
            <w:tcBorders>
              <w:top w:val="single" w:color="auto" w:sz="6" w:space="0"/>
              <w:left w:val="single" w:color="auto" w:sz="6" w:space="0"/>
              <w:bottom w:val="single" w:color="auto" w:sz="6" w:space="0"/>
              <w:right w:val="single" w:color="auto" w:sz="12" w:space="0"/>
            </w:tcBorders>
            <w:vAlign w:val="center"/>
          </w:tcPr>
          <w:p>
            <w:pPr>
              <w:spacing w:line="300" w:lineRule="exact"/>
              <w:rPr>
                <w:rFonts w:ascii="仿宋_GB2312"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40" w:type="dxa"/>
            <w:bottom w:w="0" w:type="dxa"/>
            <w:right w:w="40" w:type="dxa"/>
          </w:tblCellMar>
        </w:tblPrEx>
        <w:trPr>
          <w:cantSplit/>
          <w:trHeight w:val="526" w:hRule="atLeast"/>
          <w:jc w:val="center"/>
        </w:trPr>
        <w:tc>
          <w:tcPr>
            <w:tcW w:w="3292" w:type="dxa"/>
            <w:tcBorders>
              <w:top w:val="single" w:color="auto" w:sz="4" w:space="0"/>
              <w:left w:val="single" w:color="auto" w:sz="12" w:space="0"/>
              <w:bottom w:val="single" w:color="auto" w:sz="4" w:space="0"/>
              <w:right w:val="single" w:color="auto" w:sz="4" w:space="0"/>
            </w:tcBorders>
            <w:vAlign w:val="center"/>
          </w:tcPr>
          <w:p>
            <w:pPr>
              <w:snapToGrid w:val="0"/>
              <w:spacing w:line="300" w:lineRule="exact"/>
              <w:rPr>
                <w:rFonts w:ascii="仿宋_GB2312" w:eastAsia="仿宋_GB2312" w:cs="Arial"/>
                <w:color w:val="000000"/>
                <w:sz w:val="24"/>
              </w:rPr>
            </w:pPr>
            <w:r>
              <w:rPr>
                <w:rFonts w:hint="eastAsia" w:ascii="仿宋_GB2312" w:hAnsi="宋体" w:eastAsia="仿宋_GB2312"/>
                <w:color w:val="000000"/>
                <w:sz w:val="24"/>
              </w:rPr>
              <w:t>进行虚假投诉举报</w:t>
            </w:r>
          </w:p>
        </w:tc>
        <w:tc>
          <w:tcPr>
            <w:tcW w:w="3728" w:type="dxa"/>
            <w:tcBorders>
              <w:top w:val="single" w:color="auto" w:sz="6" w:space="0"/>
              <w:left w:val="single" w:color="auto" w:sz="4" w:space="0"/>
              <w:bottom w:val="single" w:color="auto" w:sz="6" w:space="0"/>
              <w:right w:val="single" w:color="auto" w:sz="6" w:space="0"/>
            </w:tcBorders>
            <w:vAlign w:val="center"/>
          </w:tcPr>
          <w:p>
            <w:pPr>
              <w:spacing w:line="300" w:lineRule="exact"/>
              <w:rPr>
                <w:rFonts w:ascii="仿宋_GB2312" w:hAnsi="宋体" w:eastAsia="仿宋_GB2312" w:cs="Arial"/>
                <w:color w:val="000000"/>
                <w:sz w:val="24"/>
              </w:rPr>
            </w:pPr>
          </w:p>
        </w:tc>
        <w:tc>
          <w:tcPr>
            <w:tcW w:w="2340" w:type="dxa"/>
            <w:tcBorders>
              <w:top w:val="single" w:color="auto" w:sz="6" w:space="0"/>
              <w:left w:val="single" w:color="auto" w:sz="6" w:space="0"/>
              <w:bottom w:val="single" w:color="auto" w:sz="6" w:space="0"/>
              <w:right w:val="single" w:color="auto" w:sz="12" w:space="0"/>
            </w:tcBorders>
            <w:vAlign w:val="center"/>
          </w:tcPr>
          <w:p>
            <w:pPr>
              <w:spacing w:line="300" w:lineRule="exact"/>
              <w:rPr>
                <w:rFonts w:ascii="仿宋_GB2312"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40" w:type="dxa"/>
            <w:bottom w:w="0" w:type="dxa"/>
            <w:right w:w="40" w:type="dxa"/>
          </w:tblCellMar>
        </w:tblPrEx>
        <w:trPr>
          <w:cantSplit/>
          <w:trHeight w:val="579" w:hRule="atLeast"/>
          <w:jc w:val="center"/>
        </w:trPr>
        <w:tc>
          <w:tcPr>
            <w:tcW w:w="3292" w:type="dxa"/>
            <w:tcBorders>
              <w:top w:val="single" w:color="auto" w:sz="4" w:space="0"/>
              <w:left w:val="single" w:color="auto" w:sz="12" w:space="0"/>
              <w:bottom w:val="single" w:color="auto" w:sz="12" w:space="0"/>
              <w:right w:val="single" w:color="auto" w:sz="6" w:space="0"/>
            </w:tcBorders>
            <w:vAlign w:val="center"/>
          </w:tcPr>
          <w:p>
            <w:pPr>
              <w:snapToGrid w:val="0"/>
              <w:spacing w:line="300" w:lineRule="exact"/>
              <w:rPr>
                <w:rFonts w:ascii="仿宋_GB2312" w:eastAsia="仿宋_GB2312"/>
                <w:color w:val="000000"/>
                <w:sz w:val="24"/>
              </w:rPr>
            </w:pPr>
            <w:r>
              <w:rPr>
                <w:rFonts w:hint="eastAsia" w:ascii="仿宋_GB2312" w:eastAsia="仿宋_GB2312"/>
                <w:color w:val="000000"/>
                <w:sz w:val="24"/>
              </w:rPr>
              <w:t>投标人认定的其他不良行为</w:t>
            </w:r>
          </w:p>
        </w:tc>
        <w:tc>
          <w:tcPr>
            <w:tcW w:w="3728" w:type="dxa"/>
            <w:tcBorders>
              <w:top w:val="single" w:color="auto" w:sz="6" w:space="0"/>
              <w:left w:val="single" w:color="auto" w:sz="6" w:space="0"/>
              <w:bottom w:val="single" w:color="auto" w:sz="12" w:space="0"/>
              <w:right w:val="single" w:color="auto" w:sz="6" w:space="0"/>
            </w:tcBorders>
            <w:vAlign w:val="center"/>
          </w:tcPr>
          <w:p>
            <w:pPr>
              <w:spacing w:line="300" w:lineRule="exact"/>
              <w:rPr>
                <w:rFonts w:ascii="仿宋_GB2312" w:hAnsi="宋体" w:eastAsia="仿宋_GB2312" w:cs="Arial"/>
                <w:color w:val="000000"/>
                <w:sz w:val="24"/>
              </w:rPr>
            </w:pPr>
          </w:p>
        </w:tc>
        <w:tc>
          <w:tcPr>
            <w:tcW w:w="2340" w:type="dxa"/>
            <w:tcBorders>
              <w:top w:val="single" w:color="auto" w:sz="6" w:space="0"/>
              <w:left w:val="single" w:color="auto" w:sz="6" w:space="0"/>
              <w:bottom w:val="single" w:color="auto" w:sz="12" w:space="0"/>
              <w:right w:val="single" w:color="auto" w:sz="12" w:space="0"/>
            </w:tcBorders>
            <w:vAlign w:val="center"/>
          </w:tcPr>
          <w:p>
            <w:pPr>
              <w:spacing w:line="300" w:lineRule="exact"/>
              <w:rPr>
                <w:rFonts w:ascii="仿宋_GB2312" w:hAnsi="宋体" w:eastAsia="仿宋_GB2312"/>
                <w:color w:val="000000"/>
                <w:sz w:val="24"/>
              </w:rPr>
            </w:pPr>
          </w:p>
        </w:tc>
      </w:tr>
    </w:tbl>
    <w:p>
      <w:pPr>
        <w:spacing w:line="300" w:lineRule="exact"/>
        <w:ind w:left="-321" w:leftChars="-153" w:firstLine="26" w:firstLineChars="11"/>
        <w:rPr>
          <w:rFonts w:ascii="仿宋_GB2312" w:eastAsia="仿宋_GB2312" w:cs="Arial"/>
          <w:color w:val="000000"/>
          <w:sz w:val="24"/>
        </w:rPr>
      </w:pPr>
      <w:r>
        <w:rPr>
          <w:rFonts w:hint="eastAsia" w:ascii="仿宋_GB2312" w:eastAsia="仿宋_GB2312" w:cs="Arial"/>
          <w:color w:val="000000"/>
          <w:sz w:val="24"/>
        </w:rPr>
        <w:t>注：1.备注栏主要填写投标人有以上行为时的理由，需提供书面的佐证材料。</w:t>
      </w: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r>
        <w:rPr>
          <w:rFonts w:hint="eastAsia" w:ascii="仿宋_GB2312" w:eastAsia="仿宋_GB2312" w:cs="Arial"/>
          <w:color w:val="000000"/>
          <w:sz w:val="24"/>
        </w:rPr>
        <w:t>填报人：                                       审核人：</w:t>
      </w:r>
    </w:p>
    <w:p>
      <w:pPr>
        <w:rPr>
          <w:rFonts w:ascii="黑体" w:eastAsia="黑体"/>
          <w:bCs/>
          <w:color w:val="000000"/>
          <w:sz w:val="32"/>
          <w:szCs w:val="32"/>
        </w:rPr>
      </w:pPr>
      <w:r>
        <w:rPr>
          <w:rFonts w:hint="eastAsia" w:ascii="黑体" w:eastAsia="黑体"/>
          <w:bCs/>
          <w:color w:val="000000"/>
          <w:sz w:val="32"/>
          <w:szCs w:val="32"/>
        </w:rPr>
        <w:t>附件5</w:t>
      </w:r>
    </w:p>
    <w:p>
      <w:pPr>
        <w:snapToGrid w:val="0"/>
        <w:jc w:val="center"/>
        <w:rPr>
          <w:rFonts w:ascii="方正小标宋简体" w:hAnsi="宋体" w:eastAsia="方正小标宋简体"/>
          <w:b/>
          <w:bCs/>
          <w:color w:val="000000"/>
          <w:sz w:val="44"/>
          <w:szCs w:val="44"/>
        </w:rPr>
      </w:pPr>
    </w:p>
    <w:p>
      <w:pPr>
        <w:snapToGrid w:val="0"/>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湖南省水运工程施工企业信用评价申诉书</w:t>
      </w:r>
    </w:p>
    <w:p>
      <w:pPr>
        <w:spacing w:line="600" w:lineRule="exact"/>
        <w:rPr>
          <w:rFonts w:ascii="仿宋_GB2312" w:eastAsia="仿宋_GB2312"/>
          <w:color w:val="000000"/>
          <w:sz w:val="32"/>
          <w:szCs w:val="32"/>
        </w:rPr>
      </w:pPr>
    </w:p>
    <w:p>
      <w:pPr>
        <w:spacing w:line="600" w:lineRule="exact"/>
        <w:rPr>
          <w:rFonts w:ascii="仿宋_GB2312" w:eastAsia="仿宋_GB2312"/>
          <w:color w:val="000000"/>
          <w:sz w:val="32"/>
          <w:szCs w:val="32"/>
        </w:rPr>
      </w:pPr>
      <w:r>
        <w:rPr>
          <w:rFonts w:hint="eastAsia" w:ascii="仿宋_GB2312" w:eastAsia="仿宋_GB2312"/>
          <w:color w:val="000000"/>
          <w:sz w:val="32"/>
          <w:szCs w:val="32"/>
        </w:rPr>
        <w:t xml:space="preserve">申诉人（名称及组织机构代码）                                              </w:t>
      </w:r>
    </w:p>
    <w:p>
      <w:pPr>
        <w:spacing w:line="600" w:lineRule="exact"/>
        <w:rPr>
          <w:rFonts w:ascii="仿宋_GB2312" w:eastAsia="仿宋_GB2312"/>
          <w:color w:val="000000"/>
          <w:sz w:val="32"/>
          <w:szCs w:val="32"/>
        </w:rPr>
      </w:pPr>
      <w:r>
        <w:rPr>
          <w:rFonts w:hint="eastAsia" w:ascii="仿宋_GB2312" w:eastAsia="仿宋_GB2312"/>
          <w:color w:val="000000"/>
          <w:sz w:val="32"/>
          <w:szCs w:val="32"/>
        </w:rPr>
        <w:t xml:space="preserve">地  址                                                      </w:t>
      </w:r>
    </w:p>
    <w:p>
      <w:pPr>
        <w:spacing w:line="600" w:lineRule="exact"/>
        <w:rPr>
          <w:rFonts w:ascii="仿宋_GB2312" w:eastAsia="仿宋_GB2312"/>
          <w:color w:val="000000"/>
          <w:sz w:val="32"/>
          <w:szCs w:val="32"/>
        </w:rPr>
      </w:pPr>
      <w:r>
        <w:rPr>
          <w:rFonts w:hint="eastAsia" w:ascii="仿宋_GB2312" w:eastAsia="仿宋_GB2312"/>
          <w:color w:val="000000"/>
          <w:sz w:val="32"/>
          <w:szCs w:val="32"/>
        </w:rPr>
        <w:t xml:space="preserve">邮  编                  联系电话及传真                            </w:t>
      </w:r>
    </w:p>
    <w:p>
      <w:pPr>
        <w:spacing w:line="600" w:lineRule="exact"/>
        <w:rPr>
          <w:rFonts w:ascii="仿宋_GB2312" w:eastAsia="仿宋_GB2312"/>
          <w:color w:val="000000"/>
          <w:sz w:val="32"/>
          <w:szCs w:val="32"/>
        </w:rPr>
      </w:pPr>
      <w:r>
        <w:rPr>
          <w:rFonts w:hint="eastAsia" w:ascii="仿宋_GB2312" w:eastAsia="仿宋_GB2312"/>
          <w:color w:val="000000"/>
          <w:sz w:val="32"/>
          <w:szCs w:val="32"/>
        </w:rPr>
        <w:t xml:space="preserve">法定代表人姓名          联系电话                          </w:t>
      </w:r>
    </w:p>
    <w:p>
      <w:pPr>
        <w:spacing w:line="600" w:lineRule="exact"/>
        <w:ind w:left="1"/>
        <w:rPr>
          <w:rFonts w:ascii="仿宋_GB2312" w:eastAsia="仿宋_GB2312"/>
          <w:color w:val="000000"/>
          <w:sz w:val="32"/>
          <w:szCs w:val="32"/>
        </w:rPr>
      </w:pPr>
      <w:r>
        <w:rPr>
          <w:rFonts w:hint="eastAsia" w:ascii="仿宋_GB2312" w:eastAsia="仿宋_GB2312"/>
          <w:color w:val="000000"/>
          <w:sz w:val="32"/>
          <w:szCs w:val="32"/>
        </w:rPr>
        <w:t xml:space="preserve">授权代表：姓名          性别         电话                     </w:t>
      </w:r>
    </w:p>
    <w:p>
      <w:pPr>
        <w:spacing w:line="600" w:lineRule="exact"/>
        <w:ind w:left="1"/>
        <w:rPr>
          <w:rFonts w:ascii="仿宋_GB2312" w:eastAsia="仿宋_GB2312"/>
          <w:color w:val="000000"/>
          <w:sz w:val="32"/>
          <w:szCs w:val="32"/>
        </w:rPr>
      </w:pPr>
      <w:r>
        <w:rPr>
          <w:rFonts w:hint="eastAsia" w:ascii="仿宋_GB2312" w:eastAsia="仿宋_GB2312"/>
          <w:color w:val="000000"/>
          <w:sz w:val="32"/>
          <w:szCs w:val="32"/>
        </w:rPr>
        <w:t xml:space="preserve">身份证号码：（附身份证复印件）与申诉人关系：              </w:t>
      </w:r>
    </w:p>
    <w:p>
      <w:pPr>
        <w:spacing w:line="500" w:lineRule="exact"/>
        <w:rPr>
          <w:rFonts w:ascii="仿宋_GB2312" w:eastAsia="仿宋_GB2312"/>
          <w:color w:val="000000"/>
          <w:sz w:val="32"/>
          <w:szCs w:val="32"/>
        </w:rPr>
      </w:pPr>
    </w:p>
    <w:p>
      <w:pPr>
        <w:spacing w:line="500" w:lineRule="exact"/>
        <w:rPr>
          <w:rFonts w:ascii="黑体" w:hAnsi="黑体" w:eastAsia="黑体"/>
          <w:color w:val="000000"/>
          <w:sz w:val="32"/>
          <w:szCs w:val="32"/>
        </w:rPr>
      </w:pPr>
      <w:r>
        <w:rPr>
          <w:rFonts w:hint="eastAsia" w:ascii="黑体" w:hAnsi="黑体" w:eastAsia="黑体"/>
          <w:color w:val="000000"/>
          <w:sz w:val="32"/>
          <w:szCs w:val="32"/>
        </w:rPr>
        <w:t xml:space="preserve">一、申诉事项的基本事实：                                                     </w:t>
      </w:r>
    </w:p>
    <w:p>
      <w:pPr>
        <w:spacing w:line="500" w:lineRule="exact"/>
        <w:rPr>
          <w:rFonts w:ascii="黑体" w:hAnsi="黑体" w:eastAsia="黑体"/>
          <w:b/>
          <w:color w:val="000000"/>
          <w:sz w:val="32"/>
          <w:szCs w:val="32"/>
        </w:rPr>
      </w:pPr>
      <w:r>
        <w:rPr>
          <w:rFonts w:hint="eastAsia" w:ascii="黑体" w:hAnsi="黑体" w:eastAsia="黑体"/>
          <w:b/>
          <w:color w:val="000000"/>
          <w:sz w:val="32"/>
          <w:szCs w:val="32"/>
        </w:rPr>
        <w:t xml:space="preserve">                                                                                </w:t>
      </w:r>
    </w:p>
    <w:p>
      <w:pPr>
        <w:spacing w:line="500" w:lineRule="exact"/>
        <w:rPr>
          <w:rFonts w:ascii="黑体" w:hAnsi="黑体" w:eastAsia="黑体"/>
          <w:b/>
          <w:color w:val="000000"/>
          <w:sz w:val="32"/>
          <w:szCs w:val="32"/>
        </w:rPr>
      </w:pPr>
      <w:r>
        <w:rPr>
          <w:rFonts w:hint="eastAsia" w:ascii="黑体" w:hAnsi="黑体" w:eastAsia="黑体"/>
          <w:b/>
          <w:color w:val="000000"/>
          <w:sz w:val="32"/>
          <w:szCs w:val="32"/>
        </w:rPr>
        <w:t xml:space="preserve">                                                            </w:t>
      </w:r>
    </w:p>
    <w:p>
      <w:pPr>
        <w:spacing w:line="500" w:lineRule="exact"/>
        <w:rPr>
          <w:rFonts w:ascii="黑体" w:hAnsi="黑体" w:eastAsia="黑体"/>
          <w:color w:val="000000"/>
          <w:sz w:val="32"/>
          <w:szCs w:val="32"/>
        </w:rPr>
      </w:pPr>
      <w:r>
        <w:rPr>
          <w:rFonts w:hint="eastAsia" w:ascii="黑体" w:hAnsi="黑体" w:eastAsia="黑体"/>
          <w:color w:val="000000"/>
          <w:sz w:val="32"/>
          <w:szCs w:val="32"/>
        </w:rPr>
        <w:t xml:space="preserve">二、相关请求及主张：                                              </w:t>
      </w:r>
    </w:p>
    <w:p>
      <w:pPr>
        <w:spacing w:line="500" w:lineRule="exact"/>
        <w:rPr>
          <w:rFonts w:ascii="黑体" w:hAnsi="黑体" w:eastAsia="黑体"/>
          <w:color w:val="000000"/>
          <w:sz w:val="32"/>
          <w:szCs w:val="32"/>
        </w:rPr>
      </w:pPr>
    </w:p>
    <w:p>
      <w:pPr>
        <w:spacing w:line="500" w:lineRule="exact"/>
        <w:rPr>
          <w:rFonts w:ascii="黑体" w:hAnsi="黑体" w:eastAsia="黑体"/>
          <w:color w:val="000000"/>
          <w:sz w:val="32"/>
          <w:szCs w:val="32"/>
        </w:rPr>
      </w:pP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 xml:space="preserve">附：相关原始证明材料                        </w:t>
      </w:r>
    </w:p>
    <w:p>
      <w:pPr>
        <w:pStyle w:val="2"/>
        <w:spacing w:line="500" w:lineRule="exact"/>
        <w:rPr>
          <w:rFonts w:ascii="黑体" w:hAnsi="黑体" w:eastAsia="黑体"/>
          <w:color w:val="000000"/>
          <w:sz w:val="32"/>
          <w:szCs w:val="32"/>
        </w:rPr>
      </w:pPr>
    </w:p>
    <w:p>
      <w:pPr>
        <w:pStyle w:val="3"/>
        <w:spacing w:line="500" w:lineRule="exact"/>
        <w:ind w:left="99" w:leftChars="47" w:firstLine="4320" w:firstLineChars="1350"/>
        <w:rPr>
          <w:rFonts w:ascii="仿宋_GB2312" w:eastAsia="仿宋_GB2312"/>
          <w:color w:val="000000"/>
          <w:sz w:val="32"/>
          <w:szCs w:val="32"/>
        </w:rPr>
      </w:pPr>
    </w:p>
    <w:p>
      <w:pPr>
        <w:pStyle w:val="3"/>
        <w:spacing w:line="500" w:lineRule="exact"/>
        <w:ind w:left="99" w:leftChars="47" w:firstLine="4160" w:firstLineChars="1300"/>
        <w:rPr>
          <w:rFonts w:ascii="仿宋_GB2312" w:eastAsia="仿宋_GB2312"/>
          <w:sz w:val="32"/>
          <w:szCs w:val="32"/>
        </w:rPr>
      </w:pPr>
      <w:r>
        <w:rPr>
          <w:rFonts w:hint="eastAsia" w:ascii="仿宋_GB2312" w:eastAsia="仿宋_GB2312"/>
          <w:sz w:val="32"/>
          <w:szCs w:val="32"/>
        </w:rPr>
        <w:t xml:space="preserve">申诉人（公章）          </w:t>
      </w:r>
    </w:p>
    <w:p>
      <w:pPr>
        <w:pStyle w:val="3"/>
        <w:spacing w:line="500" w:lineRule="exact"/>
        <w:ind w:left="99" w:leftChars="47" w:firstLine="4160" w:firstLineChars="1300"/>
        <w:rPr>
          <w:rFonts w:ascii="仿宋_GB2312" w:eastAsia="仿宋_GB2312"/>
          <w:sz w:val="32"/>
          <w:szCs w:val="32"/>
        </w:rPr>
      </w:pPr>
      <w:r>
        <w:rPr>
          <w:rFonts w:hint="eastAsia" w:ascii="仿宋_GB2312" w:eastAsia="仿宋_GB2312"/>
          <w:sz w:val="32"/>
          <w:szCs w:val="32"/>
        </w:rPr>
        <w:t xml:space="preserve">法定代表人（签字）      </w:t>
      </w:r>
    </w:p>
    <w:p>
      <w:pPr>
        <w:pStyle w:val="3"/>
        <w:spacing w:line="500" w:lineRule="exact"/>
        <w:ind w:left="99" w:leftChars="47" w:firstLine="4160" w:firstLineChars="1300"/>
        <w:rPr>
          <w:rFonts w:ascii="仿宋_GB2312" w:hAnsi="Arial" w:eastAsia="仿宋_GB2312" w:cs="Arial"/>
          <w:color w:val="000000"/>
          <w:kern w:val="0"/>
          <w:sz w:val="32"/>
          <w:szCs w:val="32"/>
        </w:rPr>
      </w:pPr>
      <w:r>
        <w:rPr>
          <w:rFonts w:hint="eastAsia" w:ascii="仿宋_GB2312" w:eastAsia="仿宋_GB2312"/>
          <w:sz w:val="32"/>
          <w:szCs w:val="32"/>
        </w:rPr>
        <w:t>年     月     日</w:t>
      </w:r>
    </w:p>
    <w:p>
      <w:pPr>
        <w:spacing w:line="300" w:lineRule="exact"/>
        <w:rPr>
          <w:rFonts w:ascii="仿宋_GB2312" w:eastAsia="仿宋_GB2312" w:cs="Arial"/>
          <w:color w:val="000000"/>
          <w:sz w:val="24"/>
        </w:rPr>
        <w:sectPr>
          <w:pgSz w:w="11906" w:h="16838"/>
          <w:pgMar w:top="2098" w:right="1588" w:bottom="1928" w:left="1588" w:header="851" w:footer="1701" w:gutter="0"/>
          <w:cols w:space="425" w:num="1"/>
          <w:docGrid w:type="lines" w:linePitch="312" w:charSpace="0"/>
        </w:sect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spacing w:line="300" w:lineRule="exact"/>
        <w:rPr>
          <w:rFonts w:ascii="仿宋_GB2312" w:eastAsia="仿宋_GB2312" w:cs="Arial"/>
          <w:color w:val="000000"/>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ind w:left="-850" w:leftChars="-405" w:firstLine="480" w:firstLineChars="200"/>
        <w:rPr>
          <w:rFonts w:ascii="仿宋_GB2312" w:hAnsi="宋体" w:eastAsia="仿宋_GB2312" w:cs="仿宋_GB2312"/>
          <w:sz w:val="24"/>
        </w:rPr>
      </w:pPr>
    </w:p>
    <w:p>
      <w:pPr>
        <w:adjustRightInd w:val="0"/>
        <w:snapToGrid w:val="0"/>
        <w:spacing w:line="280" w:lineRule="exact"/>
        <w:rPr>
          <w:rFonts w:ascii="仿宋_GB2312" w:hAnsi="宋体" w:eastAsia="仿宋_GB2312" w:cs="仿宋_GB2312"/>
          <w:sz w:val="24"/>
        </w:rPr>
      </w:pPr>
    </w:p>
    <w:p>
      <w:pPr>
        <w:pStyle w:val="6"/>
        <w:shd w:val="clear" w:color="auto" w:fill="FFFFFF"/>
        <w:spacing w:beforeAutospacing="0" w:afterAutospacing="0" w:line="520" w:lineRule="exact"/>
        <w:ind w:firstLine="280" w:firstLineChars="100"/>
        <w:textAlignment w:val="baseline"/>
        <w:rPr>
          <w:rFonts w:ascii="仿宋_GB2312" w:hAnsi="仿宋" w:eastAsia="仿宋_GB2312"/>
          <w:color w:val="000000"/>
          <w:sz w:val="32"/>
          <w:szCs w:val="32"/>
        </w:rPr>
      </w:pPr>
      <w:r>
        <w:rPr>
          <w:rFonts w:hint="eastAsia" w:ascii="仿宋_GB2312" w:eastAsia="仿宋_GB2312"/>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12700</wp:posOffset>
                </wp:positionV>
                <wp:extent cx="5600700" cy="0"/>
                <wp:effectExtent l="8255" t="7620" r="10795" b="11430"/>
                <wp:wrapNone/>
                <wp:docPr id="3" name="Line 2"/>
                <wp:cNvGraphicFramePr/>
                <a:graphic xmlns:a="http://schemas.openxmlformats.org/drawingml/2006/main">
                  <a:graphicData uri="http://schemas.microsoft.com/office/word/2010/wordprocessingShape">
                    <wps:wsp>
                      <wps:cNvCnPr>
                        <a:cxnSpLocks noChangeShapeType="true"/>
                      </wps:cNvCnPr>
                      <wps:spPr bwMode="auto">
                        <a:xfrm>
                          <a:off x="0" y="0"/>
                          <a:ext cx="5600700" cy="0"/>
                        </a:xfrm>
                        <a:prstGeom prst="line">
                          <a:avLst/>
                        </a:prstGeom>
                        <a:noFill/>
                        <a:ln w="12700">
                          <a:solidFill>
                            <a:srgbClr val="000000"/>
                          </a:solidFill>
                          <a:round/>
                        </a:ln>
                      </wps:spPr>
                      <wps:bodyPr/>
                    </wps:wsp>
                  </a:graphicData>
                </a:graphic>
              </wp:anchor>
            </w:drawing>
          </mc:Choice>
          <mc:Fallback>
            <w:pict>
              <v:line id="Line 2" o:spid="_x0000_s1026" o:spt="20" style="position:absolute;left:0pt;margin-left:0pt;margin-top:1pt;height:0pt;width:441pt;z-index:251657216;mso-width-relative:page;mso-height-relative:page;" filled="f" stroked="t" coordsize="21600,21600" o:gfxdata="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G8RIvSAAAABAEAAA8AAAAAAAAAAQAgAAAAOAAAAGRycy9kb3ducmV2LnhtbFBL&#10;AQIUABQAAAAIAIdO4kBAtxitrQEAAFUDAAAOAAAAAAAAAAEAIAAAADcBAABkcnMvZTJvRG9jLnht&#10;bFBLBQYAAAAABgAGAFkBAABWBQAAAAA=&#10;">
                <v:fill on="f" focussize="0,0"/>
                <v:stroke weight="1pt" color="#000000" joinstyle="round"/>
                <v:imagedata o:title=""/>
                <o:lock v:ext="edit" aspectratio="f"/>
              </v:line>
            </w:pict>
          </mc:Fallback>
        </mc:AlternateContent>
      </w:r>
      <w:r>
        <w:rPr>
          <w:rFonts w:hint="eastAsia" w:ascii="仿宋_GB2312" w:eastAsia="仿宋_GB2312"/>
          <w:sz w:val="28"/>
          <w:szCs w:val="28"/>
        </w:rPr>
        <w:t>抄送：</w:t>
      </w:r>
      <w:r>
        <w:rPr>
          <w:rFonts w:hint="eastAsia" w:ascii="仿宋_GB2312" w:hAnsi="仿宋" w:eastAsia="仿宋_GB2312"/>
          <w:color w:val="000000"/>
          <w:sz w:val="28"/>
          <w:szCs w:val="28"/>
        </w:rPr>
        <w:t>厅领导，厅机关相关处室。</w:t>
      </w:r>
    </w:p>
    <w:p>
      <w:pPr>
        <w:ind w:firstLine="280" w:firstLineChars="100"/>
      </w:pPr>
      <w:r>
        <w:rPr>
          <w:rFonts w:hint="eastAsia"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387985</wp:posOffset>
                </wp:positionV>
                <wp:extent cx="5610225" cy="0"/>
                <wp:effectExtent l="8255" t="7620" r="10795" b="11430"/>
                <wp:wrapNone/>
                <wp:docPr id="2" name="Line 3"/>
                <wp:cNvGraphicFramePr/>
                <a:graphic xmlns:a="http://schemas.openxmlformats.org/drawingml/2006/main">
                  <a:graphicData uri="http://schemas.microsoft.com/office/word/2010/wordprocessingShape">
                    <wps:wsp>
                      <wps:cNvCnPr>
                        <a:cxnSpLocks noChangeShapeType="true"/>
                      </wps:cNvCnPr>
                      <wps:spPr bwMode="auto">
                        <a:xfrm>
                          <a:off x="0" y="0"/>
                          <a:ext cx="5610225" cy="0"/>
                        </a:xfrm>
                        <a:prstGeom prst="line">
                          <a:avLst/>
                        </a:prstGeom>
                        <a:noFill/>
                        <a:ln w="12700">
                          <a:solidFill>
                            <a:srgbClr val="000000"/>
                          </a:solidFill>
                          <a:round/>
                        </a:ln>
                      </wps:spPr>
                      <wps:bodyPr/>
                    </wps:wsp>
                  </a:graphicData>
                </a:graphic>
              </wp:anchor>
            </w:drawing>
          </mc:Choice>
          <mc:Fallback>
            <w:pict>
              <v:line id="Line 3" o:spid="_x0000_s1026" o:spt="20" style="position:absolute;left:0pt;margin-left:-0.75pt;margin-top:30.55pt;height:0pt;width:441.75pt;z-index:251658240;mso-width-relative:page;mso-height-relative:page;" filled="f" stroked="t" coordsize="21600,21600" o:gfxdata="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D291oXXAAAACAEAAA8AAAAAAAAAAQAgAAAAOAAAAGRycy9kb3du&#10;cmV2LnhtbFBLAQIUABQAAAAIAIdO4kDqGAGgsQEAAFUDAAAOAAAAAAAAAAEAIAAAADwBAABkcnMv&#10;ZTJvRG9jLnhtbFBLBQYAAAAABgAGAFkBAABfBQAAAAA=&#10;">
                <v:fill on="f" focussize="0,0"/>
                <v:stroke weight="1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12700</wp:posOffset>
                </wp:positionV>
                <wp:extent cx="5600700" cy="0"/>
                <wp:effectExtent l="8255" t="13335" r="10795" b="5715"/>
                <wp:wrapNone/>
                <wp:docPr id="1" name="Line 4"/>
                <wp:cNvGraphicFramePr/>
                <a:graphic xmlns:a="http://schemas.openxmlformats.org/drawingml/2006/main">
                  <a:graphicData uri="http://schemas.microsoft.com/office/word/2010/wordprocessingShape">
                    <wps:wsp>
                      <wps:cNvCnPr>
                        <a:cxnSpLocks noChangeShapeType="true"/>
                      </wps:cNvCnPr>
                      <wps:spPr bwMode="auto">
                        <a:xfrm>
                          <a:off x="0" y="0"/>
                          <a:ext cx="5600700" cy="0"/>
                        </a:xfrm>
                        <a:prstGeom prst="line">
                          <a:avLst/>
                        </a:prstGeom>
                        <a:noFill/>
                        <a:ln w="6350">
                          <a:solidFill>
                            <a:srgbClr val="000000"/>
                          </a:solidFill>
                          <a:round/>
                        </a:ln>
                      </wps:spPr>
                      <wps:bodyPr/>
                    </wps:wsp>
                  </a:graphicData>
                </a:graphic>
              </wp:anchor>
            </w:drawing>
          </mc:Choice>
          <mc:Fallback>
            <w:pict>
              <v:line id="Line 4" o:spid="_x0000_s1026" o:spt="20" style="position:absolute;left:0pt;margin-left:0pt;margin-top:1pt;height:0pt;width:441pt;z-index:251658240;mso-width-relative:page;mso-height-relative:page;" filled="f" stroked="t" coordsize="21600,21600" o:gfxdata="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ss6rm0AAAAAQBAAAPAAAAAAAAAAEAIAAAADgAAABkcnMvZG93bnJldi54bWxQ&#10;SwECFAAUAAAACACHTuJAhL9Z7bABAABUAwAADgAAAAAAAAABACAAAAA1AQAAZHJzL2Uyb0RvYy54&#10;bWxQSwUGAAAAAAYABgBZAQAAVwUAAAAA&#10;">
                <v:fill on="f" focussize="0,0"/>
                <v:stroke weight="0.5pt" color="#000000" joinstyle="round"/>
                <v:imagedata o:title=""/>
                <o:lock v:ext="edit" aspectratio="f"/>
              </v:line>
            </w:pict>
          </mc:Fallback>
        </mc:AlternateContent>
      </w:r>
      <w:r>
        <w:rPr>
          <w:rFonts w:hint="eastAsia" w:ascii="仿宋_GB2312" w:eastAsia="仿宋_GB2312"/>
          <w:sz w:val="28"/>
          <w:szCs w:val="28"/>
        </w:rPr>
        <w:t>湖南省交通运输厅办公室                 2023年2月24日印制</w:t>
      </w:r>
    </w:p>
    <w:sectPr>
      <w:footerReference r:id="rId5" w:type="default"/>
      <w:pgSz w:w="11906" w:h="16838"/>
      <w:pgMar w:top="2098" w:right="1588" w:bottom="1928" w:left="1588"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_x0010_">
    <w:altName w:val="汉仪叶叶相思体简"/>
    <w:panose1 w:val="00000000000000000000"/>
    <w:charset w:val="00"/>
    <w:family w:val="roman"/>
    <w:pitch w:val="default"/>
    <w:sig w:usb0="00000000" w:usb1="00000000" w:usb2="00000000" w:usb3="00000000" w:csb0="00000001" w:csb1="00000000"/>
  </w:font>
  <w:font w:name="Arial">
    <w:altName w:val="Nimbus Roman No9 L"/>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w:t>
    </w:r>
    <w:r>
      <w:rPr>
        <w:rStyle w:val="9"/>
        <w:rFonts w:ascii="宋体" w:hAnsi="宋体"/>
        <w:sz w:val="28"/>
        <w:szCs w:val="28"/>
      </w:rPr>
      <w:fldChar w:fldCharType="end"/>
    </w:r>
    <w:r>
      <w:rPr>
        <w:rStyle w:val="9"/>
        <w:rFonts w:hint="eastAsia" w:ascii="宋体" w:hAnsi="宋体"/>
        <w:sz w:val="28"/>
        <w:szCs w:val="28"/>
      </w:rPr>
      <w:t xml:space="preserve"> —</w:t>
    </w:r>
  </w:p>
  <w:p>
    <w:pPr>
      <w:pStyle w:val="4"/>
      <w:ind w:left="210" w:leftChars="100" w:firstLine="357"/>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34</w:t>
    </w:r>
    <w:r>
      <w:rPr>
        <w:rStyle w:val="9"/>
        <w:rFonts w:ascii="宋体" w:hAnsi="宋体"/>
        <w:sz w:val="28"/>
        <w:szCs w:val="28"/>
      </w:rPr>
      <w:fldChar w:fldCharType="end"/>
    </w:r>
    <w:r>
      <w:rPr>
        <w:rStyle w:val="9"/>
        <w:rFonts w:hint="eastAsia" w:ascii="宋体" w:hAnsi="宋体"/>
        <w:sz w:val="28"/>
        <w:szCs w:val="28"/>
      </w:rPr>
      <w:t xml:space="preserve"> —</w:t>
    </w:r>
  </w:p>
  <w:p>
    <w:pPr>
      <w:pStyle w:val="4"/>
      <w:ind w:left="210" w:leftChars="100" w:firstLine="357"/>
    </w:pP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2BA23"/>
    <w:multiLevelType w:val="singleLevel"/>
    <w:tmpl w:val="E0E2BA23"/>
    <w:lvl w:ilvl="0" w:tentative="0">
      <w:start w:val="4"/>
      <w:numFmt w:val="chineseCounting"/>
      <w:suff w:val="space"/>
      <w:lvlText w:val="第%1章"/>
      <w:lvlJc w:val="left"/>
      <w:rPr>
        <w:rFonts w:hint="eastAsia"/>
      </w:rPr>
    </w:lvl>
  </w:abstractNum>
  <w:abstractNum w:abstractNumId="1">
    <w:nsid w:val="0FC40BE1"/>
    <w:multiLevelType w:val="multilevel"/>
    <w:tmpl w:val="0FC40BE1"/>
    <w:lvl w:ilvl="0" w:tentative="0">
      <w:start w:val="1"/>
      <w:numFmt w:val="decimalEnclosedCircle"/>
      <w:lvlText w:val="注%1"/>
      <w:lvlJc w:val="left"/>
      <w:pPr>
        <w:ind w:left="600" w:hanging="48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2">
    <w:nsid w:val="600C08E3"/>
    <w:multiLevelType w:val="multilevel"/>
    <w:tmpl w:val="600C08E3"/>
    <w:lvl w:ilvl="0" w:tentative="0">
      <w:start w:val="1"/>
      <w:numFmt w:val="decimalEnclosedCircle"/>
      <w:lvlText w:val="注%1"/>
      <w:lvlJc w:val="left"/>
      <w:pPr>
        <w:ind w:left="600" w:hanging="48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3">
    <w:nsid w:val="7CB7402C"/>
    <w:multiLevelType w:val="multilevel"/>
    <w:tmpl w:val="7CB7402C"/>
    <w:lvl w:ilvl="0" w:tentative="0">
      <w:start w:val="1"/>
      <w:numFmt w:val="decimalEnclosedCircle"/>
      <w:lvlText w:val="注%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DD76652"/>
    <w:multiLevelType w:val="multilevel"/>
    <w:tmpl w:val="7DD76652"/>
    <w:lvl w:ilvl="0" w:tentative="0">
      <w:start w:val="1"/>
      <w:numFmt w:val="decimalEnclosedCircle"/>
      <w:lvlText w:val="注%1"/>
      <w:lvlJc w:val="left"/>
      <w:pPr>
        <w:ind w:left="562" w:hanging="420"/>
      </w:pPr>
      <w:rPr>
        <w:rFonts w:hint="default" w:ascii="宋体" w:eastAsia="宋体" w:cs="Times New Roman"/>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51"/>
    <w:rsid w:val="000337F0"/>
    <w:rsid w:val="00051CC4"/>
    <w:rsid w:val="000565AB"/>
    <w:rsid w:val="00065F10"/>
    <w:rsid w:val="00073DCB"/>
    <w:rsid w:val="000A3B62"/>
    <w:rsid w:val="000B6270"/>
    <w:rsid w:val="000C6854"/>
    <w:rsid w:val="001007A1"/>
    <w:rsid w:val="001052A4"/>
    <w:rsid w:val="0014788F"/>
    <w:rsid w:val="001573D3"/>
    <w:rsid w:val="00196E1C"/>
    <w:rsid w:val="001A42F3"/>
    <w:rsid w:val="001F2020"/>
    <w:rsid w:val="00202BC6"/>
    <w:rsid w:val="00203140"/>
    <w:rsid w:val="002154A1"/>
    <w:rsid w:val="0024154C"/>
    <w:rsid w:val="00253866"/>
    <w:rsid w:val="00261A1F"/>
    <w:rsid w:val="00262532"/>
    <w:rsid w:val="00264672"/>
    <w:rsid w:val="002C4582"/>
    <w:rsid w:val="002D36A6"/>
    <w:rsid w:val="002D4636"/>
    <w:rsid w:val="00381999"/>
    <w:rsid w:val="003C799A"/>
    <w:rsid w:val="003F1AB4"/>
    <w:rsid w:val="0040005A"/>
    <w:rsid w:val="00422A3C"/>
    <w:rsid w:val="00437F51"/>
    <w:rsid w:val="00456269"/>
    <w:rsid w:val="005007F8"/>
    <w:rsid w:val="00532E36"/>
    <w:rsid w:val="0053561E"/>
    <w:rsid w:val="005508E9"/>
    <w:rsid w:val="005633B3"/>
    <w:rsid w:val="005656CC"/>
    <w:rsid w:val="005A4FB1"/>
    <w:rsid w:val="005E00B3"/>
    <w:rsid w:val="00603FC8"/>
    <w:rsid w:val="00610C67"/>
    <w:rsid w:val="00655723"/>
    <w:rsid w:val="00665777"/>
    <w:rsid w:val="00667B1A"/>
    <w:rsid w:val="0069333E"/>
    <w:rsid w:val="006A19CA"/>
    <w:rsid w:val="006C4659"/>
    <w:rsid w:val="006D5856"/>
    <w:rsid w:val="006E4CDB"/>
    <w:rsid w:val="006F3B2E"/>
    <w:rsid w:val="006F72D1"/>
    <w:rsid w:val="00716A64"/>
    <w:rsid w:val="00746634"/>
    <w:rsid w:val="00767FF3"/>
    <w:rsid w:val="007B0AB6"/>
    <w:rsid w:val="007C5BE3"/>
    <w:rsid w:val="007D3677"/>
    <w:rsid w:val="007E0E36"/>
    <w:rsid w:val="007E4352"/>
    <w:rsid w:val="007F1BD1"/>
    <w:rsid w:val="00807060"/>
    <w:rsid w:val="00837E5B"/>
    <w:rsid w:val="00853D91"/>
    <w:rsid w:val="00890A4C"/>
    <w:rsid w:val="008953FB"/>
    <w:rsid w:val="008E4330"/>
    <w:rsid w:val="008F1969"/>
    <w:rsid w:val="0090696D"/>
    <w:rsid w:val="009233F9"/>
    <w:rsid w:val="009774FA"/>
    <w:rsid w:val="00987C33"/>
    <w:rsid w:val="009A0B70"/>
    <w:rsid w:val="009E03C2"/>
    <w:rsid w:val="009E6447"/>
    <w:rsid w:val="009E69C5"/>
    <w:rsid w:val="009F285E"/>
    <w:rsid w:val="00A045BD"/>
    <w:rsid w:val="00A12FDC"/>
    <w:rsid w:val="00A219C1"/>
    <w:rsid w:val="00A26C39"/>
    <w:rsid w:val="00A352CE"/>
    <w:rsid w:val="00A37539"/>
    <w:rsid w:val="00A406BD"/>
    <w:rsid w:val="00A82D06"/>
    <w:rsid w:val="00A845A4"/>
    <w:rsid w:val="00AE51FE"/>
    <w:rsid w:val="00B5199B"/>
    <w:rsid w:val="00B62E31"/>
    <w:rsid w:val="00B67BF0"/>
    <w:rsid w:val="00B97DBD"/>
    <w:rsid w:val="00BE38FB"/>
    <w:rsid w:val="00C056C1"/>
    <w:rsid w:val="00C219AC"/>
    <w:rsid w:val="00C57C6B"/>
    <w:rsid w:val="00C77FAD"/>
    <w:rsid w:val="00C84C44"/>
    <w:rsid w:val="00C92CB3"/>
    <w:rsid w:val="00CB2CC1"/>
    <w:rsid w:val="00CC2524"/>
    <w:rsid w:val="00D21325"/>
    <w:rsid w:val="00D22676"/>
    <w:rsid w:val="00D67BC6"/>
    <w:rsid w:val="00D81FB7"/>
    <w:rsid w:val="00DC3DAA"/>
    <w:rsid w:val="00DC5776"/>
    <w:rsid w:val="00E970B0"/>
    <w:rsid w:val="00E972AF"/>
    <w:rsid w:val="00EA6305"/>
    <w:rsid w:val="00EC3356"/>
    <w:rsid w:val="00ED16DE"/>
    <w:rsid w:val="00EE7B5A"/>
    <w:rsid w:val="00EF1116"/>
    <w:rsid w:val="00F05E69"/>
    <w:rsid w:val="00F16CAC"/>
    <w:rsid w:val="00F1710A"/>
    <w:rsid w:val="00F3674F"/>
    <w:rsid w:val="00F44636"/>
    <w:rsid w:val="00F56F6C"/>
    <w:rsid w:val="00F75F1F"/>
    <w:rsid w:val="00FC4508"/>
    <w:rsid w:val="00FC4594"/>
    <w:rsid w:val="00FE46CB"/>
    <w:rsid w:val="00FF094F"/>
    <w:rsid w:val="777BDB94"/>
    <w:rsid w:val="EDDEA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qFormat/>
    <w:uiPriority w:val="0"/>
    <w:rPr>
      <w:rFonts w:asciiTheme="minorHAnsi" w:hAnsiTheme="minorHAnsi" w:eastAsiaTheme="minorEastAsia" w:cstheme="minorBidi"/>
      <w:sz w:val="28"/>
    </w:rPr>
  </w:style>
  <w:style w:type="paragraph" w:styleId="3">
    <w:name w:val="Closing"/>
    <w:basedOn w:val="1"/>
    <w:link w:val="12"/>
    <w:qFormat/>
    <w:uiPriority w:val="0"/>
    <w:pPr>
      <w:ind w:left="100" w:leftChars="2100"/>
    </w:pPr>
    <w:rPr>
      <w:rFonts w:asciiTheme="minorHAnsi" w:hAnsiTheme="minorHAnsi" w:eastAsiaTheme="minorEastAsia" w:cstheme="minorBidi"/>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kern w:val="0"/>
      <w:sz w:val="24"/>
    </w:rPr>
  </w:style>
  <w:style w:type="character" w:styleId="9">
    <w:name w:val="page number"/>
    <w:basedOn w:val="8"/>
    <w:qFormat/>
    <w:uiPriority w:val="0"/>
  </w:style>
  <w:style w:type="paragraph" w:styleId="10">
    <w:name w:val="List Paragraph"/>
    <w:basedOn w:val="1"/>
    <w:qFormat/>
    <w:uiPriority w:val="34"/>
    <w:pPr>
      <w:ind w:firstLine="420" w:firstLineChars="200"/>
    </w:pPr>
  </w:style>
  <w:style w:type="character" w:customStyle="1" w:styleId="11">
    <w:name w:val="称呼 Char"/>
    <w:basedOn w:val="8"/>
    <w:link w:val="2"/>
    <w:qFormat/>
    <w:uiPriority w:val="0"/>
    <w:rPr>
      <w:rFonts w:asciiTheme="minorHAnsi" w:hAnsiTheme="minorHAnsi" w:eastAsiaTheme="minorEastAsia" w:cstheme="minorBidi"/>
      <w:kern w:val="2"/>
      <w:sz w:val="28"/>
      <w:szCs w:val="24"/>
    </w:rPr>
  </w:style>
  <w:style w:type="character" w:customStyle="1" w:styleId="12">
    <w:name w:val="结束语 Char"/>
    <w:basedOn w:val="8"/>
    <w:link w:val="3"/>
    <w:qFormat/>
    <w:uiPriority w:val="0"/>
    <w:rPr>
      <w:rFonts w:asciiTheme="minorHAnsi" w:hAnsiTheme="minorHAnsi" w:eastAsiaTheme="minorEastAsia" w:cstheme="minorBidi"/>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2815</Words>
  <Characters>16048</Characters>
  <Lines>133</Lines>
  <Paragraphs>37</Paragraphs>
  <TotalTime>31</TotalTime>
  <ScaleCrop>false</ScaleCrop>
  <LinksUpToDate>false</LinksUpToDate>
  <CharactersWithSpaces>18826</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2023-02-14T18:24:00Z</dcterms:created>
  <dc:creator>文印</dc:creator>
  <cp:lastModifiedBy>greatwall</cp:lastModifiedBy>
  <cp:lastPrinted>2023-02-15T00:01:00Z</cp:lastPrinted>
  <dcterms:modified xsi:type="dcterms:W3CDTF">2023-02-28T08:28:09Z</dcterms:modified>
  <dc:title>湘交〔2012〕号</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