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Times New Roman" w:hAnsi="Times New Roman" w:eastAsia="楷体_GB2312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108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南县赋予乡镇经济社会管理权限目录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76" w:lineRule="exact"/>
        <w:ind w:left="108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</w:rPr>
        <w:t>（燃气管理行政处罚类）（6项）</w:t>
      </w:r>
    </w:p>
    <w:tbl>
      <w:tblPr>
        <w:tblStyle w:val="9"/>
        <w:tblW w:w="502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2196"/>
        <w:gridCol w:w="3103"/>
        <w:gridCol w:w="3545"/>
        <w:gridCol w:w="816"/>
        <w:gridCol w:w="816"/>
        <w:gridCol w:w="958"/>
        <w:gridCol w:w="21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Header/>
        </w:trPr>
        <w:tc>
          <w:tcPr>
            <w:tcW w:w="24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0"/>
                <w:sz w:val="21"/>
                <w:szCs w:val="21"/>
              </w:rPr>
              <w:t>序号</w:t>
            </w:r>
          </w:p>
        </w:tc>
        <w:tc>
          <w:tcPr>
            <w:tcW w:w="770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赋权部门</w:t>
            </w:r>
          </w:p>
        </w:tc>
        <w:tc>
          <w:tcPr>
            <w:tcW w:w="1088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赋权事项</w:t>
            </w:r>
          </w:p>
        </w:tc>
        <w:tc>
          <w:tcPr>
            <w:tcW w:w="1243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事项名称</w:t>
            </w:r>
          </w:p>
        </w:tc>
        <w:tc>
          <w:tcPr>
            <w:tcW w:w="908" w:type="pct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赋权方式</w:t>
            </w:r>
          </w:p>
        </w:tc>
        <w:tc>
          <w:tcPr>
            <w:tcW w:w="744" w:type="pct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承接部门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tblHeader/>
        </w:trPr>
        <w:tc>
          <w:tcPr>
            <w:tcW w:w="24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770" w:type="pct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1088" w:type="pct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直接赋权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委托下放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前移</w:t>
            </w:r>
          </w:p>
        </w:tc>
        <w:tc>
          <w:tcPr>
            <w:tcW w:w="744" w:type="pct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4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县住房和城乡建设局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燃气管理违法违规行为的处罚</w:t>
            </w:r>
          </w:p>
        </w:tc>
        <w:tc>
          <w:tcPr>
            <w:tcW w:w="12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未取得燃气经营许可证从事燃气经营活动的处罚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√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各乡镇人民政府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4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县住房和城乡建设局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燃气管理违法违规行为的处罚</w:t>
            </w:r>
          </w:p>
        </w:tc>
        <w:tc>
          <w:tcPr>
            <w:tcW w:w="12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燃气经营者未按燃气经营许可的规定从事燃气经营活动的处罚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√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各乡镇人民政府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4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3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县住房和城乡建设局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燃气管理违法违规行为的处罚</w:t>
            </w:r>
          </w:p>
        </w:tc>
        <w:tc>
          <w:tcPr>
            <w:tcW w:w="12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对燃气经营者未采取措施及时消除燃气安全事故隐患等的处罚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√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各乡镇人民政府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4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县住房和城乡建设局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燃气管理违法违规行为的处罚</w:t>
            </w:r>
          </w:p>
        </w:tc>
        <w:tc>
          <w:tcPr>
            <w:tcW w:w="12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对在不具备安全条件的场所使用、储存燃气等的处罚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√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各乡镇人民政府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4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县住房和城乡建设局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燃气管理违法违规行为的处罚</w:t>
            </w:r>
          </w:p>
        </w:tc>
        <w:tc>
          <w:tcPr>
            <w:tcW w:w="12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对由于燃气燃烧器具安装、维修原因发生燃气事故等的处罚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√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各乡镇人民政府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44" w:type="pc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6</w:t>
            </w:r>
          </w:p>
        </w:tc>
        <w:tc>
          <w:tcPr>
            <w:tcW w:w="7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县住房和城乡建设局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燃气管理违法违规行为的处罚</w:t>
            </w:r>
          </w:p>
        </w:tc>
        <w:tc>
          <w:tcPr>
            <w:tcW w:w="12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擅自为非自有气瓶充装的燃气或销售非法瓶装燃气的处罚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√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1"/>
                <w:szCs w:val="21"/>
              </w:rPr>
              <w:t>各乡镇人民政府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62A5C"/>
    <w:rsid w:val="19513413"/>
    <w:rsid w:val="1F362A5C"/>
    <w:rsid w:val="44202667"/>
    <w:rsid w:val="4FCC5D39"/>
    <w:rsid w:val="539A4C1A"/>
    <w:rsid w:val="588B2E57"/>
    <w:rsid w:val="690B1182"/>
    <w:rsid w:val="7E250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 w:cs="Times New Roman"/>
      <w:b w:val="0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2022-12-29T08:01:00Z</dcterms:created>
  <dc:creator>Administrator</dc:creator>
  <cp:lastModifiedBy>Administrator</cp:lastModifiedBy>
  <dcterms:modified xsi:type="dcterms:W3CDTF">2022-12-29T08:02:26Z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