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大标宋_GBK"/>
          <w:sz w:val="44"/>
          <w:szCs w:val="48"/>
        </w:rPr>
      </w:pPr>
    </w:p>
    <w:p>
      <w:pPr>
        <w:spacing w:line="600" w:lineRule="exact"/>
        <w:jc w:val="center"/>
        <w:rPr>
          <w:rFonts w:eastAsia="方正大标宋_GBK"/>
          <w:sz w:val="44"/>
          <w:szCs w:val="48"/>
        </w:rPr>
      </w:pPr>
      <w:r>
        <w:rPr>
          <w:rFonts w:eastAsia="方正大标宋_GBK"/>
          <w:sz w:val="44"/>
          <w:szCs w:val="48"/>
        </w:rPr>
        <w:t>益阳市林业局</w:t>
      </w:r>
    </w:p>
    <w:p>
      <w:pPr>
        <w:spacing w:line="600" w:lineRule="exact"/>
        <w:jc w:val="center"/>
        <w:rPr>
          <w:rFonts w:eastAsia="方正大标宋_GBK"/>
          <w:sz w:val="44"/>
          <w:szCs w:val="48"/>
        </w:rPr>
      </w:pPr>
      <w:r>
        <w:rPr>
          <w:rFonts w:eastAsia="方正大标宋_GBK"/>
          <w:sz w:val="44"/>
          <w:szCs w:val="48"/>
        </w:rPr>
        <w:t>202</w:t>
      </w:r>
      <w:r>
        <w:rPr>
          <w:rFonts w:hint="eastAsia" w:eastAsia="方正大标宋_GBK"/>
          <w:sz w:val="44"/>
          <w:szCs w:val="48"/>
        </w:rPr>
        <w:t>1</w:t>
      </w:r>
      <w:r>
        <w:rPr>
          <w:rFonts w:eastAsia="方正大标宋_GBK"/>
          <w:sz w:val="44"/>
          <w:szCs w:val="48"/>
        </w:rPr>
        <w:t>年整体支出绩效自评报告</w:t>
      </w:r>
    </w:p>
    <w:p>
      <w:pPr>
        <w:spacing w:line="600" w:lineRule="exact"/>
        <w:ind w:firstLine="640" w:firstLineChars="200"/>
        <w:rPr>
          <w:rFonts w:eastAsia="仿宋_GB2312"/>
          <w:sz w:val="32"/>
          <w:szCs w:val="32"/>
        </w:rPr>
      </w:pPr>
      <w:r>
        <w:rPr>
          <w:rFonts w:eastAsia="仿宋_GB2312"/>
          <w:sz w:val="32"/>
          <w:szCs w:val="32"/>
        </w:rPr>
        <w:tab/>
      </w:r>
    </w:p>
    <w:p>
      <w:pPr>
        <w:spacing w:line="600" w:lineRule="exact"/>
        <w:ind w:firstLine="640" w:firstLineChars="200"/>
        <w:rPr>
          <w:rFonts w:eastAsia="黑体"/>
          <w:sz w:val="32"/>
          <w:szCs w:val="32"/>
        </w:rPr>
      </w:pPr>
      <w:r>
        <w:rPr>
          <w:rFonts w:eastAsia="黑体"/>
          <w:sz w:val="32"/>
          <w:szCs w:val="32"/>
        </w:rPr>
        <w:t>一、基本情况</w:t>
      </w:r>
    </w:p>
    <w:p>
      <w:pPr>
        <w:topLinePunct/>
        <w:spacing w:line="600" w:lineRule="exact"/>
        <w:ind w:firstLine="640" w:firstLineChars="200"/>
        <w:rPr>
          <w:rFonts w:eastAsia="仿宋"/>
          <w:sz w:val="32"/>
          <w:szCs w:val="32"/>
        </w:rPr>
      </w:pPr>
      <w:r>
        <w:rPr>
          <w:rFonts w:eastAsia="仿宋"/>
          <w:sz w:val="32"/>
          <w:szCs w:val="32"/>
        </w:rPr>
        <w:t>市林业局是市人民政府工作部门，主要负责贯彻执行有关林业的法律法规、方针政策，拟订并组织实施全市林业及其生态建设政策、发展战略、中长期规划，承担国家现代林业示范市建设、林业生态文明建设的有关工作，参与拟订有关市级标准和规程并指导实施，组织开展森林资源、陆生野生动植物资源、湿地和荒漠的调查、动态监测和统计等工作。下设办公室、造林绿化科、森林资源管理科、自然保护地管理科、政策法规科、规划财务科、产业发展科、人事教育科8个内设机构，市北峰山国有林场、益阳南洞庭湖湿地管理局、市森林病虫害防治站、市国有林场管理站、市种苗站</w:t>
      </w:r>
      <w:r>
        <w:rPr>
          <w:rFonts w:hint="eastAsia" w:eastAsia="仿宋"/>
          <w:sz w:val="32"/>
          <w:szCs w:val="32"/>
        </w:rPr>
        <w:t>5</w:t>
      </w:r>
      <w:r>
        <w:rPr>
          <w:rFonts w:eastAsia="仿宋"/>
          <w:sz w:val="32"/>
          <w:szCs w:val="32"/>
        </w:rPr>
        <w:t>个二级机构。除市森林公安局、市北峰山国有林场单独核算外，其他下级单位均纳入局机关统一核算。截止202</w:t>
      </w:r>
      <w:r>
        <w:rPr>
          <w:rFonts w:hint="eastAsia" w:eastAsia="仿宋"/>
          <w:sz w:val="32"/>
          <w:szCs w:val="32"/>
        </w:rPr>
        <w:t>1</w:t>
      </w:r>
      <w:r>
        <w:rPr>
          <w:rFonts w:eastAsia="仿宋"/>
          <w:sz w:val="32"/>
          <w:szCs w:val="32"/>
        </w:rPr>
        <w:t>年末，系统编制人数</w:t>
      </w:r>
      <w:r>
        <w:rPr>
          <w:rFonts w:hint="eastAsia" w:eastAsia="仿宋"/>
          <w:sz w:val="32"/>
          <w:szCs w:val="32"/>
        </w:rPr>
        <w:t>88</w:t>
      </w:r>
      <w:r>
        <w:rPr>
          <w:rFonts w:eastAsia="仿宋"/>
          <w:sz w:val="32"/>
          <w:szCs w:val="32"/>
        </w:rPr>
        <w:t>人，在职人数84人.</w:t>
      </w:r>
    </w:p>
    <w:p>
      <w:pPr>
        <w:spacing w:line="600" w:lineRule="exact"/>
        <w:ind w:firstLine="640" w:firstLineChars="200"/>
        <w:rPr>
          <w:rFonts w:eastAsia="黑体"/>
          <w:sz w:val="32"/>
          <w:szCs w:val="32"/>
        </w:rPr>
      </w:pPr>
      <w:r>
        <w:rPr>
          <w:rFonts w:eastAsia="黑体"/>
          <w:sz w:val="32"/>
          <w:szCs w:val="32"/>
        </w:rPr>
        <w:t>二、一般公共预算支出情况</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（一）基本支出情况</w:t>
      </w:r>
    </w:p>
    <w:p>
      <w:pPr>
        <w:spacing w:line="600" w:lineRule="exact"/>
        <w:ind w:firstLine="640" w:firstLineChars="200"/>
        <w:rPr>
          <w:rFonts w:eastAsia="仿宋"/>
          <w:sz w:val="32"/>
          <w:szCs w:val="32"/>
        </w:rPr>
      </w:pPr>
      <w:r>
        <w:rPr>
          <w:rFonts w:eastAsia="仿宋"/>
          <w:sz w:val="32"/>
          <w:szCs w:val="32"/>
        </w:rPr>
        <w:t>202</w:t>
      </w:r>
      <w:r>
        <w:rPr>
          <w:rFonts w:hint="eastAsia" w:eastAsia="仿宋"/>
          <w:sz w:val="32"/>
          <w:szCs w:val="32"/>
        </w:rPr>
        <w:t>1</w:t>
      </w:r>
      <w:r>
        <w:rPr>
          <w:rFonts w:eastAsia="仿宋"/>
          <w:sz w:val="32"/>
          <w:szCs w:val="32"/>
        </w:rPr>
        <w:t>年我局实际完成收入</w:t>
      </w:r>
      <w:r>
        <w:rPr>
          <w:rFonts w:hint="eastAsia" w:eastAsia="仿宋"/>
          <w:sz w:val="32"/>
          <w:szCs w:val="32"/>
        </w:rPr>
        <w:t>3195.9</w:t>
      </w:r>
      <w:r>
        <w:rPr>
          <w:rFonts w:eastAsia="仿宋"/>
          <w:sz w:val="32"/>
          <w:szCs w:val="32"/>
        </w:rPr>
        <w:t>万元，其中一般公共预算财政拨款收入为</w:t>
      </w:r>
      <w:r>
        <w:rPr>
          <w:rFonts w:hint="eastAsia" w:eastAsia="仿宋"/>
          <w:sz w:val="32"/>
          <w:szCs w:val="32"/>
        </w:rPr>
        <w:t>3116.6</w:t>
      </w:r>
      <w:r>
        <w:rPr>
          <w:rFonts w:eastAsia="仿宋"/>
          <w:sz w:val="32"/>
          <w:szCs w:val="32"/>
        </w:rPr>
        <w:t>万元，</w:t>
      </w:r>
      <w:r>
        <w:rPr>
          <w:rFonts w:hint="eastAsia" w:eastAsia="仿宋"/>
          <w:sz w:val="32"/>
          <w:szCs w:val="32"/>
        </w:rPr>
        <w:t>事业收入48万元，</w:t>
      </w:r>
      <w:r>
        <w:rPr>
          <w:rFonts w:eastAsia="仿宋"/>
          <w:sz w:val="32"/>
          <w:szCs w:val="32"/>
        </w:rPr>
        <w:t>其他收入</w:t>
      </w:r>
      <w:r>
        <w:rPr>
          <w:rFonts w:hint="eastAsia" w:eastAsia="仿宋"/>
          <w:sz w:val="32"/>
          <w:szCs w:val="32"/>
        </w:rPr>
        <w:t>31.3</w:t>
      </w:r>
      <w:r>
        <w:rPr>
          <w:rFonts w:eastAsia="仿宋"/>
          <w:sz w:val="32"/>
          <w:szCs w:val="32"/>
        </w:rPr>
        <w:t>万元；一般公共预算支出</w:t>
      </w:r>
      <w:r>
        <w:rPr>
          <w:rFonts w:hint="eastAsia" w:eastAsia="仿宋"/>
          <w:sz w:val="32"/>
          <w:szCs w:val="32"/>
        </w:rPr>
        <w:t>3925.25</w:t>
      </w:r>
      <w:r>
        <w:rPr>
          <w:rFonts w:eastAsia="仿宋"/>
          <w:sz w:val="32"/>
          <w:szCs w:val="32"/>
        </w:rPr>
        <w:t>万元，其中基本支出</w:t>
      </w:r>
      <w:r>
        <w:rPr>
          <w:rFonts w:hint="eastAsia" w:eastAsia="仿宋"/>
          <w:sz w:val="32"/>
          <w:szCs w:val="32"/>
        </w:rPr>
        <w:t>1596</w:t>
      </w:r>
      <w:r>
        <w:rPr>
          <w:rFonts w:eastAsia="仿宋"/>
          <w:sz w:val="32"/>
          <w:szCs w:val="32"/>
        </w:rPr>
        <w:t>万元，项目支出</w:t>
      </w:r>
      <w:r>
        <w:rPr>
          <w:rFonts w:hint="eastAsia" w:eastAsia="仿宋"/>
          <w:sz w:val="32"/>
          <w:szCs w:val="32"/>
        </w:rPr>
        <w:t>2329.25</w:t>
      </w:r>
      <w:r>
        <w:rPr>
          <w:rFonts w:eastAsia="仿宋"/>
          <w:sz w:val="32"/>
          <w:szCs w:val="32"/>
        </w:rPr>
        <w:t>万元，</w:t>
      </w:r>
    </w:p>
    <w:p>
      <w:pPr>
        <w:spacing w:line="600" w:lineRule="exact"/>
        <w:ind w:firstLine="640" w:firstLineChars="200"/>
        <w:rPr>
          <w:rFonts w:hint="eastAsia" w:eastAsia="仿宋"/>
          <w:sz w:val="32"/>
          <w:szCs w:val="32"/>
          <w:lang w:eastAsia="zh-CN"/>
        </w:rPr>
      </w:pPr>
      <w:r>
        <w:rPr>
          <w:rFonts w:eastAsia="仿宋"/>
          <w:sz w:val="32"/>
          <w:szCs w:val="32"/>
        </w:rPr>
        <w:t>按经济科目分类工资福利支出</w:t>
      </w:r>
      <w:r>
        <w:rPr>
          <w:rFonts w:hint="eastAsia" w:eastAsia="仿宋"/>
          <w:sz w:val="32"/>
          <w:szCs w:val="32"/>
        </w:rPr>
        <w:t>1141.45</w:t>
      </w:r>
      <w:r>
        <w:rPr>
          <w:rFonts w:eastAsia="仿宋"/>
          <w:sz w:val="32"/>
          <w:szCs w:val="32"/>
        </w:rPr>
        <w:t>万元，商品服务支出</w:t>
      </w:r>
      <w:r>
        <w:rPr>
          <w:rFonts w:hint="eastAsia" w:eastAsia="仿宋"/>
          <w:sz w:val="32"/>
          <w:szCs w:val="32"/>
        </w:rPr>
        <w:t>2310</w:t>
      </w:r>
      <w:r>
        <w:rPr>
          <w:rFonts w:eastAsia="仿宋"/>
          <w:sz w:val="32"/>
          <w:szCs w:val="32"/>
        </w:rPr>
        <w:t>万元，个人与家庭补助支出</w:t>
      </w:r>
      <w:r>
        <w:rPr>
          <w:rFonts w:hint="eastAsia" w:eastAsia="仿宋"/>
          <w:sz w:val="32"/>
          <w:szCs w:val="32"/>
        </w:rPr>
        <w:t>235.96</w:t>
      </w:r>
      <w:r>
        <w:rPr>
          <w:rFonts w:eastAsia="仿宋"/>
          <w:sz w:val="32"/>
          <w:szCs w:val="32"/>
        </w:rPr>
        <w:t>万元，资本性支出</w:t>
      </w:r>
      <w:r>
        <w:rPr>
          <w:rFonts w:hint="eastAsia" w:eastAsia="仿宋"/>
          <w:sz w:val="32"/>
          <w:szCs w:val="32"/>
        </w:rPr>
        <w:t>237.86</w:t>
      </w:r>
      <w:r>
        <w:rPr>
          <w:rFonts w:eastAsia="仿宋"/>
          <w:sz w:val="32"/>
          <w:szCs w:val="32"/>
        </w:rPr>
        <w:t>万元</w:t>
      </w:r>
      <w:r>
        <w:rPr>
          <w:rFonts w:hint="eastAsia" w:eastAsia="仿宋"/>
          <w:sz w:val="32"/>
          <w:szCs w:val="32"/>
          <w:lang w:eastAsia="zh-CN"/>
        </w:rPr>
        <w:t>。</w:t>
      </w:r>
    </w:p>
    <w:p>
      <w:pPr>
        <w:spacing w:line="600" w:lineRule="exact"/>
        <w:ind w:firstLine="640" w:firstLineChars="200"/>
        <w:rPr>
          <w:rFonts w:eastAsia="仿宋"/>
          <w:sz w:val="32"/>
          <w:szCs w:val="32"/>
        </w:rPr>
      </w:pPr>
      <w:r>
        <w:rPr>
          <w:rFonts w:eastAsia="仿宋"/>
          <w:sz w:val="32"/>
          <w:szCs w:val="32"/>
        </w:rPr>
        <w:t>单位基本支出主要用于人员工资、奖金、医保、公积金、离退休和单位办公运行经费的支出，着力于保证单位日常运转，林业事业的正常发展。</w:t>
      </w:r>
    </w:p>
    <w:p>
      <w:pPr>
        <w:spacing w:line="60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（二）项目支出情况</w:t>
      </w:r>
    </w:p>
    <w:p>
      <w:pPr>
        <w:spacing w:line="600" w:lineRule="exact"/>
        <w:ind w:firstLine="642" w:firstLineChars="200"/>
        <w:rPr>
          <w:rFonts w:eastAsia="仿宋"/>
          <w:b/>
          <w:bCs/>
          <w:sz w:val="32"/>
          <w:szCs w:val="32"/>
        </w:rPr>
      </w:pPr>
      <w:r>
        <w:rPr>
          <w:rFonts w:eastAsia="仿宋"/>
          <w:b/>
          <w:bCs/>
          <w:sz w:val="32"/>
          <w:szCs w:val="32"/>
        </w:rPr>
        <w:t>1、林业产业发展专项</w:t>
      </w:r>
    </w:p>
    <w:p>
      <w:pPr>
        <w:spacing w:line="600" w:lineRule="exact"/>
        <w:ind w:firstLine="640"/>
        <w:rPr>
          <w:rFonts w:eastAsia="仿宋"/>
          <w:sz w:val="32"/>
          <w:szCs w:val="32"/>
        </w:rPr>
      </w:pPr>
      <w:r>
        <w:rPr>
          <w:rFonts w:eastAsia="仿宋"/>
          <w:sz w:val="32"/>
          <w:szCs w:val="32"/>
        </w:rPr>
        <w:t>202</w:t>
      </w:r>
      <w:r>
        <w:rPr>
          <w:rFonts w:hint="eastAsia" w:eastAsia="仿宋"/>
          <w:sz w:val="32"/>
          <w:szCs w:val="32"/>
        </w:rPr>
        <w:t>1</w:t>
      </w:r>
      <w:r>
        <w:rPr>
          <w:rFonts w:eastAsia="仿宋"/>
          <w:sz w:val="32"/>
          <w:szCs w:val="32"/>
        </w:rPr>
        <w:t>年12月市财政下达林业产业发展资金100万元，截止报告期末，项目共支出经费100万元.项目经费严格按照单位的财务制度和预算支出范围使用，并和市财政联合制定了《益阳市林业产业发展专项资金管理办法》，所有资金均由益阳市财政局实行国库集中支付，按照项目申报和实际工作情况开支，做到了专款专用，经费均按照省、市印发的有关文件、通知精神执行。项目支出主要包括通过发展苗木花卉产业，</w:t>
      </w:r>
      <w:r>
        <w:rPr>
          <w:rFonts w:hint="eastAsia" w:eastAsia="仿宋"/>
          <w:sz w:val="32"/>
          <w:szCs w:val="32"/>
        </w:rPr>
        <w:t>秀美乡村建设</w:t>
      </w:r>
      <w:r>
        <w:rPr>
          <w:rFonts w:eastAsia="仿宋"/>
          <w:sz w:val="32"/>
          <w:szCs w:val="32"/>
        </w:rPr>
        <w:t>，提高森林覆盖率，增强生态系统稳定性，增强生态产品生产能力的目标，以抓好基础设施建设和生态修复为重点，发展生态旅游，秀美乡村建设，传播生态文明，增加林农收入，加快产业转型升级。</w:t>
      </w:r>
    </w:p>
    <w:p>
      <w:pPr>
        <w:spacing w:line="600" w:lineRule="exact"/>
        <w:ind w:firstLine="640"/>
        <w:rPr>
          <w:rFonts w:eastAsia="仿宋_GB2312"/>
          <w:b/>
          <w:bCs/>
          <w:sz w:val="32"/>
          <w:szCs w:val="32"/>
        </w:rPr>
      </w:pPr>
      <w:r>
        <w:rPr>
          <w:rFonts w:eastAsia="仿宋_GB2312"/>
          <w:b/>
          <w:bCs/>
          <w:sz w:val="32"/>
          <w:szCs w:val="32"/>
        </w:rPr>
        <w:t>2、其他林业项目资金使用情况</w:t>
      </w:r>
    </w:p>
    <w:p>
      <w:pPr>
        <w:spacing w:line="600" w:lineRule="exact"/>
        <w:ind w:firstLine="640"/>
        <w:rPr>
          <w:rFonts w:eastAsia="仿宋"/>
          <w:sz w:val="32"/>
          <w:szCs w:val="32"/>
        </w:rPr>
      </w:pPr>
      <w:r>
        <w:rPr>
          <w:rFonts w:eastAsia="仿宋"/>
          <w:sz w:val="32"/>
          <w:szCs w:val="32"/>
        </w:rPr>
        <w:t>2019年底，省财政下达了湖南省益阳市森林火灾高风险区综合治理项目1470万元（中央项目），2020</w:t>
      </w:r>
      <w:r>
        <w:rPr>
          <w:rFonts w:hint="eastAsia" w:eastAsia="仿宋"/>
          <w:sz w:val="32"/>
          <w:szCs w:val="32"/>
        </w:rPr>
        <w:t>-2021</w:t>
      </w:r>
      <w:r>
        <w:rPr>
          <w:rFonts w:eastAsia="仿宋"/>
          <w:sz w:val="32"/>
          <w:szCs w:val="32"/>
        </w:rPr>
        <w:t>年我们严格按照湖南省林业局对该项目的初步设计的批复开展该项目，在项目实施过程中我们严格落实项目法人责任制、合同制、招投标制和监理制等制度，严格执行林业项目资金管理办法，建设资金单独核算，专款专用，有效确保了项目资金安全运行和使用效益，到202</w:t>
      </w:r>
      <w:r>
        <w:rPr>
          <w:rFonts w:hint="eastAsia" w:eastAsia="仿宋"/>
          <w:sz w:val="32"/>
          <w:szCs w:val="32"/>
        </w:rPr>
        <w:t>1</w:t>
      </w:r>
      <w:r>
        <w:rPr>
          <w:rFonts w:eastAsia="仿宋"/>
          <w:sz w:val="32"/>
          <w:szCs w:val="32"/>
        </w:rPr>
        <w:t>年12月底该项目共完成投资</w:t>
      </w:r>
      <w:r>
        <w:rPr>
          <w:rFonts w:hint="eastAsia" w:eastAsia="仿宋"/>
          <w:sz w:val="32"/>
          <w:szCs w:val="32"/>
        </w:rPr>
        <w:t>1470</w:t>
      </w:r>
      <w:r>
        <w:rPr>
          <w:rFonts w:eastAsia="仿宋"/>
          <w:sz w:val="32"/>
          <w:szCs w:val="32"/>
        </w:rPr>
        <w:t>万元，完成中央投资的</w:t>
      </w:r>
      <w:r>
        <w:rPr>
          <w:rFonts w:hint="eastAsia" w:eastAsia="仿宋"/>
          <w:sz w:val="32"/>
          <w:szCs w:val="32"/>
        </w:rPr>
        <w:t>100</w:t>
      </w:r>
      <w:r>
        <w:rPr>
          <w:rFonts w:eastAsia="仿宋"/>
          <w:sz w:val="32"/>
          <w:szCs w:val="32"/>
        </w:rPr>
        <w:t>%</w:t>
      </w:r>
      <w:r>
        <w:rPr>
          <w:rFonts w:hint="eastAsia" w:eastAsia="仿宋"/>
          <w:sz w:val="32"/>
          <w:szCs w:val="32"/>
        </w:rPr>
        <w:t>,项目目前已完成省局的验收，并着手办理项目扫尾的相关手续</w:t>
      </w:r>
      <w:r>
        <w:rPr>
          <w:rFonts w:eastAsia="仿宋"/>
          <w:sz w:val="32"/>
          <w:szCs w:val="32"/>
        </w:rPr>
        <w:t>。</w:t>
      </w:r>
    </w:p>
    <w:p>
      <w:pPr>
        <w:topLinePunct/>
        <w:spacing w:line="600" w:lineRule="exact"/>
        <w:ind w:firstLine="640" w:firstLineChars="200"/>
        <w:rPr>
          <w:rFonts w:eastAsia="仿宋"/>
          <w:sz w:val="32"/>
          <w:szCs w:val="32"/>
        </w:rPr>
      </w:pPr>
      <w:r>
        <w:rPr>
          <w:rFonts w:eastAsia="仿宋"/>
          <w:sz w:val="32"/>
          <w:szCs w:val="32"/>
        </w:rPr>
        <w:t>2020年8月</w:t>
      </w:r>
      <w:r>
        <w:rPr>
          <w:rFonts w:hint="eastAsia" w:eastAsia="仿宋"/>
          <w:sz w:val="32"/>
          <w:szCs w:val="32"/>
        </w:rPr>
        <w:t>和2021年年初分两批</w:t>
      </w:r>
      <w:r>
        <w:rPr>
          <w:rFonts w:eastAsia="仿宋"/>
          <w:sz w:val="32"/>
          <w:szCs w:val="32"/>
        </w:rPr>
        <w:t>下达了重点生态保护修复治理专项资金</w:t>
      </w:r>
      <w:r>
        <w:rPr>
          <w:rFonts w:hint="eastAsia" w:eastAsia="仿宋"/>
          <w:sz w:val="32"/>
          <w:szCs w:val="32"/>
        </w:rPr>
        <w:t>合计2663.6</w:t>
      </w:r>
      <w:r>
        <w:rPr>
          <w:rFonts w:eastAsia="仿宋"/>
          <w:sz w:val="32"/>
          <w:szCs w:val="32"/>
        </w:rPr>
        <w:t>万元</w:t>
      </w:r>
      <w:r>
        <w:rPr>
          <w:rFonts w:hint="eastAsia" w:eastAsia="仿宋"/>
          <w:sz w:val="32"/>
          <w:szCs w:val="32"/>
        </w:rPr>
        <w:t>，</w:t>
      </w:r>
      <w:r>
        <w:rPr>
          <w:rFonts w:eastAsia="仿宋"/>
          <w:sz w:val="32"/>
          <w:szCs w:val="32"/>
        </w:rPr>
        <w:t>用于南洞庭湖自然保护区岸线、洲滩及缓冲区、实验区生态修复工程，该项目资金一下达，我们就本着专项资金专项管理的原则，成立了专班，按照省政府的工作要求，加班加点完成项目实施，到202</w:t>
      </w:r>
      <w:r>
        <w:rPr>
          <w:rFonts w:hint="eastAsia" w:eastAsia="仿宋"/>
          <w:sz w:val="32"/>
          <w:szCs w:val="32"/>
        </w:rPr>
        <w:t>1</w:t>
      </w:r>
      <w:r>
        <w:rPr>
          <w:rFonts w:eastAsia="仿宋"/>
          <w:sz w:val="32"/>
          <w:szCs w:val="32"/>
        </w:rPr>
        <w:t>年底项目</w:t>
      </w:r>
      <w:r>
        <w:rPr>
          <w:rFonts w:hint="eastAsia" w:eastAsia="仿宋"/>
          <w:sz w:val="32"/>
          <w:szCs w:val="32"/>
        </w:rPr>
        <w:t>已完成省局验收，</w:t>
      </w:r>
      <w:r>
        <w:rPr>
          <w:rFonts w:eastAsia="仿宋"/>
          <w:sz w:val="32"/>
          <w:szCs w:val="32"/>
        </w:rPr>
        <w:t>余款</w:t>
      </w:r>
      <w:r>
        <w:rPr>
          <w:rFonts w:hint="eastAsia" w:eastAsia="仿宋"/>
          <w:sz w:val="32"/>
          <w:szCs w:val="32"/>
        </w:rPr>
        <w:t>也会按合同按时</w:t>
      </w:r>
      <w:r>
        <w:rPr>
          <w:rFonts w:eastAsia="仿宋"/>
          <w:sz w:val="32"/>
          <w:szCs w:val="32"/>
        </w:rPr>
        <w:t>支付。</w:t>
      </w:r>
    </w:p>
    <w:p>
      <w:pPr>
        <w:topLinePunct/>
        <w:spacing w:line="600" w:lineRule="exact"/>
        <w:ind w:firstLine="640" w:firstLineChars="200"/>
        <w:rPr>
          <w:rFonts w:eastAsia="仿宋"/>
          <w:sz w:val="32"/>
          <w:szCs w:val="32"/>
        </w:rPr>
      </w:pPr>
      <w:r>
        <w:rPr>
          <w:rFonts w:eastAsia="仿宋"/>
          <w:sz w:val="32"/>
          <w:szCs w:val="32"/>
        </w:rPr>
        <w:t>202</w:t>
      </w:r>
      <w:r>
        <w:rPr>
          <w:rFonts w:hint="eastAsia" w:eastAsia="仿宋"/>
          <w:sz w:val="32"/>
          <w:szCs w:val="32"/>
        </w:rPr>
        <w:t>1</w:t>
      </w:r>
      <w:r>
        <w:rPr>
          <w:rFonts w:eastAsia="仿宋"/>
          <w:sz w:val="32"/>
          <w:szCs w:val="32"/>
        </w:rPr>
        <w:t>年</w:t>
      </w:r>
      <w:r>
        <w:rPr>
          <w:rFonts w:hint="eastAsia" w:eastAsia="仿宋"/>
          <w:sz w:val="32"/>
          <w:szCs w:val="32"/>
        </w:rPr>
        <w:t>年初中央下达了南洞庭湖国际重要湿地保护与恢复补助项目1200万元，该项目已在年底完成主体工程，工程款部分未支付；2021年10月下达了南洞庭湖国际重要湿地保护与恢复工程项目8929万元，该项目主体工程还未启动，今年将加快进度，争取年底完成竣工验收。</w:t>
      </w:r>
    </w:p>
    <w:p>
      <w:pPr>
        <w:spacing w:line="600" w:lineRule="exact"/>
        <w:ind w:firstLine="640" w:firstLineChars="200"/>
        <w:rPr>
          <w:rFonts w:eastAsia="黑体"/>
          <w:sz w:val="32"/>
          <w:szCs w:val="32"/>
        </w:rPr>
      </w:pPr>
      <w:r>
        <w:rPr>
          <w:rFonts w:eastAsia="黑体"/>
          <w:sz w:val="32"/>
          <w:szCs w:val="32"/>
        </w:rPr>
        <w:t>三、政府性基金预算支出情况</w:t>
      </w:r>
    </w:p>
    <w:p>
      <w:pPr>
        <w:spacing w:line="600" w:lineRule="exact"/>
        <w:ind w:firstLine="640"/>
        <w:rPr>
          <w:rFonts w:eastAsia="仿宋"/>
          <w:sz w:val="32"/>
          <w:szCs w:val="32"/>
        </w:rPr>
      </w:pPr>
      <w:r>
        <w:rPr>
          <w:rFonts w:eastAsia="仿宋"/>
          <w:sz w:val="32"/>
          <w:szCs w:val="32"/>
        </w:rPr>
        <w:t>202</w:t>
      </w:r>
      <w:r>
        <w:rPr>
          <w:rFonts w:hint="eastAsia" w:eastAsia="仿宋"/>
          <w:sz w:val="32"/>
          <w:szCs w:val="32"/>
        </w:rPr>
        <w:t>1</w:t>
      </w:r>
      <w:r>
        <w:rPr>
          <w:rFonts w:eastAsia="仿宋"/>
          <w:sz w:val="32"/>
          <w:szCs w:val="32"/>
        </w:rPr>
        <w:t>年单位无政府性基金预算收入，基金预算支出为三峡后续工程项目支出</w:t>
      </w:r>
      <w:r>
        <w:rPr>
          <w:rFonts w:hint="eastAsia" w:eastAsia="仿宋"/>
          <w:sz w:val="32"/>
          <w:szCs w:val="32"/>
        </w:rPr>
        <w:t>15.864</w:t>
      </w:r>
      <w:r>
        <w:rPr>
          <w:rFonts w:eastAsia="仿宋"/>
          <w:sz w:val="32"/>
          <w:szCs w:val="32"/>
        </w:rPr>
        <w:t>万元，主要用于</w:t>
      </w:r>
      <w:r>
        <w:rPr>
          <w:rFonts w:hint="eastAsia" w:eastAsia="仿宋"/>
          <w:sz w:val="32"/>
          <w:szCs w:val="32"/>
        </w:rPr>
        <w:t>项目视频设备的购置和安装</w:t>
      </w:r>
      <w:r>
        <w:rPr>
          <w:rFonts w:eastAsia="仿宋"/>
          <w:sz w:val="32"/>
          <w:szCs w:val="32"/>
        </w:rPr>
        <w:t>，项目实施中确保专款专用的原则，按项目实施进度使用资金，设备购置严格按照《中华人民共和国政府采购法》的规定，实行政府集中采购，没有挤占、挪用、截留资金的现象。</w:t>
      </w:r>
    </w:p>
    <w:p>
      <w:pPr>
        <w:spacing w:line="600" w:lineRule="exact"/>
        <w:ind w:firstLine="640" w:firstLineChars="200"/>
        <w:rPr>
          <w:rFonts w:eastAsia="黑体"/>
          <w:sz w:val="32"/>
          <w:szCs w:val="32"/>
        </w:rPr>
      </w:pPr>
      <w:r>
        <w:rPr>
          <w:rFonts w:eastAsia="黑体"/>
          <w:sz w:val="32"/>
          <w:szCs w:val="32"/>
        </w:rPr>
        <w:t>四、国有资本经营预算支出情况</w:t>
      </w:r>
    </w:p>
    <w:p>
      <w:pPr>
        <w:spacing w:line="600" w:lineRule="exact"/>
        <w:ind w:firstLine="640"/>
        <w:rPr>
          <w:rFonts w:eastAsia="仿宋"/>
          <w:sz w:val="32"/>
          <w:szCs w:val="32"/>
        </w:rPr>
      </w:pPr>
      <w:r>
        <w:rPr>
          <w:rFonts w:eastAsia="仿宋"/>
          <w:sz w:val="32"/>
          <w:szCs w:val="32"/>
        </w:rPr>
        <w:t>本系统无国有资本经营预算支出。</w:t>
      </w:r>
    </w:p>
    <w:p>
      <w:pPr>
        <w:spacing w:line="600" w:lineRule="exact"/>
        <w:ind w:firstLine="640" w:firstLineChars="200"/>
        <w:rPr>
          <w:rFonts w:eastAsia="黑体"/>
          <w:sz w:val="32"/>
          <w:szCs w:val="32"/>
        </w:rPr>
      </w:pPr>
      <w:r>
        <w:rPr>
          <w:rFonts w:eastAsia="黑体"/>
          <w:sz w:val="32"/>
          <w:szCs w:val="32"/>
        </w:rPr>
        <w:t>五、社会保险基金预算支出情况</w:t>
      </w:r>
    </w:p>
    <w:p>
      <w:pPr>
        <w:spacing w:line="600" w:lineRule="exact"/>
        <w:ind w:firstLine="640"/>
        <w:rPr>
          <w:rFonts w:eastAsia="仿宋"/>
          <w:sz w:val="32"/>
          <w:szCs w:val="32"/>
        </w:rPr>
      </w:pPr>
      <w:r>
        <w:rPr>
          <w:rFonts w:eastAsia="仿宋"/>
          <w:sz w:val="32"/>
          <w:szCs w:val="32"/>
        </w:rPr>
        <w:t>本系统无社会保险基金预算支出。</w:t>
      </w:r>
    </w:p>
    <w:p>
      <w:pPr>
        <w:spacing w:line="600" w:lineRule="exact"/>
        <w:ind w:firstLine="640" w:firstLineChars="200"/>
        <w:rPr>
          <w:rFonts w:eastAsia="黑体"/>
          <w:sz w:val="32"/>
          <w:szCs w:val="32"/>
        </w:rPr>
      </w:pPr>
      <w:r>
        <w:rPr>
          <w:rFonts w:eastAsia="黑体"/>
          <w:sz w:val="32"/>
          <w:szCs w:val="32"/>
        </w:rPr>
        <w:t>六、部门整体支出绩效情况</w:t>
      </w:r>
    </w:p>
    <w:p>
      <w:pPr>
        <w:spacing w:line="60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（一）绩效评价目的</w:t>
      </w:r>
    </w:p>
    <w:p>
      <w:pPr>
        <w:spacing w:line="600" w:lineRule="exact"/>
        <w:ind w:firstLine="640"/>
        <w:rPr>
          <w:rFonts w:eastAsia="仿宋"/>
          <w:sz w:val="32"/>
          <w:szCs w:val="32"/>
        </w:rPr>
      </w:pPr>
      <w:r>
        <w:rPr>
          <w:rFonts w:eastAsia="仿宋"/>
          <w:sz w:val="32"/>
          <w:szCs w:val="32"/>
        </w:rPr>
        <w:t>益阳林业承担着保护和发展森林资源、保护和监管湿地资源、保护和拯救野生动植物、预防和治理土地石漠化、指导和监督国土绿化、提供物质产品和生态产品的供给任务，在全市经济建设、生态建设、文化建设和社会建设中具有重要地位，在绿色益阳建设中发挥着重要作用。202</w:t>
      </w:r>
      <w:r>
        <w:rPr>
          <w:rFonts w:hint="eastAsia" w:eastAsia="仿宋"/>
          <w:sz w:val="32"/>
          <w:szCs w:val="32"/>
        </w:rPr>
        <w:t>1</w:t>
      </w:r>
      <w:r>
        <w:rPr>
          <w:rFonts w:eastAsia="仿宋"/>
          <w:sz w:val="32"/>
          <w:szCs w:val="32"/>
        </w:rPr>
        <w:t>年，益阳市林业局在市委市政府的正确领导下，全体机关干部职工共同努力，锐意创新，圆满完成了上级交办的各项工作任务，</w:t>
      </w:r>
      <w:r>
        <w:rPr>
          <w:rFonts w:hint="eastAsia" w:eastAsia="仿宋"/>
          <w:sz w:val="32"/>
          <w:szCs w:val="32"/>
        </w:rPr>
        <w:t>在省局湘林杯考核中获优胜奖，全省排名前三，</w:t>
      </w:r>
      <w:r>
        <w:rPr>
          <w:rFonts w:eastAsia="仿宋"/>
          <w:sz w:val="32"/>
          <w:szCs w:val="32"/>
        </w:rPr>
        <w:t>为促进益阳现代林业事业的快速发展作出了新的贡献。绩效评价是为了促进预算管理水平提升，提高财政资金使用效益，增强绩效管理观念，提高单位整体管理水平。</w:t>
      </w:r>
    </w:p>
    <w:p>
      <w:pPr>
        <w:spacing w:line="60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（二）绩效评价过程</w:t>
      </w:r>
    </w:p>
    <w:p>
      <w:pPr>
        <w:spacing w:line="600" w:lineRule="exact"/>
        <w:ind w:firstLine="640"/>
        <w:rPr>
          <w:rFonts w:eastAsia="仿宋"/>
          <w:sz w:val="32"/>
          <w:szCs w:val="32"/>
        </w:rPr>
      </w:pPr>
      <w:r>
        <w:rPr>
          <w:rFonts w:eastAsia="仿宋"/>
          <w:sz w:val="32"/>
          <w:szCs w:val="32"/>
        </w:rPr>
        <w:t>本次市林业局部门整体支出的绩效评价采用设立总目标与主要预期指标评价相结合的办法，采用定量与定性分析相结合的方法。市林业局成立了绩效评价工作领导小组，组长由分管财务的局领导担任，成员包括各科室、局、站和二级机构负责人。规划财务科作为绩效评价工作的具体组织部门，负责协商、解决评价过程中的问题，市林业局是实施的主体单位，负责评价指标的制定，其他科室相互协作共同完成。</w:t>
      </w:r>
    </w:p>
    <w:p>
      <w:pPr>
        <w:spacing w:line="600" w:lineRule="exact"/>
        <w:ind w:firstLine="640"/>
        <w:rPr>
          <w:rFonts w:eastAsia="仿宋"/>
          <w:sz w:val="32"/>
          <w:szCs w:val="32"/>
        </w:rPr>
      </w:pPr>
      <w:r>
        <w:rPr>
          <w:rFonts w:eastAsia="仿宋"/>
          <w:sz w:val="32"/>
          <w:szCs w:val="32"/>
        </w:rPr>
        <w:t>本次绩效评价的范围是202</w:t>
      </w:r>
      <w:r>
        <w:rPr>
          <w:rFonts w:hint="eastAsia" w:eastAsia="仿宋"/>
          <w:sz w:val="32"/>
          <w:szCs w:val="32"/>
        </w:rPr>
        <w:t>1</w:t>
      </w:r>
      <w:r>
        <w:rPr>
          <w:rFonts w:eastAsia="仿宋"/>
          <w:sz w:val="32"/>
          <w:szCs w:val="32"/>
        </w:rPr>
        <w:t>年市林业局部门整体支出评价。因为部门整体支出评价事项范围广，数据比较笼统，在计算投入产出上有局限，因此在评价指标的设定上难以精准把握。</w:t>
      </w:r>
    </w:p>
    <w:p>
      <w:pPr>
        <w:spacing w:line="60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（三）主要绩效分析及评价结论</w:t>
      </w:r>
    </w:p>
    <w:p>
      <w:pPr>
        <w:spacing w:line="600" w:lineRule="exact"/>
        <w:ind w:firstLine="640"/>
        <w:rPr>
          <w:rFonts w:eastAsia="仿宋"/>
          <w:sz w:val="32"/>
          <w:szCs w:val="32"/>
        </w:rPr>
      </w:pPr>
      <w:r>
        <w:rPr>
          <w:rFonts w:hint="eastAsia" w:eastAsia="仿宋"/>
          <w:sz w:val="32"/>
          <w:szCs w:val="32"/>
        </w:rPr>
        <w:t>1、</w:t>
      </w:r>
      <w:r>
        <w:rPr>
          <w:rFonts w:eastAsia="仿宋"/>
          <w:sz w:val="32"/>
          <w:szCs w:val="32"/>
        </w:rPr>
        <w:t>经济性分析</w:t>
      </w:r>
      <w:r>
        <w:rPr>
          <w:rFonts w:hint="eastAsia" w:eastAsia="仿宋"/>
          <w:sz w:val="32"/>
          <w:szCs w:val="32"/>
        </w:rPr>
        <w:t>。</w:t>
      </w:r>
      <w:r>
        <w:rPr>
          <w:rFonts w:eastAsia="仿宋"/>
          <w:sz w:val="32"/>
          <w:szCs w:val="32"/>
        </w:rPr>
        <w:t>全市</w:t>
      </w:r>
      <w:r>
        <w:rPr>
          <w:rFonts w:eastAsia="仿宋_GB2312"/>
          <w:sz w:val="32"/>
          <w:szCs w:val="32"/>
        </w:rPr>
        <w:t>2021年，共完成人工造林8.1万亩，森林覆盖率达54%；清退南洞庭湖保护区欧美黑杨1.53</w:t>
      </w:r>
      <w:r>
        <w:rPr>
          <w:rFonts w:hint="eastAsia" w:eastAsia="仿宋_GB2312"/>
          <w:sz w:val="32"/>
          <w:szCs w:val="32"/>
        </w:rPr>
        <w:t>万</w:t>
      </w:r>
      <w:r>
        <w:rPr>
          <w:rFonts w:eastAsia="仿宋_GB2312"/>
          <w:sz w:val="32"/>
          <w:szCs w:val="32"/>
        </w:rPr>
        <w:t>亩，清理欧美黑杨采伐迹地萌芽条</w:t>
      </w:r>
      <w:r>
        <w:rPr>
          <w:rFonts w:hint="eastAsia" w:eastAsia="仿宋_GB2312"/>
          <w:sz w:val="32"/>
          <w:szCs w:val="32"/>
        </w:rPr>
        <w:t>14</w:t>
      </w:r>
      <w:r>
        <w:rPr>
          <w:rFonts w:eastAsia="仿宋_GB2312"/>
          <w:sz w:val="32"/>
          <w:szCs w:val="32"/>
        </w:rPr>
        <w:t>.</w:t>
      </w:r>
      <w:r>
        <w:rPr>
          <w:rFonts w:hint="eastAsia" w:eastAsia="仿宋_GB2312"/>
          <w:sz w:val="32"/>
          <w:szCs w:val="32"/>
        </w:rPr>
        <w:t>74万</w:t>
      </w:r>
      <w:r>
        <w:rPr>
          <w:rFonts w:eastAsia="仿宋_GB2312"/>
          <w:sz w:val="32"/>
          <w:szCs w:val="32"/>
        </w:rPr>
        <w:t>亩；林业有害生物防治面积29.09万亩，无公害防治率95%；没有发生</w:t>
      </w:r>
      <w:r>
        <w:rPr>
          <w:rFonts w:hint="eastAsia" w:eastAsia="仿宋_GB2312"/>
          <w:sz w:val="32"/>
          <w:szCs w:val="32"/>
        </w:rPr>
        <w:t>重大及以上森林火灾，火警及火灾早期处置率100%</w:t>
      </w:r>
      <w:r>
        <w:rPr>
          <w:rFonts w:eastAsia="仿宋_GB2312"/>
          <w:sz w:val="32"/>
          <w:szCs w:val="32"/>
        </w:rPr>
        <w:t>。</w:t>
      </w:r>
      <w:r>
        <w:rPr>
          <w:rFonts w:eastAsia="仿宋"/>
          <w:sz w:val="32"/>
          <w:szCs w:val="32"/>
        </w:rPr>
        <w:t>益阳城市面貌大为改观，生态环境明显改善，市民将会长期受益。</w:t>
      </w:r>
    </w:p>
    <w:p>
      <w:pPr>
        <w:spacing w:line="600" w:lineRule="exact"/>
        <w:ind w:firstLine="640"/>
        <w:rPr>
          <w:rFonts w:eastAsia="仿宋"/>
          <w:sz w:val="32"/>
          <w:szCs w:val="32"/>
        </w:rPr>
      </w:pPr>
      <w:r>
        <w:rPr>
          <w:rFonts w:hint="eastAsia" w:eastAsia="仿宋"/>
          <w:sz w:val="32"/>
          <w:szCs w:val="32"/>
        </w:rPr>
        <w:t>2、</w:t>
      </w:r>
      <w:r>
        <w:rPr>
          <w:rFonts w:eastAsia="仿宋"/>
          <w:sz w:val="32"/>
          <w:szCs w:val="32"/>
        </w:rPr>
        <w:t>效率性分析</w:t>
      </w:r>
      <w:r>
        <w:rPr>
          <w:rFonts w:hint="eastAsia" w:eastAsia="仿宋"/>
          <w:sz w:val="32"/>
          <w:szCs w:val="32"/>
        </w:rPr>
        <w:t>。</w:t>
      </w:r>
      <w:r>
        <w:rPr>
          <w:rFonts w:eastAsia="仿宋"/>
          <w:sz w:val="32"/>
          <w:szCs w:val="32"/>
        </w:rPr>
        <w:t>市林业局整体支出由分管财务的领导一支笔审批，预算外支出实行集中研究会审，责任明确，项目资金建立了专账，纳入重点项目资金单独核算，支出内容合法合规，财务凭证保管完善；资金执行进度完成100%。</w:t>
      </w:r>
    </w:p>
    <w:p>
      <w:pPr>
        <w:spacing w:line="600" w:lineRule="exact"/>
        <w:ind w:firstLine="640" w:firstLineChars="200"/>
        <w:rPr>
          <w:rFonts w:eastAsia="仿宋"/>
          <w:sz w:val="32"/>
          <w:szCs w:val="32"/>
        </w:rPr>
      </w:pPr>
      <w:r>
        <w:rPr>
          <w:rFonts w:hint="eastAsia" w:eastAsia="仿宋"/>
          <w:sz w:val="32"/>
          <w:szCs w:val="32"/>
        </w:rPr>
        <w:t>3、</w:t>
      </w:r>
      <w:r>
        <w:rPr>
          <w:rFonts w:eastAsia="仿宋"/>
          <w:sz w:val="32"/>
          <w:szCs w:val="32"/>
        </w:rPr>
        <w:t>效益性分析</w:t>
      </w:r>
      <w:r>
        <w:rPr>
          <w:rFonts w:hint="eastAsia" w:eastAsia="仿宋"/>
          <w:sz w:val="32"/>
          <w:szCs w:val="32"/>
        </w:rPr>
        <w:t>。</w:t>
      </w:r>
    </w:p>
    <w:p>
      <w:pPr>
        <w:spacing w:line="600" w:lineRule="exact"/>
        <w:ind w:firstLine="640" w:firstLineChars="200"/>
        <w:rPr>
          <w:rFonts w:eastAsia="仿宋"/>
          <w:sz w:val="32"/>
          <w:szCs w:val="32"/>
        </w:rPr>
      </w:pPr>
      <w:r>
        <w:rPr>
          <w:rFonts w:hint="eastAsia" w:eastAsia="仿宋"/>
          <w:sz w:val="32"/>
          <w:szCs w:val="32"/>
        </w:rPr>
        <w:t>一是</w:t>
      </w:r>
      <w:r>
        <w:rPr>
          <w:rFonts w:eastAsia="仿宋"/>
          <w:sz w:val="32"/>
          <w:szCs w:val="32"/>
        </w:rPr>
        <w:t>经济效益：林业总产值</w:t>
      </w:r>
      <w:r>
        <w:rPr>
          <w:rFonts w:hint="eastAsia" w:eastAsia="仿宋"/>
          <w:sz w:val="32"/>
          <w:szCs w:val="32"/>
        </w:rPr>
        <w:t>达</w:t>
      </w:r>
      <w:r>
        <w:rPr>
          <w:rFonts w:eastAsia="仿宋"/>
          <w:sz w:val="32"/>
          <w:szCs w:val="32"/>
        </w:rPr>
        <w:t>419.4</w:t>
      </w:r>
      <w:r>
        <w:rPr>
          <w:rFonts w:hint="eastAsia" w:eastAsia="仿宋"/>
          <w:sz w:val="32"/>
          <w:szCs w:val="32"/>
        </w:rPr>
        <w:t>亿元，与去年同期相比同比增长6%</w:t>
      </w:r>
      <w:r>
        <w:rPr>
          <w:rFonts w:eastAsia="仿宋"/>
          <w:sz w:val="32"/>
          <w:szCs w:val="32"/>
        </w:rPr>
        <w:t>。充分践行了绿水青山就是金山银山的理</w:t>
      </w:r>
      <w:r>
        <w:rPr>
          <w:rFonts w:hint="eastAsia" w:eastAsia="仿宋"/>
          <w:sz w:val="32"/>
          <w:szCs w:val="32"/>
        </w:rPr>
        <w:t>念</w:t>
      </w:r>
      <w:r>
        <w:rPr>
          <w:rFonts w:eastAsia="仿宋"/>
          <w:sz w:val="32"/>
          <w:szCs w:val="32"/>
        </w:rPr>
        <w:t>，绿水青山就是金山银山，我们种的树就是摇钱树，生态优势最终转变成经济优势</w:t>
      </w:r>
    </w:p>
    <w:p>
      <w:pPr>
        <w:spacing w:line="600" w:lineRule="exact"/>
        <w:ind w:firstLine="640"/>
        <w:rPr>
          <w:rFonts w:eastAsia="仿宋"/>
          <w:sz w:val="32"/>
          <w:szCs w:val="32"/>
        </w:rPr>
      </w:pPr>
      <w:r>
        <w:rPr>
          <w:rFonts w:hint="eastAsia" w:eastAsia="仿宋"/>
          <w:sz w:val="32"/>
          <w:szCs w:val="32"/>
        </w:rPr>
        <w:t>二是</w:t>
      </w:r>
      <w:r>
        <w:rPr>
          <w:rFonts w:eastAsia="仿宋"/>
          <w:sz w:val="32"/>
          <w:szCs w:val="32"/>
        </w:rPr>
        <w:t>生态效益：生态环境明显改善，城市品位明显提高。</w:t>
      </w:r>
      <w:r>
        <w:rPr>
          <w:rFonts w:hint="eastAsia" w:eastAsia="仿宋"/>
          <w:sz w:val="32"/>
          <w:szCs w:val="32"/>
        </w:rPr>
        <w:t>由我局指导建设的一园两中心景观绿化提质改造工程，去年年底已基本完工，为我市国家园林城市创建贡献林业力量，为益阳市民提供了一个惬意舒心的休闲场所，</w:t>
      </w:r>
      <w:r>
        <w:rPr>
          <w:rFonts w:eastAsia="仿宋"/>
          <w:sz w:val="32"/>
          <w:szCs w:val="32"/>
        </w:rPr>
        <w:t>益阳成为一座森林之城，生态之城。</w:t>
      </w:r>
    </w:p>
    <w:p>
      <w:pPr>
        <w:spacing w:line="600" w:lineRule="exact"/>
        <w:ind w:firstLine="640"/>
        <w:rPr>
          <w:rFonts w:eastAsia="仿宋"/>
          <w:sz w:val="32"/>
          <w:szCs w:val="32"/>
        </w:rPr>
      </w:pPr>
      <w:r>
        <w:rPr>
          <w:rFonts w:hint="eastAsia" w:eastAsia="仿宋"/>
          <w:sz w:val="32"/>
          <w:szCs w:val="32"/>
        </w:rPr>
        <w:t>三是</w:t>
      </w:r>
      <w:r>
        <w:rPr>
          <w:rFonts w:eastAsia="仿宋"/>
          <w:sz w:val="32"/>
          <w:szCs w:val="32"/>
        </w:rPr>
        <w:t>社会效益：我局以习近平新时代中国特色社会主义思想为指</w:t>
      </w:r>
      <w:r>
        <w:rPr>
          <w:rFonts w:hint="eastAsia" w:eastAsia="仿宋"/>
          <w:sz w:val="32"/>
          <w:szCs w:val="32"/>
        </w:rPr>
        <w:t>导，按照</w:t>
      </w:r>
      <w:r>
        <w:rPr>
          <w:rFonts w:eastAsia="仿宋"/>
          <w:sz w:val="32"/>
          <w:szCs w:val="32"/>
        </w:rPr>
        <w:t>“保护优先、创新引领”的全省林业工作总体部署，在市委、市政府的坚强领导下，突出生态保护、生态提质、生态惠民，坚持不懈抓好林长制推进、</w:t>
      </w:r>
      <w:r>
        <w:rPr>
          <w:rFonts w:hint="eastAsia" w:eastAsia="仿宋"/>
          <w:sz w:val="32"/>
          <w:szCs w:val="32"/>
        </w:rPr>
        <w:t>国土</w:t>
      </w:r>
      <w:r>
        <w:rPr>
          <w:rFonts w:eastAsia="仿宋"/>
          <w:sz w:val="32"/>
          <w:szCs w:val="32"/>
        </w:rPr>
        <w:t>绿化、</w:t>
      </w:r>
      <w:r>
        <w:rPr>
          <w:rFonts w:hint="eastAsia" w:eastAsia="仿宋"/>
          <w:sz w:val="32"/>
          <w:szCs w:val="32"/>
        </w:rPr>
        <w:t>生态修复</w:t>
      </w:r>
      <w:r>
        <w:rPr>
          <w:rFonts w:eastAsia="仿宋"/>
          <w:sz w:val="32"/>
          <w:szCs w:val="32"/>
        </w:rPr>
        <w:t>等重点工作，统筹山水林田湖草系统治理，生态廊道建设稳步推进，广大市民植树造林，爱绿护绿的意识进一步提高，益阳在创建全国森林城市成功的同时，</w:t>
      </w:r>
      <w:r>
        <w:rPr>
          <w:rFonts w:hint="eastAsia" w:eastAsia="仿宋"/>
          <w:sz w:val="32"/>
          <w:szCs w:val="32"/>
        </w:rPr>
        <w:t>也在2022年启动了全国园林城市的创建</w:t>
      </w:r>
      <w:r>
        <w:rPr>
          <w:rFonts w:eastAsia="仿宋"/>
          <w:sz w:val="32"/>
          <w:szCs w:val="32"/>
        </w:rPr>
        <w:t>。</w:t>
      </w:r>
    </w:p>
    <w:p>
      <w:pPr>
        <w:spacing w:line="600" w:lineRule="exact"/>
        <w:ind w:firstLine="640" w:firstLineChars="200"/>
        <w:rPr>
          <w:rFonts w:eastAsia="黑体"/>
          <w:sz w:val="32"/>
          <w:szCs w:val="32"/>
        </w:rPr>
      </w:pPr>
      <w:r>
        <w:rPr>
          <w:rFonts w:eastAsia="黑体"/>
          <w:sz w:val="32"/>
          <w:szCs w:val="32"/>
        </w:rPr>
        <w:t>七、存在的问题及原因分析</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（一）基本支出财政安排不足</w:t>
      </w:r>
    </w:p>
    <w:p>
      <w:pPr>
        <w:spacing w:line="600" w:lineRule="exact"/>
        <w:ind w:firstLine="640" w:firstLineChars="200"/>
        <w:rPr>
          <w:rFonts w:eastAsia="仿宋"/>
          <w:sz w:val="32"/>
          <w:szCs w:val="32"/>
        </w:rPr>
      </w:pPr>
      <w:r>
        <w:rPr>
          <w:rFonts w:eastAsia="仿宋"/>
          <w:sz w:val="32"/>
          <w:szCs w:val="32"/>
        </w:rPr>
        <w:t>综合近几年我局批复预算看，预算执行基本围绕保人员经费，公用经费严重不足，财政资金难以保正常运转进行。从决算情况看，基本支出比重比较大，尤其是人头经费每年在增长，特别是二级机构</w:t>
      </w:r>
      <w:r>
        <w:rPr>
          <w:rFonts w:hint="eastAsia" w:eastAsia="仿宋"/>
          <w:sz w:val="32"/>
          <w:szCs w:val="32"/>
        </w:rPr>
        <w:t>事业站所</w:t>
      </w:r>
      <w:r>
        <w:rPr>
          <w:rFonts w:eastAsia="仿宋"/>
          <w:sz w:val="32"/>
          <w:szCs w:val="32"/>
        </w:rPr>
        <w:t>基本收入</w:t>
      </w:r>
      <w:r>
        <w:rPr>
          <w:rFonts w:hint="eastAsia" w:eastAsia="仿宋"/>
          <w:sz w:val="32"/>
          <w:szCs w:val="32"/>
        </w:rPr>
        <w:t>严重</w:t>
      </w:r>
      <w:r>
        <w:rPr>
          <w:rFonts w:eastAsia="仿宋"/>
          <w:sz w:val="32"/>
          <w:szCs w:val="32"/>
        </w:rPr>
        <w:t>不足，运行保障面临巨大的压力。</w:t>
      </w:r>
    </w:p>
    <w:p>
      <w:pPr>
        <w:spacing w:line="60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（二）财政对林业部门的项目投入不足</w:t>
      </w:r>
    </w:p>
    <w:p>
      <w:pPr>
        <w:spacing w:line="600" w:lineRule="exact"/>
        <w:ind w:firstLine="640" w:firstLineChars="200"/>
        <w:rPr>
          <w:rFonts w:eastAsia="仿宋"/>
          <w:sz w:val="32"/>
          <w:szCs w:val="32"/>
        </w:rPr>
      </w:pPr>
      <w:r>
        <w:rPr>
          <w:rFonts w:eastAsia="仿宋"/>
          <w:sz w:val="32"/>
          <w:szCs w:val="32"/>
        </w:rPr>
        <w:t>202</w:t>
      </w:r>
      <w:r>
        <w:rPr>
          <w:rFonts w:hint="eastAsia" w:eastAsia="仿宋"/>
          <w:sz w:val="32"/>
          <w:szCs w:val="32"/>
        </w:rPr>
        <w:t>1</w:t>
      </w:r>
      <w:r>
        <w:rPr>
          <w:rFonts w:eastAsia="仿宋"/>
          <w:sz w:val="32"/>
          <w:szCs w:val="32"/>
        </w:rPr>
        <w:t>年我单位除承担林业部门日常工作外，还积极响应市委市政府的号召，承担着</w:t>
      </w:r>
      <w:r>
        <w:rPr>
          <w:rFonts w:hint="eastAsia" w:eastAsia="仿宋"/>
          <w:sz w:val="32"/>
          <w:szCs w:val="32"/>
        </w:rPr>
        <w:t>林长制推进，国土绿化，</w:t>
      </w:r>
      <w:r>
        <w:rPr>
          <w:rFonts w:eastAsia="仿宋"/>
          <w:sz w:val="32"/>
          <w:szCs w:val="32"/>
        </w:rPr>
        <w:t>南洞庭湖区生态治理等一系列重点工作；另一方面立项争资、招商引资工作纳入了市里的绩效考核指标，争取项目和资金的难度越来越大，而相应的考核任务越来越重，而上述这些工作财政基本没有追加工作经费和项目经费，这与林业事业的发展不匹配，更与我们林业部门所承担的工作职责与支出责任不相适应。</w:t>
      </w:r>
    </w:p>
    <w:p>
      <w:pPr>
        <w:spacing w:line="600" w:lineRule="exact"/>
        <w:ind w:firstLine="640" w:firstLineChars="200"/>
        <w:rPr>
          <w:rFonts w:eastAsia="黑体"/>
          <w:sz w:val="32"/>
          <w:szCs w:val="32"/>
        </w:rPr>
      </w:pPr>
      <w:r>
        <w:rPr>
          <w:rFonts w:eastAsia="黑体"/>
          <w:sz w:val="32"/>
          <w:szCs w:val="32"/>
        </w:rPr>
        <w:t>八、下一步工作的意见及建议</w:t>
      </w:r>
    </w:p>
    <w:p>
      <w:pPr>
        <w:spacing w:line="60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（一）加大对林业部门的投入</w:t>
      </w:r>
    </w:p>
    <w:p>
      <w:pPr>
        <w:spacing w:line="600" w:lineRule="exact"/>
        <w:ind w:firstLine="640" w:firstLineChars="200"/>
        <w:rPr>
          <w:rFonts w:eastAsia="仿宋"/>
          <w:sz w:val="32"/>
          <w:szCs w:val="32"/>
        </w:rPr>
      </w:pPr>
      <w:r>
        <w:rPr>
          <w:rFonts w:eastAsia="仿宋"/>
          <w:sz w:val="32"/>
          <w:szCs w:val="32"/>
        </w:rPr>
        <w:t>由于林业发展资金投入大，回收期长，生态效益和社会效益明显高于经济效益，财政扶持发展资金不足，建议从制度和资金保障上建立长效机制，确保林业事业和林业项目进一步深入推进。</w:t>
      </w:r>
    </w:p>
    <w:p>
      <w:pPr>
        <w:spacing w:line="60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（二）科学合理编制预算，严格执行预算</w:t>
      </w:r>
    </w:p>
    <w:p>
      <w:pPr>
        <w:spacing w:line="600" w:lineRule="exact"/>
        <w:ind w:firstLine="640" w:firstLineChars="200"/>
        <w:rPr>
          <w:rFonts w:eastAsia="仿宋"/>
          <w:sz w:val="32"/>
          <w:szCs w:val="32"/>
        </w:rPr>
      </w:pPr>
      <w:r>
        <w:rPr>
          <w:rFonts w:eastAsia="仿宋"/>
          <w:sz w:val="32"/>
          <w:szCs w:val="32"/>
        </w:rPr>
        <w:t>加强预算编制的前瞻性，按照新《预算法》及其实施条例的相关规定，按政策规定及本部门的发展规划，结合上一年度预算执行情况和本年度预算收支变化因素，科学、合理地编制本年</w:t>
      </w:r>
      <w:r>
        <w:rPr>
          <w:rFonts w:hint="eastAsia" w:eastAsia="仿宋"/>
          <w:sz w:val="32"/>
          <w:szCs w:val="32"/>
        </w:rPr>
        <w:t>度</w:t>
      </w:r>
      <w:r>
        <w:rPr>
          <w:rFonts w:eastAsia="仿宋"/>
          <w:sz w:val="32"/>
          <w:szCs w:val="32"/>
        </w:rPr>
        <w:t>预算草案，避免项目支出与基本支出划分不准或预算支出与实际执行出现较大偏差的情况，执行中确需调剂预算的，按规定程序报经批准。</w:t>
      </w:r>
    </w:p>
    <w:p>
      <w:pPr>
        <w:spacing w:line="60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（三）完善管理制度，进一步加强资产管理</w:t>
      </w:r>
    </w:p>
    <w:p>
      <w:pPr>
        <w:spacing w:line="600" w:lineRule="exact"/>
        <w:ind w:firstLine="640" w:firstLineChars="200"/>
        <w:rPr>
          <w:rFonts w:eastAsia="仿宋"/>
          <w:sz w:val="32"/>
          <w:szCs w:val="32"/>
        </w:rPr>
      </w:pPr>
      <w:r>
        <w:rPr>
          <w:rFonts w:eastAsia="仿宋"/>
          <w:sz w:val="32"/>
          <w:szCs w:val="32"/>
        </w:rPr>
        <w:t>进一步贯彻落实中央“八项规定”</w:t>
      </w:r>
      <w:r>
        <w:rPr>
          <w:rFonts w:hint="eastAsia" w:eastAsia="仿宋"/>
          <w:sz w:val="32"/>
          <w:szCs w:val="32"/>
        </w:rPr>
        <w:t>，</w:t>
      </w:r>
      <w:r>
        <w:rPr>
          <w:rFonts w:eastAsia="仿宋"/>
          <w:sz w:val="32"/>
          <w:szCs w:val="32"/>
        </w:rPr>
        <w:t>开展本部门</w:t>
      </w:r>
      <w:bookmarkStart w:id="0" w:name="_GoBack"/>
      <w:bookmarkEnd w:id="0"/>
      <w:r>
        <w:rPr>
          <w:rFonts w:eastAsia="仿宋"/>
          <w:sz w:val="32"/>
          <w:szCs w:val="32"/>
        </w:rPr>
        <w:t>“三公经费”的自查自纠，建立健全财务管理制度，严格按照市财政制定的各项公务支出管理制度及厉行节约制度，加强经费审批和控制，规范支出标准与范围。严格按照《固定资产管理办法》的规定加强固定资产管理，及时登记、更新台账，加强资产卡片管理，年终前对各类实物资产进行全面盘点，确保账账、账实相符。</w:t>
      </w:r>
    </w:p>
    <w:p>
      <w:pPr>
        <w:spacing w:line="60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 xml:space="preserve">（四）建立完善的预算执行动态监控机制  </w:t>
      </w:r>
    </w:p>
    <w:p>
      <w:pPr>
        <w:spacing w:line="600" w:lineRule="exact"/>
        <w:ind w:firstLine="640" w:firstLineChars="200"/>
        <w:rPr>
          <w:rFonts w:eastAsia="仿宋"/>
          <w:sz w:val="32"/>
          <w:szCs w:val="32"/>
        </w:rPr>
      </w:pPr>
      <w:r>
        <w:rPr>
          <w:rFonts w:eastAsia="仿宋"/>
          <w:sz w:val="32"/>
          <w:szCs w:val="32"/>
        </w:rPr>
        <w:t>编制部门预算不应是一蹴而就的事情，</w:t>
      </w:r>
      <w:r>
        <w:rPr>
          <w:rFonts w:hint="eastAsia" w:eastAsia="仿宋"/>
          <w:sz w:val="32"/>
          <w:szCs w:val="32"/>
        </w:rPr>
        <w:t>财政部门可以通过建立预算动态监控系统</w:t>
      </w:r>
      <w:r>
        <w:rPr>
          <w:rFonts w:eastAsia="仿宋"/>
          <w:sz w:val="32"/>
          <w:szCs w:val="32"/>
        </w:rPr>
        <w:t>及时掌握部门预算执行动态，通过指标系统定期总结分析，监督各部门加强预算执行管理，增强财政管理的透明度，提高财政资金使用的安全性、规范性、有效性。</w:t>
      </w:r>
    </w:p>
    <w:p>
      <w:pPr>
        <w:spacing w:line="600" w:lineRule="exact"/>
        <w:ind w:firstLine="640" w:firstLineChars="200"/>
        <w:rPr>
          <w:rFonts w:eastAsia="黑体"/>
          <w:sz w:val="32"/>
          <w:szCs w:val="32"/>
        </w:rPr>
      </w:pPr>
      <w:r>
        <w:rPr>
          <w:rFonts w:hint="eastAsia" w:eastAsia="黑体"/>
          <w:sz w:val="32"/>
          <w:szCs w:val="32"/>
        </w:rPr>
        <w:t>九、部门整体支出绩效自评结果拟应用和公开情况</w:t>
      </w:r>
    </w:p>
    <w:p>
      <w:pPr>
        <w:pStyle w:val="4"/>
        <w:widowControl/>
        <w:spacing w:beforeAutospacing="0" w:afterAutospacing="0" w:line="33" w:lineRule="atLeast"/>
        <w:ind w:firstLine="420"/>
        <w:jc w:val="both"/>
        <w:rPr>
          <w:rFonts w:eastAsia="仿宋"/>
          <w:kern w:val="2"/>
          <w:sz w:val="32"/>
          <w:szCs w:val="32"/>
        </w:rPr>
      </w:pPr>
      <w:r>
        <w:rPr>
          <w:rFonts w:eastAsia="仿宋"/>
          <w:kern w:val="2"/>
          <w:sz w:val="32"/>
          <w:szCs w:val="32"/>
        </w:rPr>
        <w:t>1、我单位根据绩效评定指标对各项目量化评价，自评指标得分95分。</w:t>
      </w:r>
    </w:p>
    <w:p>
      <w:pPr>
        <w:pStyle w:val="4"/>
        <w:widowControl/>
        <w:spacing w:beforeAutospacing="0" w:afterAutospacing="0" w:line="33" w:lineRule="atLeast"/>
        <w:ind w:firstLine="420"/>
        <w:jc w:val="both"/>
        <w:rPr>
          <w:rFonts w:eastAsia="仿宋"/>
          <w:kern w:val="2"/>
          <w:sz w:val="32"/>
          <w:szCs w:val="32"/>
        </w:rPr>
      </w:pPr>
      <w:r>
        <w:rPr>
          <w:rFonts w:eastAsia="仿宋"/>
          <w:kern w:val="2"/>
          <w:sz w:val="32"/>
          <w:szCs w:val="32"/>
        </w:rPr>
        <w:t>2、将</w:t>
      </w:r>
      <w:r>
        <w:rPr>
          <w:rFonts w:hint="eastAsia" w:eastAsia="仿宋"/>
          <w:kern w:val="2"/>
          <w:sz w:val="32"/>
          <w:szCs w:val="32"/>
        </w:rPr>
        <w:t>整体</w:t>
      </w:r>
      <w:r>
        <w:rPr>
          <w:rFonts w:eastAsia="仿宋"/>
          <w:kern w:val="2"/>
          <w:sz w:val="32"/>
          <w:szCs w:val="32"/>
        </w:rPr>
        <w:t>支出后的实际状况与申报的绩效目标进行对比分析</w:t>
      </w:r>
      <w:r>
        <w:rPr>
          <w:rFonts w:hint="eastAsia" w:eastAsia="仿宋"/>
          <w:kern w:val="2"/>
          <w:sz w:val="32"/>
          <w:szCs w:val="32"/>
        </w:rPr>
        <w:t>，</w:t>
      </w:r>
      <w:r>
        <w:rPr>
          <w:rFonts w:eastAsia="仿宋"/>
          <w:kern w:val="2"/>
          <w:sz w:val="32"/>
          <w:szCs w:val="32"/>
        </w:rPr>
        <w:t>所有项目均与批复下达相符</w:t>
      </w:r>
      <w:r>
        <w:rPr>
          <w:rFonts w:hint="eastAsia" w:eastAsia="仿宋"/>
          <w:kern w:val="2"/>
          <w:sz w:val="32"/>
          <w:szCs w:val="32"/>
        </w:rPr>
        <w:t>，并第一时间在益阳林业门户网站公示公开。</w:t>
      </w:r>
    </w:p>
    <w:p>
      <w:pPr>
        <w:spacing w:line="600" w:lineRule="exact"/>
        <w:ind w:firstLine="640" w:firstLineChars="200"/>
        <w:rPr>
          <w:rFonts w:eastAsia="仿宋"/>
          <w:sz w:val="32"/>
          <w:szCs w:val="32"/>
        </w:rPr>
      </w:pPr>
    </w:p>
    <w:p>
      <w:pPr>
        <w:spacing w:line="600" w:lineRule="exact"/>
        <w:ind w:firstLine="640" w:firstLineChars="200"/>
        <w:rPr>
          <w:rFonts w:eastAsia="仿宋"/>
          <w:sz w:val="32"/>
          <w:szCs w:val="32"/>
        </w:rPr>
      </w:pPr>
    </w:p>
    <w:p>
      <w:pPr>
        <w:wordWrap w:val="0"/>
        <w:spacing w:line="600" w:lineRule="exact"/>
        <w:ind w:firstLine="640" w:firstLineChars="200"/>
        <w:jc w:val="right"/>
        <w:rPr>
          <w:rFonts w:eastAsia="仿宋"/>
          <w:sz w:val="32"/>
          <w:szCs w:val="32"/>
        </w:rPr>
      </w:pPr>
      <w:r>
        <w:rPr>
          <w:rFonts w:eastAsia="仿宋"/>
          <w:sz w:val="32"/>
          <w:szCs w:val="32"/>
        </w:rPr>
        <w:t xml:space="preserve">益阳市林业局      </w:t>
      </w:r>
    </w:p>
    <w:p>
      <w:pPr>
        <w:wordWrap w:val="0"/>
        <w:spacing w:line="600" w:lineRule="exact"/>
        <w:ind w:firstLine="640" w:firstLineChars="200"/>
        <w:jc w:val="right"/>
        <w:rPr>
          <w:rFonts w:eastAsia="仿宋"/>
          <w:sz w:val="28"/>
          <w:szCs w:val="28"/>
        </w:rPr>
      </w:pPr>
      <w:r>
        <w:rPr>
          <w:rFonts w:eastAsia="仿宋"/>
          <w:sz w:val="32"/>
          <w:szCs w:val="32"/>
        </w:rPr>
        <w:t>202</w:t>
      </w:r>
      <w:r>
        <w:rPr>
          <w:rFonts w:hint="eastAsia" w:eastAsia="仿宋"/>
          <w:sz w:val="32"/>
          <w:szCs w:val="32"/>
        </w:rPr>
        <w:t>2</w:t>
      </w:r>
      <w:r>
        <w:rPr>
          <w:rFonts w:eastAsia="仿宋"/>
          <w:sz w:val="32"/>
          <w:szCs w:val="32"/>
        </w:rPr>
        <w:t>年</w:t>
      </w:r>
      <w:r>
        <w:rPr>
          <w:rFonts w:hint="eastAsia" w:eastAsia="仿宋"/>
          <w:sz w:val="32"/>
          <w:szCs w:val="32"/>
        </w:rPr>
        <w:t>4</w:t>
      </w:r>
      <w:r>
        <w:rPr>
          <w:rFonts w:eastAsia="仿宋"/>
          <w:sz w:val="32"/>
          <w:szCs w:val="32"/>
        </w:rPr>
        <w:t>月</w:t>
      </w:r>
      <w:r>
        <w:rPr>
          <w:rFonts w:hint="eastAsia" w:eastAsia="仿宋"/>
          <w:sz w:val="32"/>
          <w:szCs w:val="32"/>
        </w:rPr>
        <w:t>25</w:t>
      </w:r>
      <w:r>
        <w:rPr>
          <w:rFonts w:eastAsia="仿宋"/>
          <w:sz w:val="32"/>
          <w:szCs w:val="32"/>
        </w:rPr>
        <w:t xml:space="preserve">日 </w:t>
      </w:r>
      <w:r>
        <w:rPr>
          <w:rFonts w:eastAsia="仿宋"/>
          <w:sz w:val="28"/>
          <w:szCs w:val="28"/>
        </w:rPr>
        <w:t xml:space="preserve">   </w:t>
      </w:r>
    </w:p>
    <w:p>
      <w:pPr>
        <w:widowControl/>
        <w:spacing w:line="400" w:lineRule="exact"/>
        <w:ind w:left="94" w:leftChars="-134" w:hanging="375" w:hangingChars="134"/>
        <w:jc w:val="left"/>
        <w:rPr>
          <w:rFonts w:eastAsia="黑体"/>
          <w:szCs w:val="32"/>
        </w:rPr>
      </w:pPr>
      <w:r>
        <w:rPr>
          <w:rFonts w:eastAsia="仿宋"/>
          <w:sz w:val="28"/>
          <w:szCs w:val="28"/>
        </w:rPr>
        <w:t xml:space="preserve"> </w:t>
      </w:r>
      <w:r>
        <w:rPr>
          <w:rFonts w:eastAsia="仿宋"/>
          <w:sz w:val="28"/>
          <w:szCs w:val="28"/>
        </w:rPr>
        <w:br w:type="page"/>
      </w:r>
      <w:r>
        <w:rPr>
          <w:rFonts w:eastAsia="黑体"/>
          <w:szCs w:val="32"/>
        </w:rPr>
        <w:t>附件1</w:t>
      </w:r>
    </w:p>
    <w:p>
      <w:pPr>
        <w:spacing w:line="600" w:lineRule="exact"/>
        <w:jc w:val="center"/>
        <w:rPr>
          <w:rFonts w:eastAsia="方正小标宋简体"/>
          <w:kern w:val="0"/>
          <w:sz w:val="36"/>
          <w:szCs w:val="36"/>
        </w:rPr>
      </w:pPr>
      <w:r>
        <w:rPr>
          <w:rFonts w:eastAsia="方正小标宋简体"/>
          <w:kern w:val="0"/>
          <w:sz w:val="36"/>
          <w:szCs w:val="36"/>
        </w:rPr>
        <w:t>202</w:t>
      </w:r>
      <w:r>
        <w:rPr>
          <w:rFonts w:hint="eastAsia" w:eastAsia="方正小标宋简体"/>
          <w:kern w:val="0"/>
          <w:sz w:val="36"/>
          <w:szCs w:val="36"/>
        </w:rPr>
        <w:t>1</w:t>
      </w:r>
      <w:r>
        <w:rPr>
          <w:rFonts w:eastAsia="方正小标宋简体"/>
          <w:kern w:val="0"/>
          <w:sz w:val="36"/>
          <w:szCs w:val="36"/>
        </w:rPr>
        <w:t>年度部门整体支出绩效评价基础数据表</w:t>
      </w:r>
    </w:p>
    <w:tbl>
      <w:tblPr>
        <w:tblStyle w:val="5"/>
        <w:tblW w:w="9695" w:type="dxa"/>
        <w:jc w:val="center"/>
        <w:tblLayout w:type="fixed"/>
        <w:tblCellMar>
          <w:top w:w="0" w:type="dxa"/>
          <w:left w:w="108" w:type="dxa"/>
          <w:bottom w:w="0" w:type="dxa"/>
          <w:right w:w="108" w:type="dxa"/>
        </w:tblCellMar>
      </w:tblPr>
      <w:tblGrid>
        <w:gridCol w:w="3214"/>
        <w:gridCol w:w="1200"/>
        <w:gridCol w:w="1125"/>
        <w:gridCol w:w="1080"/>
        <w:gridCol w:w="1140"/>
        <w:gridCol w:w="960"/>
        <w:gridCol w:w="976"/>
      </w:tblGrid>
      <w:tr>
        <w:tblPrEx>
          <w:tblCellMar>
            <w:top w:w="0" w:type="dxa"/>
            <w:left w:w="108" w:type="dxa"/>
            <w:bottom w:w="0" w:type="dxa"/>
            <w:right w:w="108" w:type="dxa"/>
          </w:tblCellMar>
        </w:tblPrEx>
        <w:trPr>
          <w:trHeight w:val="397" w:hRule="atLeast"/>
          <w:jc w:val="center"/>
        </w:trPr>
        <w:tc>
          <w:tcPr>
            <w:tcW w:w="321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Cs w:val="21"/>
              </w:rPr>
            </w:pPr>
            <w:r>
              <w:rPr>
                <w:color w:val="000000"/>
                <w:kern w:val="0"/>
                <w:szCs w:val="21"/>
              </w:rPr>
              <w:t>财政供养人员情况（人）</w:t>
            </w:r>
          </w:p>
        </w:tc>
        <w:tc>
          <w:tcPr>
            <w:tcW w:w="2325" w:type="dxa"/>
            <w:gridSpan w:val="2"/>
            <w:tcBorders>
              <w:top w:val="single" w:color="auto" w:sz="4" w:space="0"/>
              <w:left w:val="nil"/>
              <w:bottom w:val="single" w:color="auto" w:sz="4" w:space="0"/>
              <w:right w:val="single" w:color="auto" w:sz="4" w:space="0"/>
            </w:tcBorders>
            <w:vAlign w:val="center"/>
          </w:tcPr>
          <w:p>
            <w:pPr>
              <w:widowControl/>
              <w:jc w:val="center"/>
              <w:rPr>
                <w:b/>
                <w:bCs/>
                <w:color w:val="000000"/>
                <w:kern w:val="0"/>
                <w:szCs w:val="21"/>
              </w:rPr>
            </w:pPr>
            <w:r>
              <w:rPr>
                <w:b/>
                <w:bCs/>
                <w:color w:val="000000"/>
                <w:kern w:val="0"/>
                <w:szCs w:val="21"/>
              </w:rPr>
              <w:t>编制数</w:t>
            </w:r>
          </w:p>
        </w:tc>
        <w:tc>
          <w:tcPr>
            <w:tcW w:w="2220" w:type="dxa"/>
            <w:gridSpan w:val="2"/>
            <w:tcBorders>
              <w:top w:val="single" w:color="auto" w:sz="4" w:space="0"/>
              <w:left w:val="nil"/>
              <w:bottom w:val="single" w:color="auto" w:sz="4" w:space="0"/>
              <w:right w:val="single" w:color="auto" w:sz="4" w:space="0"/>
            </w:tcBorders>
            <w:vAlign w:val="center"/>
          </w:tcPr>
          <w:p>
            <w:pPr>
              <w:widowControl/>
              <w:jc w:val="center"/>
              <w:rPr>
                <w:b/>
                <w:bCs/>
                <w:color w:val="000000"/>
                <w:kern w:val="0"/>
                <w:szCs w:val="21"/>
              </w:rPr>
            </w:pPr>
            <w:r>
              <w:rPr>
                <w:b/>
                <w:bCs/>
                <w:color w:val="000000"/>
                <w:kern w:val="0"/>
                <w:szCs w:val="21"/>
              </w:rPr>
              <w:t>202</w:t>
            </w:r>
            <w:r>
              <w:rPr>
                <w:rFonts w:hint="eastAsia"/>
                <w:b/>
                <w:bCs/>
                <w:color w:val="000000"/>
                <w:kern w:val="0"/>
                <w:szCs w:val="21"/>
              </w:rPr>
              <w:t>1</w:t>
            </w:r>
            <w:r>
              <w:rPr>
                <w:b/>
                <w:bCs/>
                <w:color w:val="000000"/>
                <w:kern w:val="0"/>
                <w:szCs w:val="21"/>
              </w:rPr>
              <w:t>年实际在职人数</w:t>
            </w:r>
          </w:p>
        </w:tc>
        <w:tc>
          <w:tcPr>
            <w:tcW w:w="1936" w:type="dxa"/>
            <w:gridSpan w:val="2"/>
            <w:tcBorders>
              <w:top w:val="single" w:color="auto" w:sz="4" w:space="0"/>
              <w:left w:val="nil"/>
              <w:bottom w:val="single" w:color="auto" w:sz="4" w:space="0"/>
              <w:right w:val="single" w:color="auto" w:sz="4" w:space="0"/>
            </w:tcBorders>
            <w:vAlign w:val="center"/>
          </w:tcPr>
          <w:p>
            <w:pPr>
              <w:widowControl/>
              <w:jc w:val="center"/>
              <w:rPr>
                <w:b/>
                <w:bCs/>
                <w:color w:val="000000"/>
                <w:kern w:val="0"/>
                <w:szCs w:val="21"/>
              </w:rPr>
            </w:pPr>
            <w:r>
              <w:rPr>
                <w:b/>
                <w:bCs/>
                <w:color w:val="000000"/>
                <w:kern w:val="0"/>
                <w:szCs w:val="21"/>
              </w:rPr>
              <w:t>控制率</w:t>
            </w:r>
          </w:p>
        </w:tc>
      </w:tr>
      <w:tr>
        <w:tblPrEx>
          <w:tblCellMar>
            <w:top w:w="0" w:type="dxa"/>
            <w:left w:w="108" w:type="dxa"/>
            <w:bottom w:w="0" w:type="dxa"/>
            <w:right w:w="108" w:type="dxa"/>
          </w:tblCellMar>
        </w:tblPrEx>
        <w:trPr>
          <w:trHeight w:val="397" w:hRule="atLeast"/>
          <w:jc w:val="center"/>
        </w:trPr>
        <w:tc>
          <w:tcPr>
            <w:tcW w:w="32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2325" w:type="dxa"/>
            <w:gridSpan w:val="2"/>
            <w:tcBorders>
              <w:top w:val="single" w:color="auto" w:sz="4" w:space="0"/>
              <w:left w:val="nil"/>
              <w:bottom w:val="single" w:color="auto" w:sz="4" w:space="0"/>
              <w:right w:val="single" w:color="auto" w:sz="4" w:space="0"/>
            </w:tcBorders>
            <w:vAlign w:val="center"/>
          </w:tcPr>
          <w:p>
            <w:pPr>
              <w:widowControl/>
              <w:jc w:val="center"/>
              <w:rPr>
                <w:color w:val="000000"/>
                <w:kern w:val="0"/>
                <w:szCs w:val="21"/>
              </w:rPr>
            </w:pPr>
            <w:r>
              <w:rPr>
                <w:rFonts w:hint="eastAsia"/>
                <w:color w:val="000000"/>
                <w:kern w:val="0"/>
                <w:szCs w:val="21"/>
              </w:rPr>
              <w:t>88</w:t>
            </w:r>
            <w:r>
              <w:rPr>
                <w:color w:val="000000"/>
                <w:kern w:val="0"/>
                <w:szCs w:val="21"/>
              </w:rPr>
              <w:t>　</w:t>
            </w:r>
          </w:p>
        </w:tc>
        <w:tc>
          <w:tcPr>
            <w:tcW w:w="2220" w:type="dxa"/>
            <w:gridSpan w:val="2"/>
            <w:tcBorders>
              <w:top w:val="single" w:color="auto" w:sz="4" w:space="0"/>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　84</w:t>
            </w:r>
          </w:p>
        </w:tc>
        <w:tc>
          <w:tcPr>
            <w:tcW w:w="1936" w:type="dxa"/>
            <w:gridSpan w:val="2"/>
            <w:tcBorders>
              <w:top w:val="single" w:color="auto" w:sz="4" w:space="0"/>
              <w:left w:val="nil"/>
              <w:bottom w:val="single" w:color="auto" w:sz="4" w:space="0"/>
              <w:right w:val="single" w:color="auto" w:sz="4" w:space="0"/>
            </w:tcBorders>
            <w:vAlign w:val="center"/>
          </w:tcPr>
          <w:p>
            <w:pPr>
              <w:widowControl/>
              <w:jc w:val="center"/>
              <w:rPr>
                <w:color w:val="000000"/>
                <w:kern w:val="0"/>
                <w:szCs w:val="21"/>
              </w:rPr>
            </w:pPr>
            <w:r>
              <w:rPr>
                <w:rFonts w:hint="eastAsia"/>
                <w:color w:val="000000"/>
                <w:kern w:val="0"/>
                <w:szCs w:val="21"/>
              </w:rPr>
              <w:t>95.5</w:t>
            </w:r>
            <w:r>
              <w:rPr>
                <w:color w:val="000000"/>
                <w:kern w:val="0"/>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jc w:val="center"/>
              <w:rPr>
                <w:color w:val="000000"/>
                <w:kern w:val="0"/>
                <w:szCs w:val="21"/>
              </w:rPr>
            </w:pPr>
            <w:r>
              <w:rPr>
                <w:color w:val="000000"/>
                <w:kern w:val="0"/>
                <w:szCs w:val="21"/>
              </w:rPr>
              <w:t>经费控制情况（万元）</w:t>
            </w:r>
          </w:p>
        </w:tc>
        <w:tc>
          <w:tcPr>
            <w:tcW w:w="2325" w:type="dxa"/>
            <w:gridSpan w:val="2"/>
            <w:tcBorders>
              <w:top w:val="single" w:color="auto" w:sz="4" w:space="0"/>
              <w:left w:val="nil"/>
              <w:bottom w:val="single" w:color="auto" w:sz="4" w:space="0"/>
              <w:right w:val="single" w:color="000000" w:sz="4" w:space="0"/>
            </w:tcBorders>
            <w:vAlign w:val="center"/>
          </w:tcPr>
          <w:p>
            <w:pPr>
              <w:widowControl/>
              <w:jc w:val="center"/>
              <w:rPr>
                <w:b/>
                <w:bCs/>
                <w:color w:val="000000"/>
                <w:kern w:val="0"/>
                <w:szCs w:val="21"/>
              </w:rPr>
            </w:pPr>
            <w:r>
              <w:rPr>
                <w:b/>
                <w:bCs/>
                <w:color w:val="000000"/>
                <w:kern w:val="0"/>
                <w:szCs w:val="21"/>
              </w:rPr>
              <w:t>2020年决算数</w:t>
            </w:r>
          </w:p>
        </w:tc>
        <w:tc>
          <w:tcPr>
            <w:tcW w:w="2220" w:type="dxa"/>
            <w:gridSpan w:val="2"/>
            <w:tcBorders>
              <w:top w:val="single" w:color="auto" w:sz="4" w:space="0"/>
              <w:left w:val="nil"/>
              <w:bottom w:val="single" w:color="auto" w:sz="4" w:space="0"/>
              <w:right w:val="single" w:color="000000" w:sz="4" w:space="0"/>
            </w:tcBorders>
            <w:vAlign w:val="center"/>
          </w:tcPr>
          <w:p>
            <w:pPr>
              <w:widowControl/>
              <w:jc w:val="center"/>
              <w:rPr>
                <w:b/>
                <w:bCs/>
                <w:color w:val="000000"/>
                <w:kern w:val="0"/>
                <w:szCs w:val="21"/>
              </w:rPr>
            </w:pPr>
            <w:r>
              <w:rPr>
                <w:rFonts w:hint="eastAsia"/>
                <w:b/>
                <w:bCs/>
                <w:color w:val="000000"/>
                <w:kern w:val="0"/>
                <w:szCs w:val="21"/>
              </w:rPr>
              <w:t>2021</w:t>
            </w:r>
            <w:r>
              <w:rPr>
                <w:b/>
                <w:bCs/>
                <w:color w:val="000000"/>
                <w:kern w:val="0"/>
                <w:szCs w:val="21"/>
              </w:rPr>
              <w:t>年预算数</w:t>
            </w:r>
          </w:p>
        </w:tc>
        <w:tc>
          <w:tcPr>
            <w:tcW w:w="1936" w:type="dxa"/>
            <w:gridSpan w:val="2"/>
            <w:tcBorders>
              <w:top w:val="single" w:color="auto" w:sz="4" w:space="0"/>
              <w:left w:val="nil"/>
              <w:bottom w:val="single" w:color="auto" w:sz="4" w:space="0"/>
              <w:right w:val="single" w:color="000000" w:sz="4" w:space="0"/>
            </w:tcBorders>
            <w:vAlign w:val="center"/>
          </w:tcPr>
          <w:p>
            <w:pPr>
              <w:widowControl/>
              <w:jc w:val="center"/>
              <w:rPr>
                <w:b/>
                <w:bCs/>
                <w:color w:val="000000"/>
                <w:kern w:val="0"/>
                <w:szCs w:val="21"/>
              </w:rPr>
            </w:pPr>
            <w:r>
              <w:rPr>
                <w:rFonts w:hint="eastAsia"/>
                <w:b/>
                <w:bCs/>
                <w:color w:val="000000"/>
                <w:kern w:val="0"/>
                <w:szCs w:val="21"/>
              </w:rPr>
              <w:t>2021</w:t>
            </w:r>
            <w:r>
              <w:rPr>
                <w:b/>
                <w:bCs/>
                <w:color w:val="000000"/>
                <w:kern w:val="0"/>
                <w:szCs w:val="21"/>
              </w:rPr>
              <w:t>年决算数</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jc w:val="left"/>
              <w:rPr>
                <w:color w:val="000000"/>
                <w:kern w:val="0"/>
                <w:szCs w:val="21"/>
              </w:rPr>
            </w:pPr>
            <w:r>
              <w:rPr>
                <w:color w:val="000000"/>
                <w:kern w:val="0"/>
                <w:szCs w:val="21"/>
              </w:rPr>
              <w:t>三公经费</w:t>
            </w:r>
          </w:p>
        </w:tc>
        <w:tc>
          <w:tcPr>
            <w:tcW w:w="2325"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color w:val="000000"/>
                <w:kern w:val="0"/>
                <w:szCs w:val="21"/>
              </w:rPr>
              <w:t>53.9　</w:t>
            </w:r>
          </w:p>
        </w:tc>
        <w:tc>
          <w:tcPr>
            <w:tcW w:w="2220"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rFonts w:hint="eastAsia"/>
                <w:color w:val="000000"/>
                <w:kern w:val="0"/>
                <w:szCs w:val="21"/>
              </w:rPr>
              <w:t>22.7</w:t>
            </w:r>
            <w:r>
              <w:rPr>
                <w:color w:val="000000"/>
                <w:kern w:val="0"/>
                <w:szCs w:val="21"/>
              </w:rPr>
              <w:t>　</w:t>
            </w:r>
          </w:p>
        </w:tc>
        <w:tc>
          <w:tcPr>
            <w:tcW w:w="1936"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rFonts w:hint="eastAsia"/>
                <w:color w:val="000000"/>
                <w:kern w:val="0"/>
                <w:szCs w:val="21"/>
              </w:rPr>
              <w:t>22.68</w:t>
            </w:r>
            <w:r>
              <w:rPr>
                <w:color w:val="000000"/>
                <w:kern w:val="0"/>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jc w:val="left"/>
              <w:rPr>
                <w:color w:val="000000"/>
                <w:kern w:val="0"/>
                <w:szCs w:val="21"/>
              </w:rPr>
            </w:pPr>
            <w:r>
              <w:rPr>
                <w:color w:val="000000"/>
                <w:kern w:val="0"/>
                <w:szCs w:val="21"/>
              </w:rPr>
              <w:t xml:space="preserve">   1、公务用车购置和维护经费</w:t>
            </w:r>
          </w:p>
        </w:tc>
        <w:tc>
          <w:tcPr>
            <w:tcW w:w="2325"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color w:val="000000"/>
                <w:kern w:val="0"/>
                <w:szCs w:val="21"/>
              </w:rPr>
              <w:t>41.3　</w:t>
            </w:r>
          </w:p>
        </w:tc>
        <w:tc>
          <w:tcPr>
            <w:tcW w:w="2220"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rFonts w:hint="eastAsia"/>
                <w:color w:val="000000"/>
                <w:kern w:val="0"/>
                <w:szCs w:val="21"/>
              </w:rPr>
              <w:t>14</w:t>
            </w:r>
          </w:p>
        </w:tc>
        <w:tc>
          <w:tcPr>
            <w:tcW w:w="1936"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rFonts w:hint="eastAsia"/>
                <w:color w:val="000000"/>
                <w:kern w:val="0"/>
                <w:szCs w:val="21"/>
              </w:rPr>
              <w:t>13.75</w:t>
            </w:r>
            <w:r>
              <w:rPr>
                <w:color w:val="000000"/>
                <w:kern w:val="0"/>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jc w:val="left"/>
              <w:rPr>
                <w:color w:val="000000"/>
                <w:kern w:val="0"/>
                <w:szCs w:val="21"/>
              </w:rPr>
            </w:pPr>
            <w:r>
              <w:rPr>
                <w:color w:val="000000"/>
                <w:kern w:val="0"/>
                <w:szCs w:val="21"/>
              </w:rPr>
              <w:t xml:space="preserve">       其中：公车购置</w:t>
            </w:r>
          </w:p>
        </w:tc>
        <w:tc>
          <w:tcPr>
            <w:tcW w:w="2325"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color w:val="000000"/>
                <w:kern w:val="0"/>
                <w:szCs w:val="21"/>
              </w:rPr>
              <w:t>25　</w:t>
            </w:r>
          </w:p>
        </w:tc>
        <w:tc>
          <w:tcPr>
            <w:tcW w:w="2220"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rFonts w:hint="eastAsia"/>
                <w:color w:val="000000"/>
                <w:kern w:val="0"/>
                <w:szCs w:val="21"/>
              </w:rPr>
              <w:t>0</w:t>
            </w:r>
            <w:r>
              <w:rPr>
                <w:color w:val="000000"/>
                <w:kern w:val="0"/>
                <w:szCs w:val="21"/>
              </w:rPr>
              <w:t>　</w:t>
            </w:r>
          </w:p>
        </w:tc>
        <w:tc>
          <w:tcPr>
            <w:tcW w:w="1936"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color w:val="000000"/>
                <w:kern w:val="0"/>
                <w:szCs w:val="21"/>
              </w:rPr>
              <w:t>0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jc w:val="left"/>
              <w:rPr>
                <w:color w:val="000000"/>
                <w:kern w:val="0"/>
                <w:szCs w:val="21"/>
              </w:rPr>
            </w:pPr>
            <w:r>
              <w:rPr>
                <w:color w:val="000000"/>
                <w:kern w:val="0"/>
                <w:szCs w:val="21"/>
              </w:rPr>
              <w:t xml:space="preserve">             公车运行维护</w:t>
            </w:r>
          </w:p>
        </w:tc>
        <w:tc>
          <w:tcPr>
            <w:tcW w:w="2325"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color w:val="000000"/>
                <w:kern w:val="0"/>
                <w:szCs w:val="21"/>
              </w:rPr>
              <w:t>16.3　</w:t>
            </w:r>
          </w:p>
        </w:tc>
        <w:tc>
          <w:tcPr>
            <w:tcW w:w="2220"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rFonts w:hint="eastAsia"/>
                <w:color w:val="000000"/>
                <w:kern w:val="0"/>
                <w:szCs w:val="21"/>
              </w:rPr>
              <w:t>14</w:t>
            </w:r>
            <w:r>
              <w:rPr>
                <w:color w:val="000000"/>
                <w:kern w:val="0"/>
                <w:szCs w:val="21"/>
              </w:rPr>
              <w:t>　</w:t>
            </w:r>
          </w:p>
        </w:tc>
        <w:tc>
          <w:tcPr>
            <w:tcW w:w="1936"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rFonts w:hint="eastAsia"/>
                <w:color w:val="000000"/>
                <w:kern w:val="0"/>
                <w:szCs w:val="21"/>
              </w:rPr>
              <w:t>13.75</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jc w:val="left"/>
              <w:rPr>
                <w:color w:val="000000"/>
                <w:kern w:val="0"/>
                <w:szCs w:val="21"/>
              </w:rPr>
            </w:pPr>
            <w:r>
              <w:rPr>
                <w:color w:val="000000"/>
                <w:kern w:val="0"/>
                <w:szCs w:val="21"/>
              </w:rPr>
              <w:t xml:space="preserve">   2、出国经费</w:t>
            </w:r>
          </w:p>
        </w:tc>
        <w:tc>
          <w:tcPr>
            <w:tcW w:w="2325"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color w:val="000000"/>
                <w:kern w:val="0"/>
                <w:szCs w:val="21"/>
              </w:rPr>
              <w:t>0　</w:t>
            </w:r>
          </w:p>
        </w:tc>
        <w:tc>
          <w:tcPr>
            <w:tcW w:w="2220"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color w:val="000000"/>
                <w:kern w:val="0"/>
                <w:szCs w:val="21"/>
              </w:rPr>
              <w:t>0　</w:t>
            </w:r>
          </w:p>
        </w:tc>
        <w:tc>
          <w:tcPr>
            <w:tcW w:w="1936"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color w:val="000000"/>
                <w:kern w:val="0"/>
                <w:szCs w:val="21"/>
              </w:rPr>
              <w:t>0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jc w:val="left"/>
              <w:rPr>
                <w:color w:val="000000"/>
                <w:kern w:val="0"/>
                <w:szCs w:val="21"/>
              </w:rPr>
            </w:pPr>
            <w:r>
              <w:rPr>
                <w:color w:val="000000"/>
                <w:kern w:val="0"/>
                <w:szCs w:val="21"/>
              </w:rPr>
              <w:t xml:space="preserve">   3、公务接待</w:t>
            </w:r>
          </w:p>
        </w:tc>
        <w:tc>
          <w:tcPr>
            <w:tcW w:w="2325"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color w:val="000000"/>
                <w:kern w:val="0"/>
                <w:szCs w:val="21"/>
              </w:rPr>
              <w:t>12.6　</w:t>
            </w:r>
          </w:p>
        </w:tc>
        <w:tc>
          <w:tcPr>
            <w:tcW w:w="2220"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rFonts w:hint="eastAsia"/>
                <w:color w:val="000000"/>
                <w:kern w:val="0"/>
                <w:szCs w:val="21"/>
              </w:rPr>
              <w:t>8.7</w:t>
            </w:r>
            <w:r>
              <w:rPr>
                <w:color w:val="000000"/>
                <w:kern w:val="0"/>
                <w:szCs w:val="21"/>
              </w:rPr>
              <w:t>　</w:t>
            </w:r>
          </w:p>
        </w:tc>
        <w:tc>
          <w:tcPr>
            <w:tcW w:w="1936"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rFonts w:hint="eastAsia"/>
                <w:color w:val="000000"/>
                <w:kern w:val="0"/>
                <w:szCs w:val="21"/>
              </w:rPr>
              <w:t>8.93</w:t>
            </w:r>
            <w:r>
              <w:rPr>
                <w:color w:val="000000"/>
                <w:kern w:val="0"/>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jc w:val="left"/>
              <w:rPr>
                <w:color w:val="000000"/>
                <w:kern w:val="0"/>
                <w:szCs w:val="21"/>
              </w:rPr>
            </w:pPr>
            <w:r>
              <w:rPr>
                <w:color w:val="000000"/>
                <w:kern w:val="0"/>
                <w:szCs w:val="21"/>
              </w:rPr>
              <w:t>项目支出：</w:t>
            </w:r>
          </w:p>
        </w:tc>
        <w:tc>
          <w:tcPr>
            <w:tcW w:w="2325"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color w:val="000000"/>
                <w:kern w:val="0"/>
                <w:szCs w:val="21"/>
              </w:rPr>
              <w:t>　2171.3</w:t>
            </w:r>
          </w:p>
        </w:tc>
        <w:tc>
          <w:tcPr>
            <w:tcW w:w="2220"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rFonts w:hint="eastAsia"/>
                <w:color w:val="000000"/>
                <w:kern w:val="0"/>
                <w:szCs w:val="21"/>
              </w:rPr>
              <w:t>105.4</w:t>
            </w:r>
          </w:p>
        </w:tc>
        <w:tc>
          <w:tcPr>
            <w:tcW w:w="1936"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rFonts w:hint="eastAsia"/>
                <w:color w:val="000000"/>
                <w:kern w:val="0"/>
                <w:szCs w:val="21"/>
              </w:rPr>
              <w:t>2329.3</w:t>
            </w:r>
            <w:r>
              <w:rPr>
                <w:color w:val="000000"/>
                <w:kern w:val="0"/>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jc w:val="left"/>
              <w:rPr>
                <w:color w:val="000000"/>
                <w:kern w:val="0"/>
                <w:szCs w:val="21"/>
              </w:rPr>
            </w:pPr>
            <w:r>
              <w:rPr>
                <w:color w:val="000000"/>
                <w:kern w:val="0"/>
                <w:szCs w:val="21"/>
              </w:rPr>
              <w:t xml:space="preserve">    1、业务工作经费</w:t>
            </w:r>
          </w:p>
        </w:tc>
        <w:tc>
          <w:tcPr>
            <w:tcW w:w="2325"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color w:val="000000"/>
                <w:kern w:val="0"/>
                <w:szCs w:val="21"/>
              </w:rPr>
              <w:t>1348.5　</w:t>
            </w:r>
          </w:p>
        </w:tc>
        <w:tc>
          <w:tcPr>
            <w:tcW w:w="2220"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p>
        </w:tc>
        <w:tc>
          <w:tcPr>
            <w:tcW w:w="1936"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rFonts w:hint="eastAsia"/>
                <w:color w:val="000000"/>
                <w:kern w:val="0"/>
                <w:szCs w:val="21"/>
              </w:rPr>
              <w:t>2223.9</w:t>
            </w:r>
            <w:r>
              <w:rPr>
                <w:color w:val="000000"/>
                <w:kern w:val="0"/>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jc w:val="left"/>
              <w:rPr>
                <w:color w:val="000000"/>
                <w:kern w:val="0"/>
                <w:szCs w:val="21"/>
              </w:rPr>
            </w:pPr>
            <w:r>
              <w:rPr>
                <w:color w:val="000000"/>
                <w:kern w:val="0"/>
                <w:szCs w:val="21"/>
              </w:rPr>
              <w:t xml:space="preserve">    2、运行维护经费</w:t>
            </w:r>
          </w:p>
        </w:tc>
        <w:tc>
          <w:tcPr>
            <w:tcW w:w="2325"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color w:val="000000"/>
                <w:kern w:val="0"/>
                <w:szCs w:val="21"/>
              </w:rPr>
              <w:t>822.8　</w:t>
            </w:r>
          </w:p>
        </w:tc>
        <w:tc>
          <w:tcPr>
            <w:tcW w:w="2220"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rFonts w:hint="eastAsia"/>
                <w:color w:val="000000"/>
                <w:kern w:val="0"/>
                <w:szCs w:val="21"/>
              </w:rPr>
              <w:t>105.4</w:t>
            </w:r>
          </w:p>
        </w:tc>
        <w:tc>
          <w:tcPr>
            <w:tcW w:w="1936"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rFonts w:hint="eastAsia"/>
                <w:color w:val="000000"/>
                <w:kern w:val="0"/>
                <w:szCs w:val="21"/>
              </w:rPr>
              <w:t>105.4</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jc w:val="center"/>
              <w:rPr>
                <w:color w:val="000000"/>
                <w:kern w:val="0"/>
                <w:szCs w:val="21"/>
              </w:rPr>
            </w:pPr>
            <w:r>
              <w:rPr>
                <w:color w:val="000000"/>
                <w:kern w:val="0"/>
                <w:szCs w:val="21"/>
              </w:rPr>
              <w:t>……</w:t>
            </w:r>
          </w:p>
        </w:tc>
        <w:tc>
          <w:tcPr>
            <w:tcW w:w="2325"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p>
        </w:tc>
        <w:tc>
          <w:tcPr>
            <w:tcW w:w="2220"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p>
        </w:tc>
        <w:tc>
          <w:tcPr>
            <w:tcW w:w="1936"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jc w:val="left"/>
              <w:rPr>
                <w:color w:val="000000"/>
                <w:kern w:val="0"/>
                <w:szCs w:val="21"/>
              </w:rPr>
            </w:pPr>
            <w:r>
              <w:rPr>
                <w:color w:val="000000"/>
                <w:kern w:val="0"/>
                <w:szCs w:val="21"/>
              </w:rPr>
              <w:t>3、市级专项资金（一个专项一行）</w:t>
            </w:r>
          </w:p>
        </w:tc>
        <w:tc>
          <w:tcPr>
            <w:tcW w:w="2325"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color w:val="000000"/>
                <w:kern w:val="0"/>
                <w:szCs w:val="21"/>
              </w:rPr>
              <w:t>100　</w:t>
            </w:r>
          </w:p>
        </w:tc>
        <w:tc>
          <w:tcPr>
            <w:tcW w:w="2220"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rFonts w:hint="eastAsia"/>
                <w:color w:val="000000"/>
                <w:kern w:val="0"/>
                <w:szCs w:val="21"/>
              </w:rPr>
              <w:t>100</w:t>
            </w:r>
          </w:p>
        </w:tc>
        <w:tc>
          <w:tcPr>
            <w:tcW w:w="1936"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rFonts w:hint="eastAsia"/>
                <w:color w:val="000000"/>
                <w:kern w:val="0"/>
                <w:szCs w:val="21"/>
              </w:rPr>
              <w:t>100</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jc w:val="center"/>
              <w:rPr>
                <w:color w:val="000000"/>
                <w:kern w:val="0"/>
                <w:szCs w:val="21"/>
              </w:rPr>
            </w:pPr>
            <w:r>
              <w:rPr>
                <w:color w:val="000000"/>
                <w:kern w:val="0"/>
                <w:szCs w:val="21"/>
              </w:rPr>
              <w:t>1、林业产业发展专项</w:t>
            </w:r>
          </w:p>
        </w:tc>
        <w:tc>
          <w:tcPr>
            <w:tcW w:w="2325"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color w:val="000000"/>
                <w:kern w:val="0"/>
                <w:szCs w:val="21"/>
              </w:rPr>
              <w:t>100</w:t>
            </w:r>
          </w:p>
        </w:tc>
        <w:tc>
          <w:tcPr>
            <w:tcW w:w="2220"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rFonts w:hint="eastAsia"/>
                <w:color w:val="000000"/>
                <w:kern w:val="0"/>
                <w:szCs w:val="21"/>
              </w:rPr>
              <w:t>100</w:t>
            </w:r>
          </w:p>
        </w:tc>
        <w:tc>
          <w:tcPr>
            <w:tcW w:w="1936"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rFonts w:hint="eastAsia"/>
                <w:color w:val="000000"/>
                <w:kern w:val="0"/>
                <w:szCs w:val="21"/>
              </w:rPr>
              <w:t>100</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jc w:val="left"/>
              <w:rPr>
                <w:color w:val="000000"/>
                <w:kern w:val="0"/>
                <w:szCs w:val="21"/>
              </w:rPr>
            </w:pPr>
            <w:r>
              <w:rPr>
                <w:color w:val="000000"/>
                <w:kern w:val="0"/>
                <w:szCs w:val="21"/>
              </w:rPr>
              <w:t>公用经费</w:t>
            </w:r>
          </w:p>
        </w:tc>
        <w:tc>
          <w:tcPr>
            <w:tcW w:w="2325"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color w:val="000000"/>
                <w:kern w:val="0"/>
                <w:szCs w:val="21"/>
              </w:rPr>
              <w:t>217.2　</w:t>
            </w:r>
          </w:p>
        </w:tc>
        <w:tc>
          <w:tcPr>
            <w:tcW w:w="2220"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rFonts w:hint="eastAsia"/>
                <w:color w:val="000000"/>
                <w:kern w:val="0"/>
                <w:szCs w:val="21"/>
              </w:rPr>
              <w:t>375.24</w:t>
            </w:r>
            <w:r>
              <w:rPr>
                <w:color w:val="000000"/>
                <w:kern w:val="0"/>
                <w:szCs w:val="21"/>
              </w:rPr>
              <w:t>　</w:t>
            </w:r>
          </w:p>
        </w:tc>
        <w:tc>
          <w:tcPr>
            <w:tcW w:w="1936"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rFonts w:hint="eastAsia"/>
                <w:color w:val="000000"/>
                <w:kern w:val="0"/>
                <w:szCs w:val="21"/>
              </w:rPr>
              <w:t>218.59</w:t>
            </w:r>
            <w:r>
              <w:rPr>
                <w:color w:val="000000"/>
                <w:kern w:val="0"/>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jc w:val="left"/>
              <w:rPr>
                <w:color w:val="000000"/>
                <w:kern w:val="0"/>
                <w:szCs w:val="21"/>
              </w:rPr>
            </w:pPr>
            <w:r>
              <w:rPr>
                <w:color w:val="000000"/>
                <w:kern w:val="0"/>
                <w:szCs w:val="21"/>
              </w:rPr>
              <w:t xml:space="preserve">    其中：办公经费</w:t>
            </w:r>
          </w:p>
        </w:tc>
        <w:tc>
          <w:tcPr>
            <w:tcW w:w="2325" w:type="dxa"/>
            <w:gridSpan w:val="2"/>
            <w:tcBorders>
              <w:top w:val="single" w:color="auto" w:sz="4" w:space="0"/>
              <w:left w:val="nil"/>
              <w:bottom w:val="single" w:color="auto" w:sz="4" w:space="0"/>
              <w:right w:val="single" w:color="000000" w:sz="4" w:space="0"/>
            </w:tcBorders>
            <w:vAlign w:val="center"/>
          </w:tcPr>
          <w:p>
            <w:pPr>
              <w:widowControl/>
              <w:ind w:firstLine="630" w:firstLineChars="300"/>
              <w:rPr>
                <w:color w:val="000000"/>
                <w:kern w:val="0"/>
                <w:szCs w:val="21"/>
              </w:rPr>
            </w:pPr>
            <w:r>
              <w:rPr>
                <w:rFonts w:hint="eastAsia"/>
                <w:color w:val="000000"/>
                <w:kern w:val="0"/>
                <w:szCs w:val="21"/>
              </w:rPr>
              <w:t>33.1</w:t>
            </w:r>
          </w:p>
        </w:tc>
        <w:tc>
          <w:tcPr>
            <w:tcW w:w="2220"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color w:val="000000"/>
                <w:kern w:val="0"/>
                <w:szCs w:val="21"/>
              </w:rPr>
              <w:t>5</w:t>
            </w:r>
          </w:p>
        </w:tc>
        <w:tc>
          <w:tcPr>
            <w:tcW w:w="1936" w:type="dxa"/>
            <w:gridSpan w:val="2"/>
            <w:tcBorders>
              <w:top w:val="single" w:color="auto" w:sz="4" w:space="0"/>
              <w:left w:val="nil"/>
              <w:bottom w:val="single" w:color="auto" w:sz="4" w:space="0"/>
              <w:right w:val="single" w:color="000000" w:sz="4" w:space="0"/>
            </w:tcBorders>
            <w:vAlign w:val="center"/>
          </w:tcPr>
          <w:p>
            <w:pPr>
              <w:widowControl/>
              <w:rPr>
                <w:color w:val="000000"/>
                <w:kern w:val="0"/>
                <w:szCs w:val="21"/>
              </w:rPr>
            </w:pPr>
            <w:r>
              <w:rPr>
                <w:color w:val="000000"/>
                <w:kern w:val="0"/>
                <w:szCs w:val="21"/>
              </w:rPr>
              <w:t xml:space="preserve">      </w:t>
            </w:r>
            <w:r>
              <w:rPr>
                <w:rFonts w:hint="eastAsia"/>
                <w:color w:val="000000"/>
                <w:kern w:val="0"/>
                <w:szCs w:val="21"/>
              </w:rPr>
              <w:t>35.83</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jc w:val="left"/>
              <w:rPr>
                <w:color w:val="000000"/>
                <w:kern w:val="0"/>
                <w:szCs w:val="21"/>
              </w:rPr>
            </w:pPr>
            <w:r>
              <w:rPr>
                <w:color w:val="000000"/>
                <w:kern w:val="0"/>
                <w:szCs w:val="21"/>
              </w:rPr>
              <w:t xml:space="preserve">          水费、电费、差旅费</w:t>
            </w:r>
          </w:p>
        </w:tc>
        <w:tc>
          <w:tcPr>
            <w:tcW w:w="2325"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rFonts w:hint="eastAsia"/>
                <w:color w:val="000000"/>
                <w:kern w:val="0"/>
                <w:szCs w:val="21"/>
              </w:rPr>
              <w:t>82</w:t>
            </w:r>
          </w:p>
        </w:tc>
        <w:tc>
          <w:tcPr>
            <w:tcW w:w="2220"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color w:val="000000"/>
                <w:kern w:val="0"/>
                <w:szCs w:val="21"/>
              </w:rPr>
              <w:t>14</w:t>
            </w:r>
          </w:p>
        </w:tc>
        <w:tc>
          <w:tcPr>
            <w:tcW w:w="1936"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rFonts w:hint="eastAsia"/>
                <w:color w:val="000000"/>
                <w:kern w:val="0"/>
                <w:szCs w:val="21"/>
              </w:rPr>
              <w:t>95.19</w:t>
            </w:r>
            <w:r>
              <w:rPr>
                <w:color w:val="000000"/>
                <w:kern w:val="0"/>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jc w:val="left"/>
              <w:rPr>
                <w:color w:val="000000"/>
                <w:kern w:val="0"/>
                <w:szCs w:val="21"/>
              </w:rPr>
            </w:pPr>
            <w:r>
              <w:rPr>
                <w:color w:val="000000"/>
                <w:kern w:val="0"/>
                <w:szCs w:val="21"/>
              </w:rPr>
              <w:t xml:space="preserve">          会议费、培训费</w:t>
            </w:r>
          </w:p>
        </w:tc>
        <w:tc>
          <w:tcPr>
            <w:tcW w:w="2325"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rFonts w:hint="eastAsia"/>
                <w:color w:val="000000"/>
                <w:kern w:val="0"/>
                <w:szCs w:val="21"/>
              </w:rPr>
              <w:t>14</w:t>
            </w:r>
            <w:r>
              <w:rPr>
                <w:color w:val="000000"/>
                <w:kern w:val="0"/>
                <w:szCs w:val="21"/>
              </w:rPr>
              <w:t>　</w:t>
            </w:r>
          </w:p>
        </w:tc>
        <w:tc>
          <w:tcPr>
            <w:tcW w:w="2220"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color w:val="000000"/>
                <w:kern w:val="0"/>
                <w:szCs w:val="21"/>
              </w:rPr>
              <w:t>2</w:t>
            </w:r>
          </w:p>
        </w:tc>
        <w:tc>
          <w:tcPr>
            <w:tcW w:w="1936"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rFonts w:hint="eastAsia"/>
                <w:color w:val="000000"/>
                <w:kern w:val="0"/>
                <w:szCs w:val="21"/>
              </w:rPr>
              <w:t>23.2</w:t>
            </w:r>
            <w:r>
              <w:rPr>
                <w:color w:val="000000"/>
                <w:kern w:val="0"/>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jc w:val="left"/>
              <w:rPr>
                <w:color w:val="000000"/>
                <w:kern w:val="0"/>
                <w:szCs w:val="21"/>
              </w:rPr>
            </w:pPr>
            <w:r>
              <w:rPr>
                <w:color w:val="000000"/>
                <w:kern w:val="0"/>
                <w:szCs w:val="21"/>
              </w:rPr>
              <w:t>政府采购金额</w:t>
            </w:r>
          </w:p>
        </w:tc>
        <w:tc>
          <w:tcPr>
            <w:tcW w:w="2325"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color w:val="000000"/>
                <w:kern w:val="0"/>
                <w:szCs w:val="21"/>
              </w:rPr>
              <w:t>1843　</w:t>
            </w:r>
          </w:p>
        </w:tc>
        <w:tc>
          <w:tcPr>
            <w:tcW w:w="2220"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color w:val="000000"/>
                <w:kern w:val="0"/>
                <w:szCs w:val="21"/>
              </w:rPr>
              <w:t>——　</w:t>
            </w:r>
          </w:p>
        </w:tc>
        <w:tc>
          <w:tcPr>
            <w:tcW w:w="1936"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jc w:val="left"/>
              <w:rPr>
                <w:color w:val="000000"/>
                <w:kern w:val="0"/>
                <w:szCs w:val="21"/>
              </w:rPr>
            </w:pPr>
            <w:r>
              <w:rPr>
                <w:color w:val="000000"/>
                <w:kern w:val="0"/>
                <w:szCs w:val="21"/>
              </w:rPr>
              <w:t xml:space="preserve">部门基本支出预算调整 </w:t>
            </w:r>
          </w:p>
        </w:tc>
        <w:tc>
          <w:tcPr>
            <w:tcW w:w="2325"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color w:val="000000"/>
                <w:kern w:val="0"/>
                <w:szCs w:val="21"/>
              </w:rPr>
              <w:t>　</w:t>
            </w:r>
          </w:p>
        </w:tc>
        <w:tc>
          <w:tcPr>
            <w:tcW w:w="2220"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color w:val="000000"/>
                <w:kern w:val="0"/>
                <w:szCs w:val="21"/>
              </w:rPr>
              <w:t>　</w:t>
            </w:r>
          </w:p>
        </w:tc>
        <w:tc>
          <w:tcPr>
            <w:tcW w:w="1936"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color w:val="000000"/>
                <w:kern w:val="0"/>
                <w:szCs w:val="21"/>
              </w:rPr>
              <w:t>——</w:t>
            </w:r>
          </w:p>
        </w:tc>
      </w:tr>
      <w:tr>
        <w:tblPrEx>
          <w:tblCellMar>
            <w:top w:w="0" w:type="dxa"/>
            <w:left w:w="108" w:type="dxa"/>
            <w:bottom w:w="0" w:type="dxa"/>
            <w:right w:w="108" w:type="dxa"/>
          </w:tblCellMar>
        </w:tblPrEx>
        <w:trPr>
          <w:trHeight w:val="630" w:hRule="atLeast"/>
          <w:jc w:val="center"/>
        </w:trPr>
        <w:tc>
          <w:tcPr>
            <w:tcW w:w="3214" w:type="dxa"/>
            <w:vMerge w:val="restart"/>
            <w:tcBorders>
              <w:top w:val="nil"/>
              <w:left w:val="single" w:color="auto" w:sz="4" w:space="0"/>
              <w:bottom w:val="single" w:color="auto" w:sz="4" w:space="0"/>
              <w:right w:val="single" w:color="auto" w:sz="4" w:space="0"/>
            </w:tcBorders>
            <w:vAlign w:val="center"/>
          </w:tcPr>
          <w:p>
            <w:pPr>
              <w:widowControl/>
              <w:jc w:val="center"/>
              <w:rPr>
                <w:color w:val="000000"/>
                <w:kern w:val="0"/>
                <w:szCs w:val="21"/>
              </w:rPr>
            </w:pPr>
            <w:r>
              <w:rPr>
                <w:color w:val="000000"/>
                <w:kern w:val="0"/>
                <w:szCs w:val="21"/>
              </w:rPr>
              <w:t>楼堂馆所控制情况</w:t>
            </w:r>
            <w:r>
              <w:rPr>
                <w:color w:val="000000"/>
                <w:kern w:val="0"/>
                <w:szCs w:val="21"/>
              </w:rPr>
              <w:br w:type="textWrapping"/>
            </w:r>
            <w:r>
              <w:rPr>
                <w:color w:val="000000"/>
                <w:kern w:val="0"/>
                <w:szCs w:val="21"/>
              </w:rPr>
              <w:t>（2020年完工项目）</w:t>
            </w:r>
          </w:p>
        </w:tc>
        <w:tc>
          <w:tcPr>
            <w:tcW w:w="1200" w:type="dxa"/>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批复规模</w:t>
            </w:r>
            <w:r>
              <w:rPr>
                <w:color w:val="000000"/>
                <w:kern w:val="0"/>
                <w:szCs w:val="21"/>
              </w:rPr>
              <w:br w:type="textWrapping"/>
            </w:r>
            <w:r>
              <w:rPr>
                <w:color w:val="000000"/>
                <w:kern w:val="0"/>
                <w:szCs w:val="21"/>
              </w:rPr>
              <w:t>（㎡）</w:t>
            </w:r>
          </w:p>
        </w:tc>
        <w:tc>
          <w:tcPr>
            <w:tcW w:w="1125" w:type="dxa"/>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实际规模（㎡）</w:t>
            </w:r>
          </w:p>
        </w:tc>
        <w:tc>
          <w:tcPr>
            <w:tcW w:w="1080" w:type="dxa"/>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规模控制率</w:t>
            </w:r>
          </w:p>
        </w:tc>
        <w:tc>
          <w:tcPr>
            <w:tcW w:w="1140" w:type="dxa"/>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预算投资（万元）</w:t>
            </w:r>
          </w:p>
        </w:tc>
        <w:tc>
          <w:tcPr>
            <w:tcW w:w="960" w:type="dxa"/>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实际投资（万元）</w:t>
            </w:r>
          </w:p>
        </w:tc>
        <w:tc>
          <w:tcPr>
            <w:tcW w:w="976" w:type="dxa"/>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投资概算控制率</w:t>
            </w:r>
          </w:p>
        </w:tc>
      </w:tr>
      <w:tr>
        <w:tblPrEx>
          <w:tblCellMar>
            <w:top w:w="0" w:type="dxa"/>
            <w:left w:w="108" w:type="dxa"/>
            <w:bottom w:w="0" w:type="dxa"/>
            <w:right w:w="108" w:type="dxa"/>
          </w:tblCellMar>
        </w:tblPrEx>
        <w:trPr>
          <w:trHeight w:val="454" w:hRule="atLeast"/>
          <w:jc w:val="center"/>
        </w:trPr>
        <w:tc>
          <w:tcPr>
            <w:tcW w:w="3214" w:type="dxa"/>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1200" w:type="dxa"/>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　</w:t>
            </w:r>
          </w:p>
        </w:tc>
        <w:tc>
          <w:tcPr>
            <w:tcW w:w="1125" w:type="dxa"/>
            <w:tcBorders>
              <w:top w:val="nil"/>
              <w:left w:val="nil"/>
              <w:bottom w:val="single" w:color="auto" w:sz="4" w:space="0"/>
              <w:right w:val="single" w:color="auto" w:sz="4" w:space="0"/>
            </w:tcBorders>
            <w:vAlign w:val="center"/>
          </w:tcPr>
          <w:p>
            <w:pPr>
              <w:widowControl/>
              <w:jc w:val="left"/>
              <w:rPr>
                <w:color w:val="000000"/>
                <w:kern w:val="0"/>
                <w:szCs w:val="21"/>
              </w:rPr>
            </w:pPr>
            <w:r>
              <w:rPr>
                <w:color w:val="000000"/>
                <w:kern w:val="0"/>
                <w:szCs w:val="21"/>
              </w:rPr>
              <w:t>　</w:t>
            </w:r>
          </w:p>
        </w:tc>
        <w:tc>
          <w:tcPr>
            <w:tcW w:w="1080" w:type="dxa"/>
            <w:tcBorders>
              <w:top w:val="nil"/>
              <w:left w:val="nil"/>
              <w:bottom w:val="single" w:color="auto" w:sz="4" w:space="0"/>
              <w:right w:val="single" w:color="auto" w:sz="4" w:space="0"/>
            </w:tcBorders>
            <w:vAlign w:val="center"/>
          </w:tcPr>
          <w:p>
            <w:pPr>
              <w:widowControl/>
              <w:jc w:val="left"/>
              <w:rPr>
                <w:color w:val="000000"/>
                <w:kern w:val="0"/>
                <w:szCs w:val="21"/>
              </w:rPr>
            </w:pPr>
            <w:r>
              <w:rPr>
                <w:color w:val="000000"/>
                <w:kern w:val="0"/>
                <w:szCs w:val="21"/>
              </w:rPr>
              <w:t>　</w:t>
            </w:r>
          </w:p>
        </w:tc>
        <w:tc>
          <w:tcPr>
            <w:tcW w:w="1140" w:type="dxa"/>
            <w:tcBorders>
              <w:top w:val="nil"/>
              <w:left w:val="nil"/>
              <w:bottom w:val="single" w:color="auto" w:sz="4" w:space="0"/>
              <w:right w:val="single" w:color="auto" w:sz="4" w:space="0"/>
            </w:tcBorders>
            <w:vAlign w:val="center"/>
          </w:tcPr>
          <w:p>
            <w:pPr>
              <w:widowControl/>
              <w:jc w:val="left"/>
              <w:rPr>
                <w:color w:val="000000"/>
                <w:kern w:val="0"/>
                <w:szCs w:val="21"/>
              </w:rPr>
            </w:pPr>
            <w:r>
              <w:rPr>
                <w:color w:val="000000"/>
                <w:kern w:val="0"/>
                <w:szCs w:val="21"/>
              </w:rPr>
              <w:t>　</w:t>
            </w:r>
          </w:p>
        </w:tc>
        <w:tc>
          <w:tcPr>
            <w:tcW w:w="960" w:type="dxa"/>
            <w:tcBorders>
              <w:top w:val="nil"/>
              <w:left w:val="nil"/>
              <w:bottom w:val="single" w:color="auto" w:sz="4" w:space="0"/>
              <w:right w:val="single" w:color="auto" w:sz="4" w:space="0"/>
            </w:tcBorders>
            <w:vAlign w:val="center"/>
          </w:tcPr>
          <w:p>
            <w:pPr>
              <w:widowControl/>
              <w:jc w:val="left"/>
              <w:rPr>
                <w:color w:val="000000"/>
                <w:kern w:val="0"/>
                <w:szCs w:val="21"/>
              </w:rPr>
            </w:pPr>
            <w:r>
              <w:rPr>
                <w:color w:val="000000"/>
                <w:kern w:val="0"/>
                <w:szCs w:val="21"/>
              </w:rPr>
              <w:t>　</w:t>
            </w:r>
          </w:p>
        </w:tc>
        <w:tc>
          <w:tcPr>
            <w:tcW w:w="976" w:type="dxa"/>
            <w:tcBorders>
              <w:top w:val="nil"/>
              <w:left w:val="nil"/>
              <w:bottom w:val="single" w:color="auto" w:sz="4" w:space="0"/>
              <w:right w:val="single" w:color="auto" w:sz="4" w:space="0"/>
            </w:tcBorders>
            <w:vAlign w:val="center"/>
          </w:tcPr>
          <w:p>
            <w:pPr>
              <w:widowControl/>
              <w:jc w:val="left"/>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596" w:hRule="atLeast"/>
          <w:jc w:val="center"/>
        </w:trPr>
        <w:tc>
          <w:tcPr>
            <w:tcW w:w="3214" w:type="dxa"/>
            <w:tcBorders>
              <w:top w:val="nil"/>
              <w:left w:val="single" w:color="auto" w:sz="4" w:space="0"/>
              <w:bottom w:val="single" w:color="auto" w:sz="4" w:space="0"/>
              <w:right w:val="single" w:color="auto" w:sz="4" w:space="0"/>
            </w:tcBorders>
            <w:vAlign w:val="center"/>
          </w:tcPr>
          <w:p>
            <w:pPr>
              <w:widowControl/>
              <w:jc w:val="center"/>
              <w:rPr>
                <w:color w:val="000000"/>
                <w:kern w:val="0"/>
                <w:szCs w:val="21"/>
              </w:rPr>
            </w:pPr>
            <w:r>
              <w:rPr>
                <w:color w:val="000000"/>
                <w:kern w:val="0"/>
                <w:szCs w:val="21"/>
              </w:rPr>
              <w:t>厉行节约保障措施</w:t>
            </w:r>
          </w:p>
        </w:tc>
        <w:tc>
          <w:tcPr>
            <w:tcW w:w="6481" w:type="dxa"/>
            <w:gridSpan w:val="6"/>
            <w:tcBorders>
              <w:top w:val="single" w:color="auto" w:sz="4" w:space="0"/>
              <w:left w:val="nil"/>
              <w:bottom w:val="single" w:color="auto" w:sz="4" w:space="0"/>
              <w:right w:val="single" w:color="000000" w:sz="4" w:space="0"/>
            </w:tcBorders>
            <w:vAlign w:val="center"/>
          </w:tcPr>
          <w:p>
            <w:pPr>
              <w:widowControl/>
              <w:rPr>
                <w:color w:val="000000"/>
                <w:kern w:val="0"/>
                <w:szCs w:val="21"/>
              </w:rPr>
            </w:pPr>
            <w:r>
              <w:rPr>
                <w:color w:val="000000"/>
                <w:kern w:val="0"/>
                <w:szCs w:val="21"/>
              </w:rPr>
              <w:t>1、新修订了《益阳市林业公务接待管理办法》；2、坚持国库集中支付制度和公务卡结算制度；3、严格执行全市公务支出管理办法的各项规定；4、坚持一支笔审批，一直坚持会审联签制度；5对2019年巡察发现的问题有效整改</w:t>
            </w:r>
          </w:p>
        </w:tc>
      </w:tr>
    </w:tbl>
    <w:p>
      <w:pPr>
        <w:widowControl/>
        <w:spacing w:line="300" w:lineRule="exact"/>
        <w:jc w:val="left"/>
        <w:rPr>
          <w:kern w:val="0"/>
          <w:sz w:val="22"/>
        </w:rPr>
      </w:pPr>
      <w:r>
        <w:rPr>
          <w:kern w:val="0"/>
          <w:sz w:val="22"/>
        </w:rPr>
        <w:t>说明：“项目支出”需要填报基本支出以外的所有项目支出情况，“公用经费”填报基本支出中的一般商品和服务支出。</w:t>
      </w:r>
    </w:p>
    <w:p>
      <w:pPr>
        <w:widowControl/>
        <w:spacing w:line="500" w:lineRule="exact"/>
        <w:ind w:left="-199" w:leftChars="-108" w:hanging="28" w:hangingChars="12"/>
        <w:jc w:val="left"/>
        <w:rPr>
          <w:rFonts w:eastAsia="黑体"/>
          <w:szCs w:val="32"/>
        </w:rPr>
      </w:pPr>
      <w:r>
        <w:rPr>
          <w:kern w:val="0"/>
          <w:sz w:val="24"/>
        </w:rPr>
        <w:t>填表人：刘品淑  填报日期：202</w:t>
      </w:r>
      <w:r>
        <w:rPr>
          <w:rFonts w:hint="eastAsia"/>
          <w:kern w:val="0"/>
          <w:sz w:val="24"/>
        </w:rPr>
        <w:t>2</w:t>
      </w:r>
      <w:r>
        <w:rPr>
          <w:kern w:val="0"/>
          <w:sz w:val="24"/>
        </w:rPr>
        <w:t>/</w:t>
      </w:r>
      <w:r>
        <w:rPr>
          <w:rFonts w:hint="eastAsia"/>
          <w:kern w:val="0"/>
          <w:sz w:val="24"/>
        </w:rPr>
        <w:t>4</w:t>
      </w:r>
      <w:r>
        <w:rPr>
          <w:kern w:val="0"/>
          <w:sz w:val="24"/>
        </w:rPr>
        <w:t>/22 联系电话： 4216696  单位负责人签字：</w:t>
      </w:r>
      <w:r>
        <w:rPr>
          <w:kern w:val="0"/>
          <w:sz w:val="22"/>
        </w:rPr>
        <w:br w:type="page"/>
      </w:r>
      <w:r>
        <w:rPr>
          <w:rFonts w:eastAsia="黑体"/>
          <w:szCs w:val="32"/>
        </w:rPr>
        <w:t xml:space="preserve">附件2  </w:t>
      </w:r>
    </w:p>
    <w:p>
      <w:pPr>
        <w:widowControl/>
        <w:spacing w:line="500" w:lineRule="exact"/>
        <w:ind w:left="-184" w:leftChars="-108" w:hanging="43" w:hangingChars="12"/>
        <w:jc w:val="center"/>
        <w:rPr>
          <w:rFonts w:eastAsia="黑体"/>
          <w:szCs w:val="32"/>
        </w:rPr>
      </w:pPr>
      <w:r>
        <w:rPr>
          <w:rFonts w:eastAsia="方正小标宋简体"/>
          <w:kern w:val="0"/>
          <w:sz w:val="36"/>
          <w:szCs w:val="36"/>
        </w:rPr>
        <w:t>202</w:t>
      </w:r>
      <w:r>
        <w:rPr>
          <w:rFonts w:hint="eastAsia" w:eastAsia="方正小标宋简体"/>
          <w:kern w:val="0"/>
          <w:sz w:val="36"/>
          <w:szCs w:val="36"/>
        </w:rPr>
        <w:t>1</w:t>
      </w:r>
      <w:r>
        <w:rPr>
          <w:rFonts w:eastAsia="方正小标宋简体"/>
          <w:kern w:val="0"/>
          <w:sz w:val="36"/>
          <w:szCs w:val="36"/>
        </w:rPr>
        <w:t>年度部门整体支出绩效自评表</w:t>
      </w:r>
    </w:p>
    <w:tbl>
      <w:tblPr>
        <w:tblStyle w:val="5"/>
        <w:tblW w:w="9993" w:type="dxa"/>
        <w:jc w:val="center"/>
        <w:tblLayout w:type="autofit"/>
        <w:tblCellMar>
          <w:top w:w="0" w:type="dxa"/>
          <w:left w:w="108" w:type="dxa"/>
          <w:bottom w:w="0" w:type="dxa"/>
          <w:right w:w="108" w:type="dxa"/>
        </w:tblCellMar>
      </w:tblPr>
      <w:tblGrid>
        <w:gridCol w:w="1105"/>
        <w:gridCol w:w="1055"/>
        <w:gridCol w:w="953"/>
        <w:gridCol w:w="1256"/>
        <w:gridCol w:w="95"/>
        <w:gridCol w:w="1603"/>
        <w:gridCol w:w="873"/>
        <w:gridCol w:w="709"/>
        <w:gridCol w:w="992"/>
        <w:gridCol w:w="1352"/>
      </w:tblGrid>
      <w:tr>
        <w:tblPrEx>
          <w:tblCellMar>
            <w:top w:w="0" w:type="dxa"/>
            <w:left w:w="108" w:type="dxa"/>
            <w:bottom w:w="0" w:type="dxa"/>
            <w:right w:w="108" w:type="dxa"/>
          </w:tblCellMar>
        </w:tblPrEx>
        <w:trPr>
          <w:trHeight w:val="346" w:hRule="atLeast"/>
          <w:tblHeader/>
          <w:jc w:val="center"/>
        </w:trPr>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Cs w:val="21"/>
              </w:rPr>
            </w:pPr>
            <w:r>
              <w:rPr>
                <w:color w:val="000000"/>
                <w:kern w:val="0"/>
                <w:szCs w:val="21"/>
              </w:rPr>
              <w:t>预算部门</w:t>
            </w:r>
          </w:p>
        </w:tc>
        <w:tc>
          <w:tcPr>
            <w:tcW w:w="8888" w:type="dxa"/>
            <w:gridSpan w:val="9"/>
            <w:tcBorders>
              <w:top w:val="single" w:color="auto" w:sz="4" w:space="0"/>
              <w:left w:val="nil"/>
              <w:bottom w:val="single" w:color="auto" w:sz="4" w:space="0"/>
              <w:right w:val="single" w:color="auto" w:sz="4" w:space="0"/>
            </w:tcBorders>
            <w:vAlign w:val="center"/>
          </w:tcPr>
          <w:p>
            <w:pPr>
              <w:widowControl/>
              <w:spacing w:line="240" w:lineRule="exact"/>
              <w:ind w:firstLine="525" w:firstLineChars="250"/>
              <w:jc w:val="center"/>
              <w:rPr>
                <w:color w:val="000000"/>
                <w:kern w:val="0"/>
                <w:szCs w:val="21"/>
              </w:rPr>
            </w:pPr>
            <w:r>
              <w:rPr>
                <w:color w:val="000000"/>
                <w:kern w:val="0"/>
                <w:szCs w:val="21"/>
              </w:rPr>
              <w:t>益  阳  市  林  业  局</w:t>
            </w:r>
          </w:p>
        </w:tc>
      </w:tr>
      <w:tr>
        <w:tblPrEx>
          <w:tblCellMar>
            <w:top w:w="0" w:type="dxa"/>
            <w:left w:w="108" w:type="dxa"/>
            <w:bottom w:w="0" w:type="dxa"/>
            <w:right w:w="108" w:type="dxa"/>
          </w:tblCellMar>
        </w:tblPrEx>
        <w:trPr>
          <w:jc w:val="center"/>
        </w:trPr>
        <w:tc>
          <w:tcPr>
            <w:tcW w:w="1105" w:type="dxa"/>
            <w:vMerge w:val="restart"/>
            <w:tcBorders>
              <w:top w:val="nil"/>
              <w:left w:val="single" w:color="auto" w:sz="4" w:space="0"/>
              <w:right w:val="single" w:color="auto" w:sz="4" w:space="0"/>
            </w:tcBorders>
            <w:vAlign w:val="center"/>
          </w:tcPr>
          <w:p>
            <w:pPr>
              <w:widowControl/>
              <w:spacing w:line="240" w:lineRule="exact"/>
              <w:jc w:val="center"/>
              <w:rPr>
                <w:color w:val="000000"/>
                <w:kern w:val="0"/>
                <w:szCs w:val="21"/>
              </w:rPr>
            </w:pPr>
            <w:r>
              <w:rPr>
                <w:color w:val="000000"/>
                <w:kern w:val="0"/>
                <w:szCs w:val="21"/>
              </w:rPr>
              <w:t>年度预</w:t>
            </w:r>
          </w:p>
          <w:p>
            <w:pPr>
              <w:widowControl/>
              <w:spacing w:line="240" w:lineRule="exact"/>
              <w:jc w:val="center"/>
              <w:rPr>
                <w:color w:val="000000"/>
                <w:kern w:val="0"/>
                <w:szCs w:val="21"/>
              </w:rPr>
            </w:pPr>
            <w:r>
              <w:rPr>
                <w:color w:val="000000"/>
                <w:kern w:val="0"/>
                <w:szCs w:val="21"/>
              </w:rPr>
              <w:t>算申请</w:t>
            </w:r>
            <w:r>
              <w:rPr>
                <w:color w:val="000000"/>
                <w:kern w:val="0"/>
                <w:szCs w:val="21"/>
              </w:rPr>
              <w:br w:type="textWrapping"/>
            </w:r>
            <w:r>
              <w:rPr>
                <w:color w:val="000000"/>
                <w:kern w:val="0"/>
                <w:szCs w:val="21"/>
              </w:rPr>
              <w:t>（万元）</w:t>
            </w:r>
          </w:p>
        </w:tc>
        <w:tc>
          <w:tcPr>
            <w:tcW w:w="2008" w:type="dxa"/>
            <w:gridSpan w:val="2"/>
            <w:tcBorders>
              <w:top w:val="nil"/>
              <w:left w:val="nil"/>
              <w:bottom w:val="single" w:color="auto" w:sz="4" w:space="0"/>
              <w:right w:val="single" w:color="auto" w:sz="4" w:space="0"/>
            </w:tcBorders>
            <w:vAlign w:val="center"/>
          </w:tcPr>
          <w:p>
            <w:pPr>
              <w:spacing w:line="240" w:lineRule="exact"/>
              <w:jc w:val="center"/>
              <w:rPr>
                <w:szCs w:val="21"/>
              </w:rPr>
            </w:pPr>
          </w:p>
        </w:tc>
        <w:tc>
          <w:tcPr>
            <w:tcW w:w="1256" w:type="dxa"/>
            <w:tcBorders>
              <w:top w:val="nil"/>
              <w:left w:val="nil"/>
              <w:bottom w:val="single" w:color="auto" w:sz="4" w:space="0"/>
              <w:right w:val="single" w:color="auto" w:sz="4" w:space="0"/>
            </w:tcBorders>
            <w:vAlign w:val="center"/>
          </w:tcPr>
          <w:p>
            <w:pPr>
              <w:spacing w:line="240" w:lineRule="exact"/>
              <w:jc w:val="center"/>
              <w:rPr>
                <w:szCs w:val="21"/>
              </w:rPr>
            </w:pPr>
            <w:r>
              <w:rPr>
                <w:szCs w:val="21"/>
              </w:rPr>
              <w:t>年初</w:t>
            </w:r>
          </w:p>
          <w:p>
            <w:pPr>
              <w:spacing w:line="240" w:lineRule="exact"/>
              <w:jc w:val="center"/>
              <w:rPr>
                <w:szCs w:val="21"/>
              </w:rPr>
            </w:pPr>
            <w:r>
              <w:rPr>
                <w:szCs w:val="21"/>
              </w:rPr>
              <w:t>预算数</w:t>
            </w:r>
          </w:p>
        </w:tc>
        <w:tc>
          <w:tcPr>
            <w:tcW w:w="1698" w:type="dxa"/>
            <w:gridSpan w:val="2"/>
            <w:tcBorders>
              <w:top w:val="nil"/>
              <w:left w:val="nil"/>
              <w:bottom w:val="single" w:color="auto" w:sz="4" w:space="0"/>
              <w:right w:val="single" w:color="auto" w:sz="4" w:space="0"/>
            </w:tcBorders>
            <w:vAlign w:val="center"/>
          </w:tcPr>
          <w:p>
            <w:pPr>
              <w:spacing w:line="240" w:lineRule="exact"/>
              <w:jc w:val="center"/>
              <w:rPr>
                <w:szCs w:val="21"/>
              </w:rPr>
            </w:pPr>
            <w:r>
              <w:rPr>
                <w:szCs w:val="21"/>
              </w:rPr>
              <w:t>全年预算数</w:t>
            </w:r>
          </w:p>
        </w:tc>
        <w:tc>
          <w:tcPr>
            <w:tcW w:w="873" w:type="dxa"/>
            <w:tcBorders>
              <w:top w:val="nil"/>
              <w:left w:val="nil"/>
              <w:bottom w:val="single" w:color="auto" w:sz="4" w:space="0"/>
              <w:right w:val="single" w:color="auto" w:sz="4" w:space="0"/>
            </w:tcBorders>
            <w:vAlign w:val="center"/>
          </w:tcPr>
          <w:p>
            <w:pPr>
              <w:spacing w:line="240" w:lineRule="exact"/>
              <w:jc w:val="center"/>
              <w:rPr>
                <w:szCs w:val="21"/>
              </w:rPr>
            </w:pPr>
            <w:r>
              <w:rPr>
                <w:szCs w:val="21"/>
              </w:rPr>
              <w:t>全年执行数</w:t>
            </w:r>
          </w:p>
        </w:tc>
        <w:tc>
          <w:tcPr>
            <w:tcW w:w="709" w:type="dxa"/>
            <w:tcBorders>
              <w:top w:val="nil"/>
              <w:left w:val="nil"/>
              <w:bottom w:val="single" w:color="auto" w:sz="4" w:space="0"/>
              <w:right w:val="single" w:color="auto" w:sz="4" w:space="0"/>
            </w:tcBorders>
            <w:vAlign w:val="center"/>
          </w:tcPr>
          <w:p>
            <w:pPr>
              <w:spacing w:line="240" w:lineRule="exact"/>
              <w:jc w:val="center"/>
              <w:rPr>
                <w:szCs w:val="21"/>
              </w:rPr>
            </w:pPr>
            <w:r>
              <w:rPr>
                <w:szCs w:val="21"/>
              </w:rPr>
              <w:t>分值</w:t>
            </w:r>
          </w:p>
        </w:tc>
        <w:tc>
          <w:tcPr>
            <w:tcW w:w="992" w:type="dxa"/>
            <w:tcBorders>
              <w:top w:val="nil"/>
              <w:left w:val="nil"/>
              <w:bottom w:val="single" w:color="auto" w:sz="4" w:space="0"/>
              <w:right w:val="single" w:color="auto" w:sz="4" w:space="0"/>
            </w:tcBorders>
            <w:vAlign w:val="center"/>
          </w:tcPr>
          <w:p>
            <w:pPr>
              <w:spacing w:line="240" w:lineRule="exact"/>
              <w:jc w:val="center"/>
              <w:rPr>
                <w:szCs w:val="21"/>
              </w:rPr>
            </w:pPr>
            <w:r>
              <w:rPr>
                <w:szCs w:val="21"/>
              </w:rPr>
              <w:t>执行率</w:t>
            </w:r>
          </w:p>
        </w:tc>
        <w:tc>
          <w:tcPr>
            <w:tcW w:w="1352" w:type="dxa"/>
            <w:tcBorders>
              <w:top w:val="nil"/>
              <w:left w:val="nil"/>
              <w:bottom w:val="single" w:color="auto" w:sz="4" w:space="0"/>
              <w:right w:val="single" w:color="auto" w:sz="4" w:space="0"/>
            </w:tcBorders>
            <w:vAlign w:val="center"/>
          </w:tcPr>
          <w:p>
            <w:pPr>
              <w:spacing w:line="240" w:lineRule="exact"/>
              <w:jc w:val="center"/>
              <w:rPr>
                <w:szCs w:val="21"/>
              </w:rPr>
            </w:pPr>
            <w:r>
              <w:rPr>
                <w:szCs w:val="21"/>
              </w:rPr>
              <w:t>得分</w:t>
            </w:r>
          </w:p>
        </w:tc>
      </w:tr>
      <w:tr>
        <w:tblPrEx>
          <w:tblCellMar>
            <w:top w:w="0" w:type="dxa"/>
            <w:left w:w="108" w:type="dxa"/>
            <w:bottom w:w="0" w:type="dxa"/>
            <w:right w:w="108" w:type="dxa"/>
          </w:tblCellMar>
        </w:tblPrEx>
        <w:trPr>
          <w:jc w:val="center"/>
        </w:trPr>
        <w:tc>
          <w:tcPr>
            <w:tcW w:w="1105" w:type="dxa"/>
            <w:vMerge w:val="continue"/>
            <w:tcBorders>
              <w:top w:val="nil"/>
              <w:left w:val="single" w:color="auto" w:sz="4" w:space="0"/>
              <w:right w:val="single" w:color="auto" w:sz="4" w:space="0"/>
            </w:tcBorders>
            <w:vAlign w:val="center"/>
          </w:tcPr>
          <w:p>
            <w:pPr>
              <w:widowControl/>
              <w:spacing w:line="240" w:lineRule="exact"/>
              <w:jc w:val="center"/>
              <w:rPr>
                <w:color w:val="000000"/>
                <w:kern w:val="0"/>
                <w:szCs w:val="21"/>
              </w:rPr>
            </w:pPr>
          </w:p>
        </w:tc>
        <w:tc>
          <w:tcPr>
            <w:tcW w:w="2008" w:type="dxa"/>
            <w:gridSpan w:val="2"/>
            <w:tcBorders>
              <w:top w:val="nil"/>
              <w:left w:val="nil"/>
              <w:bottom w:val="single" w:color="auto" w:sz="4" w:space="0"/>
              <w:right w:val="single" w:color="auto" w:sz="4" w:space="0"/>
            </w:tcBorders>
            <w:vAlign w:val="center"/>
          </w:tcPr>
          <w:p>
            <w:pPr>
              <w:spacing w:line="240" w:lineRule="exact"/>
              <w:jc w:val="center"/>
              <w:rPr>
                <w:szCs w:val="21"/>
              </w:rPr>
            </w:pPr>
            <w:r>
              <w:rPr>
                <w:color w:val="000000"/>
                <w:kern w:val="0"/>
                <w:szCs w:val="21"/>
              </w:rPr>
              <w:t>年度资金总额</w:t>
            </w:r>
          </w:p>
        </w:tc>
        <w:tc>
          <w:tcPr>
            <w:tcW w:w="1256" w:type="dxa"/>
            <w:tcBorders>
              <w:top w:val="nil"/>
              <w:left w:val="nil"/>
              <w:bottom w:val="single" w:color="auto" w:sz="4" w:space="0"/>
              <w:right w:val="single" w:color="auto" w:sz="4" w:space="0"/>
            </w:tcBorders>
            <w:vAlign w:val="center"/>
          </w:tcPr>
          <w:p>
            <w:pPr>
              <w:spacing w:line="240" w:lineRule="exact"/>
              <w:jc w:val="center"/>
              <w:rPr>
                <w:szCs w:val="21"/>
              </w:rPr>
            </w:pPr>
            <w:r>
              <w:rPr>
                <w:rFonts w:hint="eastAsia"/>
                <w:szCs w:val="21"/>
              </w:rPr>
              <w:t>1364.68</w:t>
            </w:r>
          </w:p>
        </w:tc>
        <w:tc>
          <w:tcPr>
            <w:tcW w:w="1698" w:type="dxa"/>
            <w:gridSpan w:val="2"/>
            <w:tcBorders>
              <w:top w:val="nil"/>
              <w:left w:val="nil"/>
              <w:bottom w:val="single" w:color="auto" w:sz="4" w:space="0"/>
              <w:right w:val="single" w:color="auto" w:sz="4" w:space="0"/>
            </w:tcBorders>
            <w:vAlign w:val="center"/>
          </w:tcPr>
          <w:p>
            <w:pPr>
              <w:spacing w:line="240" w:lineRule="exact"/>
              <w:jc w:val="center"/>
              <w:rPr>
                <w:szCs w:val="21"/>
              </w:rPr>
            </w:pPr>
            <w:r>
              <w:rPr>
                <w:rFonts w:hint="eastAsia"/>
                <w:szCs w:val="21"/>
              </w:rPr>
              <w:t>3195.9</w:t>
            </w:r>
          </w:p>
        </w:tc>
        <w:tc>
          <w:tcPr>
            <w:tcW w:w="873" w:type="dxa"/>
            <w:tcBorders>
              <w:top w:val="nil"/>
              <w:left w:val="nil"/>
              <w:bottom w:val="single" w:color="auto" w:sz="4" w:space="0"/>
              <w:right w:val="single" w:color="auto" w:sz="4" w:space="0"/>
            </w:tcBorders>
            <w:vAlign w:val="center"/>
          </w:tcPr>
          <w:p>
            <w:pPr>
              <w:spacing w:line="240" w:lineRule="exact"/>
              <w:jc w:val="center"/>
              <w:rPr>
                <w:szCs w:val="21"/>
              </w:rPr>
            </w:pPr>
            <w:r>
              <w:rPr>
                <w:rFonts w:hint="eastAsia"/>
                <w:szCs w:val="21"/>
              </w:rPr>
              <w:t>3925.3</w:t>
            </w:r>
          </w:p>
        </w:tc>
        <w:tc>
          <w:tcPr>
            <w:tcW w:w="709" w:type="dxa"/>
            <w:tcBorders>
              <w:top w:val="nil"/>
              <w:left w:val="nil"/>
              <w:bottom w:val="single" w:color="auto" w:sz="4" w:space="0"/>
              <w:right w:val="single" w:color="auto" w:sz="4" w:space="0"/>
            </w:tcBorders>
            <w:vAlign w:val="center"/>
          </w:tcPr>
          <w:p>
            <w:pPr>
              <w:spacing w:line="240" w:lineRule="exact"/>
              <w:jc w:val="center"/>
              <w:rPr>
                <w:szCs w:val="21"/>
              </w:rPr>
            </w:pPr>
            <w:r>
              <w:rPr>
                <w:szCs w:val="21"/>
              </w:rPr>
              <w:t>10</w:t>
            </w:r>
          </w:p>
        </w:tc>
        <w:tc>
          <w:tcPr>
            <w:tcW w:w="992" w:type="dxa"/>
            <w:tcBorders>
              <w:top w:val="nil"/>
              <w:left w:val="nil"/>
              <w:bottom w:val="single" w:color="auto" w:sz="4" w:space="0"/>
              <w:right w:val="single" w:color="auto" w:sz="4" w:space="0"/>
            </w:tcBorders>
            <w:vAlign w:val="center"/>
          </w:tcPr>
          <w:p>
            <w:pPr>
              <w:spacing w:line="240" w:lineRule="exact"/>
              <w:jc w:val="center"/>
              <w:rPr>
                <w:szCs w:val="21"/>
              </w:rPr>
            </w:pPr>
            <w:r>
              <w:rPr>
                <w:rFonts w:hint="eastAsia"/>
                <w:szCs w:val="21"/>
              </w:rPr>
              <w:t>123</w:t>
            </w:r>
            <w:r>
              <w:rPr>
                <w:szCs w:val="21"/>
              </w:rPr>
              <w:t>%</w:t>
            </w:r>
          </w:p>
        </w:tc>
        <w:tc>
          <w:tcPr>
            <w:tcW w:w="1352" w:type="dxa"/>
            <w:tcBorders>
              <w:top w:val="nil"/>
              <w:left w:val="nil"/>
              <w:bottom w:val="single" w:color="auto" w:sz="4" w:space="0"/>
              <w:right w:val="single" w:color="auto" w:sz="4" w:space="0"/>
            </w:tcBorders>
            <w:vAlign w:val="center"/>
          </w:tcPr>
          <w:p>
            <w:pPr>
              <w:spacing w:line="240" w:lineRule="exact"/>
              <w:jc w:val="center"/>
              <w:rPr>
                <w:szCs w:val="21"/>
              </w:rPr>
            </w:pPr>
            <w:r>
              <w:rPr>
                <w:szCs w:val="21"/>
              </w:rPr>
              <w:t>10</w:t>
            </w:r>
          </w:p>
        </w:tc>
      </w:tr>
      <w:tr>
        <w:tblPrEx>
          <w:tblCellMar>
            <w:top w:w="0" w:type="dxa"/>
            <w:left w:w="108" w:type="dxa"/>
            <w:bottom w:w="0" w:type="dxa"/>
            <w:right w:w="108" w:type="dxa"/>
          </w:tblCellMar>
        </w:tblPrEx>
        <w:trPr>
          <w:jc w:val="center"/>
        </w:trPr>
        <w:tc>
          <w:tcPr>
            <w:tcW w:w="1105" w:type="dxa"/>
            <w:vMerge w:val="continue"/>
            <w:tcBorders>
              <w:left w:val="single" w:color="auto" w:sz="4" w:space="0"/>
              <w:right w:val="single" w:color="auto" w:sz="4" w:space="0"/>
            </w:tcBorders>
            <w:vAlign w:val="center"/>
          </w:tcPr>
          <w:p>
            <w:pPr>
              <w:widowControl/>
              <w:spacing w:line="240" w:lineRule="exact"/>
              <w:jc w:val="left"/>
              <w:rPr>
                <w:color w:val="000000"/>
                <w:kern w:val="0"/>
                <w:szCs w:val="21"/>
              </w:rPr>
            </w:pPr>
          </w:p>
        </w:tc>
        <w:tc>
          <w:tcPr>
            <w:tcW w:w="4962" w:type="dxa"/>
            <w:gridSpan w:val="5"/>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按收入性质分：</w:t>
            </w:r>
          </w:p>
        </w:tc>
        <w:tc>
          <w:tcPr>
            <w:tcW w:w="3926" w:type="dxa"/>
            <w:gridSpan w:val="4"/>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按支出性质分：</w:t>
            </w:r>
          </w:p>
        </w:tc>
      </w:tr>
      <w:tr>
        <w:tblPrEx>
          <w:tblCellMar>
            <w:top w:w="0" w:type="dxa"/>
            <w:left w:w="108" w:type="dxa"/>
            <w:bottom w:w="0" w:type="dxa"/>
            <w:right w:w="108" w:type="dxa"/>
          </w:tblCellMar>
        </w:tblPrEx>
        <w:trPr>
          <w:jc w:val="center"/>
        </w:trPr>
        <w:tc>
          <w:tcPr>
            <w:tcW w:w="1105" w:type="dxa"/>
            <w:vMerge w:val="continue"/>
            <w:tcBorders>
              <w:left w:val="single" w:color="auto" w:sz="4" w:space="0"/>
              <w:right w:val="single" w:color="auto" w:sz="4" w:space="0"/>
            </w:tcBorders>
            <w:vAlign w:val="center"/>
          </w:tcPr>
          <w:p>
            <w:pPr>
              <w:widowControl/>
              <w:spacing w:line="240" w:lineRule="exact"/>
              <w:jc w:val="left"/>
              <w:rPr>
                <w:color w:val="000000"/>
                <w:kern w:val="0"/>
                <w:szCs w:val="21"/>
              </w:rPr>
            </w:pPr>
          </w:p>
        </w:tc>
        <w:tc>
          <w:tcPr>
            <w:tcW w:w="4962" w:type="dxa"/>
            <w:gridSpan w:val="5"/>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xml:space="preserve">  其中：  一般公共预算：</w:t>
            </w:r>
            <w:r>
              <w:rPr>
                <w:rFonts w:hint="eastAsia"/>
                <w:color w:val="000000"/>
                <w:kern w:val="0"/>
                <w:szCs w:val="21"/>
              </w:rPr>
              <w:t>3116.67</w:t>
            </w:r>
          </w:p>
        </w:tc>
        <w:tc>
          <w:tcPr>
            <w:tcW w:w="3926" w:type="dxa"/>
            <w:gridSpan w:val="4"/>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其中：基本支出：</w:t>
            </w:r>
            <w:r>
              <w:rPr>
                <w:rFonts w:hint="eastAsia"/>
                <w:color w:val="000000"/>
                <w:kern w:val="0"/>
                <w:szCs w:val="21"/>
              </w:rPr>
              <w:t>1595.95</w:t>
            </w:r>
          </w:p>
        </w:tc>
      </w:tr>
      <w:tr>
        <w:tblPrEx>
          <w:tblCellMar>
            <w:top w:w="0" w:type="dxa"/>
            <w:left w:w="108" w:type="dxa"/>
            <w:bottom w:w="0" w:type="dxa"/>
            <w:right w:w="108" w:type="dxa"/>
          </w:tblCellMar>
        </w:tblPrEx>
        <w:trPr>
          <w:jc w:val="center"/>
        </w:trPr>
        <w:tc>
          <w:tcPr>
            <w:tcW w:w="1105" w:type="dxa"/>
            <w:vMerge w:val="continue"/>
            <w:tcBorders>
              <w:left w:val="single" w:color="auto" w:sz="4" w:space="0"/>
              <w:right w:val="single" w:color="auto" w:sz="4" w:space="0"/>
            </w:tcBorders>
            <w:vAlign w:val="center"/>
          </w:tcPr>
          <w:p>
            <w:pPr>
              <w:widowControl/>
              <w:spacing w:line="240" w:lineRule="exact"/>
              <w:jc w:val="left"/>
              <w:rPr>
                <w:color w:val="000000"/>
                <w:kern w:val="0"/>
                <w:szCs w:val="21"/>
              </w:rPr>
            </w:pPr>
          </w:p>
        </w:tc>
        <w:tc>
          <w:tcPr>
            <w:tcW w:w="4962" w:type="dxa"/>
            <w:gridSpan w:val="5"/>
            <w:tcBorders>
              <w:top w:val="nil"/>
              <w:left w:val="nil"/>
              <w:bottom w:val="single" w:color="auto" w:sz="4" w:space="0"/>
              <w:right w:val="single" w:color="auto" w:sz="4" w:space="0"/>
            </w:tcBorders>
            <w:vAlign w:val="center"/>
          </w:tcPr>
          <w:p>
            <w:pPr>
              <w:widowControl/>
              <w:spacing w:line="240" w:lineRule="exact"/>
              <w:ind w:firstLine="840" w:firstLineChars="400"/>
              <w:jc w:val="left"/>
              <w:rPr>
                <w:color w:val="000000"/>
                <w:kern w:val="0"/>
                <w:szCs w:val="21"/>
              </w:rPr>
            </w:pPr>
            <w:r>
              <w:rPr>
                <w:color w:val="000000"/>
                <w:kern w:val="0"/>
                <w:szCs w:val="21"/>
              </w:rPr>
              <w:t>政府性基金拨款：</w:t>
            </w:r>
          </w:p>
        </w:tc>
        <w:tc>
          <w:tcPr>
            <w:tcW w:w="3926" w:type="dxa"/>
            <w:gridSpan w:val="4"/>
            <w:tcBorders>
              <w:top w:val="nil"/>
              <w:left w:val="nil"/>
              <w:bottom w:val="single" w:color="auto" w:sz="4" w:space="0"/>
              <w:right w:val="single" w:color="auto" w:sz="4" w:space="0"/>
            </w:tcBorders>
            <w:vAlign w:val="center"/>
          </w:tcPr>
          <w:p>
            <w:pPr>
              <w:widowControl/>
              <w:spacing w:line="240" w:lineRule="exact"/>
              <w:ind w:firstLine="630" w:firstLineChars="300"/>
              <w:jc w:val="left"/>
              <w:rPr>
                <w:color w:val="000000"/>
                <w:kern w:val="0"/>
                <w:szCs w:val="21"/>
              </w:rPr>
            </w:pPr>
            <w:r>
              <w:rPr>
                <w:color w:val="000000"/>
                <w:kern w:val="0"/>
                <w:szCs w:val="21"/>
              </w:rPr>
              <w:t>项目支出：</w:t>
            </w:r>
            <w:r>
              <w:rPr>
                <w:rFonts w:hint="eastAsia"/>
                <w:color w:val="000000"/>
                <w:kern w:val="0"/>
                <w:szCs w:val="21"/>
              </w:rPr>
              <w:t>2329.26</w:t>
            </w:r>
          </w:p>
        </w:tc>
      </w:tr>
      <w:tr>
        <w:tblPrEx>
          <w:tblCellMar>
            <w:top w:w="0" w:type="dxa"/>
            <w:left w:w="108" w:type="dxa"/>
            <w:bottom w:w="0" w:type="dxa"/>
            <w:right w:w="108" w:type="dxa"/>
          </w:tblCellMar>
        </w:tblPrEx>
        <w:trPr>
          <w:jc w:val="center"/>
        </w:trPr>
        <w:tc>
          <w:tcPr>
            <w:tcW w:w="1105" w:type="dxa"/>
            <w:vMerge w:val="continue"/>
            <w:tcBorders>
              <w:left w:val="single" w:color="auto" w:sz="4" w:space="0"/>
              <w:right w:val="single" w:color="auto" w:sz="4" w:space="0"/>
            </w:tcBorders>
            <w:vAlign w:val="center"/>
          </w:tcPr>
          <w:p>
            <w:pPr>
              <w:widowControl/>
              <w:spacing w:line="240" w:lineRule="exact"/>
              <w:jc w:val="left"/>
              <w:rPr>
                <w:color w:val="000000"/>
                <w:kern w:val="0"/>
                <w:szCs w:val="21"/>
              </w:rPr>
            </w:pPr>
          </w:p>
        </w:tc>
        <w:tc>
          <w:tcPr>
            <w:tcW w:w="4962" w:type="dxa"/>
            <w:gridSpan w:val="5"/>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纳入专户管理的非税收入拨款：</w:t>
            </w:r>
            <w:r>
              <w:rPr>
                <w:rFonts w:hint="eastAsia"/>
                <w:color w:val="000000"/>
                <w:kern w:val="0"/>
                <w:szCs w:val="21"/>
              </w:rPr>
              <w:t>47.95</w:t>
            </w:r>
          </w:p>
        </w:tc>
        <w:tc>
          <w:tcPr>
            <w:tcW w:w="3926" w:type="dxa"/>
            <w:gridSpan w:val="4"/>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p>
        </w:tc>
      </w:tr>
      <w:tr>
        <w:tblPrEx>
          <w:tblCellMar>
            <w:top w:w="0" w:type="dxa"/>
            <w:left w:w="108" w:type="dxa"/>
            <w:bottom w:w="0" w:type="dxa"/>
            <w:right w:w="108" w:type="dxa"/>
          </w:tblCellMar>
        </w:tblPrEx>
        <w:trPr>
          <w:jc w:val="center"/>
        </w:trPr>
        <w:tc>
          <w:tcPr>
            <w:tcW w:w="1105"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color w:val="000000"/>
                <w:kern w:val="0"/>
                <w:szCs w:val="21"/>
              </w:rPr>
            </w:pPr>
          </w:p>
        </w:tc>
        <w:tc>
          <w:tcPr>
            <w:tcW w:w="4962" w:type="dxa"/>
            <w:gridSpan w:val="5"/>
            <w:tcBorders>
              <w:top w:val="nil"/>
              <w:left w:val="nil"/>
              <w:bottom w:val="single" w:color="auto" w:sz="4" w:space="0"/>
              <w:right w:val="single" w:color="auto" w:sz="4" w:space="0"/>
            </w:tcBorders>
            <w:vAlign w:val="center"/>
          </w:tcPr>
          <w:p>
            <w:pPr>
              <w:widowControl/>
              <w:spacing w:line="240" w:lineRule="exact"/>
              <w:ind w:firstLine="1470" w:firstLineChars="700"/>
              <w:jc w:val="left"/>
              <w:rPr>
                <w:color w:val="000000"/>
                <w:kern w:val="0"/>
                <w:szCs w:val="21"/>
              </w:rPr>
            </w:pPr>
            <w:r>
              <w:rPr>
                <w:color w:val="000000"/>
                <w:kern w:val="0"/>
                <w:szCs w:val="21"/>
              </w:rPr>
              <w:t>其他资金：</w:t>
            </w:r>
            <w:r>
              <w:rPr>
                <w:rFonts w:hint="eastAsia"/>
                <w:color w:val="000000"/>
                <w:kern w:val="0"/>
                <w:szCs w:val="21"/>
              </w:rPr>
              <w:t>31.29</w:t>
            </w:r>
          </w:p>
        </w:tc>
        <w:tc>
          <w:tcPr>
            <w:tcW w:w="3926" w:type="dxa"/>
            <w:gridSpan w:val="4"/>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p>
        </w:tc>
      </w:tr>
      <w:tr>
        <w:tblPrEx>
          <w:tblCellMar>
            <w:top w:w="0" w:type="dxa"/>
            <w:left w:w="108" w:type="dxa"/>
            <w:bottom w:w="0" w:type="dxa"/>
            <w:right w:w="108" w:type="dxa"/>
          </w:tblCellMar>
        </w:tblPrEx>
        <w:trPr>
          <w:jc w:val="center"/>
        </w:trPr>
        <w:tc>
          <w:tcPr>
            <w:tcW w:w="110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color w:val="000000"/>
                <w:kern w:val="0"/>
                <w:szCs w:val="21"/>
              </w:rPr>
            </w:pPr>
            <w:r>
              <w:rPr>
                <w:color w:val="000000"/>
                <w:kern w:val="0"/>
                <w:szCs w:val="21"/>
              </w:rPr>
              <w:t>年度总体目标</w:t>
            </w:r>
          </w:p>
        </w:tc>
        <w:tc>
          <w:tcPr>
            <w:tcW w:w="4962" w:type="dxa"/>
            <w:gridSpan w:val="5"/>
            <w:tcBorders>
              <w:top w:val="single" w:color="auto" w:sz="4" w:space="0"/>
              <w:left w:val="nil"/>
              <w:bottom w:val="single" w:color="auto" w:sz="4" w:space="0"/>
              <w:right w:val="single" w:color="000000" w:sz="4" w:space="0"/>
            </w:tcBorders>
            <w:vAlign w:val="center"/>
          </w:tcPr>
          <w:p>
            <w:pPr>
              <w:widowControl/>
              <w:spacing w:line="240" w:lineRule="exact"/>
              <w:jc w:val="center"/>
              <w:rPr>
                <w:color w:val="000000"/>
                <w:kern w:val="0"/>
                <w:szCs w:val="21"/>
              </w:rPr>
            </w:pPr>
            <w:r>
              <w:rPr>
                <w:color w:val="000000"/>
                <w:kern w:val="0"/>
                <w:szCs w:val="21"/>
              </w:rPr>
              <w:t xml:space="preserve">预期目标     </w:t>
            </w:r>
          </w:p>
        </w:tc>
        <w:tc>
          <w:tcPr>
            <w:tcW w:w="3926"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color w:val="000000"/>
                <w:kern w:val="0"/>
                <w:szCs w:val="21"/>
              </w:rPr>
            </w:pPr>
            <w:r>
              <w:rPr>
                <w:color w:val="000000"/>
                <w:kern w:val="0"/>
                <w:szCs w:val="21"/>
              </w:rPr>
              <w:t>实际完成情况　</w:t>
            </w:r>
          </w:p>
        </w:tc>
      </w:tr>
      <w:tr>
        <w:tblPrEx>
          <w:tblCellMar>
            <w:top w:w="0" w:type="dxa"/>
            <w:left w:w="108" w:type="dxa"/>
            <w:bottom w:w="0" w:type="dxa"/>
            <w:right w:w="108" w:type="dxa"/>
          </w:tblCellMar>
        </w:tblPrEx>
        <w:trPr>
          <w:jc w:val="center"/>
        </w:trPr>
        <w:tc>
          <w:tcPr>
            <w:tcW w:w="110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color w:val="000000"/>
                <w:kern w:val="0"/>
                <w:szCs w:val="21"/>
              </w:rPr>
            </w:pPr>
          </w:p>
        </w:tc>
        <w:tc>
          <w:tcPr>
            <w:tcW w:w="4962" w:type="dxa"/>
            <w:gridSpan w:val="5"/>
            <w:tcBorders>
              <w:top w:val="single" w:color="auto" w:sz="4" w:space="0"/>
              <w:left w:val="nil"/>
              <w:bottom w:val="single" w:color="auto" w:sz="4" w:space="0"/>
              <w:right w:val="single" w:color="000000" w:sz="4" w:space="0"/>
            </w:tcBorders>
            <w:vAlign w:val="center"/>
          </w:tcPr>
          <w:p>
            <w:pPr>
              <w:widowControl/>
              <w:spacing w:line="240" w:lineRule="exact"/>
              <w:jc w:val="left"/>
              <w:rPr>
                <w:color w:val="000000"/>
                <w:kern w:val="0"/>
                <w:szCs w:val="21"/>
              </w:rPr>
            </w:pPr>
            <w:r>
              <w:rPr>
                <w:szCs w:val="21"/>
              </w:rPr>
              <w:t>1</w:t>
            </w:r>
            <w:r>
              <w:rPr>
                <w:color w:val="000000"/>
                <w:kern w:val="0"/>
                <w:szCs w:val="21"/>
              </w:rPr>
              <w:t>、大力开展造林绿化，林业生态建设卓有成效。2、</w:t>
            </w:r>
            <w:r>
              <w:rPr>
                <w:szCs w:val="21"/>
              </w:rPr>
              <w:t>全面加强资源管护，生态安全得到有力保障。3、落实“保护优先、创新引领”的部署，紧紧围绕生态保护、生态修复、生态惠民三大领域，扎实推进“森林调优、湿地提质、城乡添绿、产业增效、管服做精”五大工作主题，林业发展水平迅速提升，</w:t>
            </w:r>
          </w:p>
        </w:tc>
        <w:tc>
          <w:tcPr>
            <w:tcW w:w="3926"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color w:val="000000"/>
                <w:kern w:val="0"/>
                <w:szCs w:val="21"/>
              </w:rPr>
            </w:pPr>
            <w:r>
              <w:rPr>
                <w:szCs w:val="21"/>
              </w:rPr>
              <w:t>共完成人工造林8.1万亩，森林覆盖率达54%；清退南洞庭湖保护区欧美黑杨1.53</w:t>
            </w:r>
            <w:r>
              <w:rPr>
                <w:rFonts w:hint="eastAsia"/>
                <w:szCs w:val="21"/>
              </w:rPr>
              <w:t>万</w:t>
            </w:r>
            <w:r>
              <w:rPr>
                <w:szCs w:val="21"/>
              </w:rPr>
              <w:t>亩，清理欧美黑杨采伐迹地萌芽条</w:t>
            </w:r>
            <w:r>
              <w:rPr>
                <w:rFonts w:hint="eastAsia"/>
                <w:szCs w:val="21"/>
              </w:rPr>
              <w:t>14</w:t>
            </w:r>
            <w:r>
              <w:rPr>
                <w:szCs w:val="21"/>
              </w:rPr>
              <w:t>.</w:t>
            </w:r>
            <w:r>
              <w:rPr>
                <w:rFonts w:hint="eastAsia"/>
                <w:szCs w:val="21"/>
              </w:rPr>
              <w:t>74万</w:t>
            </w:r>
            <w:r>
              <w:rPr>
                <w:szCs w:val="21"/>
              </w:rPr>
              <w:t>亩；林业有害生物防治面积29.09万亩，无公害防治率95%；没有发生</w:t>
            </w:r>
            <w:r>
              <w:rPr>
                <w:rFonts w:hint="eastAsia"/>
                <w:szCs w:val="21"/>
              </w:rPr>
              <w:t>重大及以上森林火灾，火警及火灾早期处置率100%。</w:t>
            </w:r>
            <w:r>
              <w:rPr>
                <w:szCs w:val="21"/>
              </w:rPr>
              <w:t>严格湿地保护管理，按照中央环保督查有关要求认真开展了杨树清理工作,严禁发生破坏湿地及湿地野生动植物的重大案件；严抓依法治林，打击了涉林违法犯罪行为。广大市民植树造林，爱绿护绿的意识进一步提高,实现兴林与富民的有机统一，益阳生态环境明显改善，城市品位明显提高。</w:t>
            </w:r>
          </w:p>
        </w:tc>
      </w:tr>
      <w:tr>
        <w:tblPrEx>
          <w:tblCellMar>
            <w:top w:w="0" w:type="dxa"/>
            <w:left w:w="108" w:type="dxa"/>
            <w:bottom w:w="0" w:type="dxa"/>
            <w:right w:w="108" w:type="dxa"/>
          </w:tblCellMar>
        </w:tblPrEx>
        <w:trPr>
          <w:jc w:val="center"/>
        </w:trPr>
        <w:tc>
          <w:tcPr>
            <w:tcW w:w="1105" w:type="dxa"/>
            <w:vMerge w:val="restart"/>
            <w:tcBorders>
              <w:top w:val="single" w:color="auto" w:sz="4" w:space="0"/>
              <w:left w:val="single" w:color="auto" w:sz="4" w:space="0"/>
              <w:bottom w:val="nil"/>
              <w:right w:val="single" w:color="auto" w:sz="4" w:space="0"/>
            </w:tcBorders>
            <w:vAlign w:val="center"/>
          </w:tcPr>
          <w:p>
            <w:pPr>
              <w:widowControl/>
              <w:spacing w:line="240" w:lineRule="exact"/>
              <w:jc w:val="center"/>
              <w:rPr>
                <w:color w:val="000000"/>
                <w:kern w:val="0"/>
                <w:szCs w:val="21"/>
              </w:rPr>
            </w:pPr>
            <w:r>
              <w:rPr>
                <w:color w:val="000000"/>
                <w:kern w:val="0"/>
                <w:szCs w:val="21"/>
              </w:rPr>
              <w:t>绩</w:t>
            </w:r>
          </w:p>
          <w:p>
            <w:pPr>
              <w:widowControl/>
              <w:spacing w:line="240" w:lineRule="exact"/>
              <w:jc w:val="center"/>
              <w:rPr>
                <w:color w:val="000000"/>
                <w:kern w:val="0"/>
                <w:szCs w:val="21"/>
              </w:rPr>
            </w:pPr>
            <w:r>
              <w:rPr>
                <w:color w:val="000000"/>
                <w:kern w:val="0"/>
                <w:szCs w:val="21"/>
              </w:rPr>
              <w:t>效</w:t>
            </w:r>
          </w:p>
          <w:p>
            <w:pPr>
              <w:widowControl/>
              <w:spacing w:line="240" w:lineRule="exact"/>
              <w:jc w:val="center"/>
              <w:rPr>
                <w:color w:val="000000"/>
                <w:kern w:val="0"/>
                <w:szCs w:val="21"/>
              </w:rPr>
            </w:pPr>
            <w:r>
              <w:rPr>
                <w:color w:val="000000"/>
                <w:kern w:val="0"/>
                <w:szCs w:val="21"/>
              </w:rPr>
              <w:t>指</w:t>
            </w:r>
          </w:p>
          <w:p>
            <w:pPr>
              <w:widowControl/>
              <w:spacing w:line="240" w:lineRule="exact"/>
              <w:jc w:val="center"/>
              <w:rPr>
                <w:color w:val="000000"/>
                <w:kern w:val="0"/>
                <w:szCs w:val="21"/>
              </w:rPr>
            </w:pPr>
            <w:r>
              <w:rPr>
                <w:color w:val="000000"/>
                <w:kern w:val="0"/>
                <w:szCs w:val="21"/>
              </w:rPr>
              <w:t>标</w:t>
            </w:r>
          </w:p>
        </w:tc>
        <w:tc>
          <w:tcPr>
            <w:tcW w:w="105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Cs w:val="21"/>
              </w:rPr>
            </w:pPr>
            <w:r>
              <w:rPr>
                <w:color w:val="000000"/>
                <w:kern w:val="0"/>
                <w:szCs w:val="21"/>
              </w:rPr>
              <w:t>一级指标</w:t>
            </w:r>
          </w:p>
        </w:tc>
        <w:tc>
          <w:tcPr>
            <w:tcW w:w="953" w:type="dxa"/>
            <w:tcBorders>
              <w:top w:val="nil"/>
              <w:left w:val="nil"/>
              <w:bottom w:val="single" w:color="auto" w:sz="4" w:space="0"/>
              <w:right w:val="single" w:color="auto" w:sz="4" w:space="0"/>
            </w:tcBorders>
            <w:vAlign w:val="center"/>
          </w:tcPr>
          <w:p>
            <w:pPr>
              <w:widowControl/>
              <w:spacing w:line="240" w:lineRule="exact"/>
              <w:jc w:val="center"/>
              <w:rPr>
                <w:color w:val="000000"/>
                <w:kern w:val="0"/>
                <w:szCs w:val="21"/>
              </w:rPr>
            </w:pPr>
            <w:r>
              <w:rPr>
                <w:color w:val="000000"/>
                <w:kern w:val="0"/>
                <w:szCs w:val="21"/>
              </w:rPr>
              <w:t>二级指标</w:t>
            </w:r>
          </w:p>
        </w:tc>
        <w:tc>
          <w:tcPr>
            <w:tcW w:w="1351"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Cs w:val="21"/>
              </w:rPr>
            </w:pPr>
            <w:r>
              <w:rPr>
                <w:color w:val="000000"/>
                <w:kern w:val="0"/>
                <w:szCs w:val="21"/>
              </w:rPr>
              <w:t>三级指标</w:t>
            </w:r>
          </w:p>
        </w:tc>
        <w:tc>
          <w:tcPr>
            <w:tcW w:w="1603" w:type="dxa"/>
            <w:tcBorders>
              <w:top w:val="nil"/>
              <w:left w:val="nil"/>
              <w:bottom w:val="single" w:color="auto" w:sz="4" w:space="0"/>
              <w:right w:val="single" w:color="auto" w:sz="4" w:space="0"/>
            </w:tcBorders>
            <w:vAlign w:val="center"/>
          </w:tcPr>
          <w:p>
            <w:pPr>
              <w:widowControl/>
              <w:spacing w:line="240" w:lineRule="exact"/>
              <w:jc w:val="center"/>
              <w:rPr>
                <w:color w:val="000000"/>
                <w:kern w:val="0"/>
                <w:szCs w:val="21"/>
              </w:rPr>
            </w:pPr>
            <w:r>
              <w:rPr>
                <w:color w:val="000000"/>
                <w:kern w:val="0"/>
                <w:szCs w:val="21"/>
              </w:rPr>
              <w:t>年度</w:t>
            </w:r>
          </w:p>
          <w:p>
            <w:pPr>
              <w:widowControl/>
              <w:spacing w:line="240" w:lineRule="exact"/>
              <w:jc w:val="center"/>
              <w:rPr>
                <w:color w:val="000000"/>
                <w:kern w:val="0"/>
                <w:szCs w:val="21"/>
              </w:rPr>
            </w:pPr>
            <w:r>
              <w:rPr>
                <w:color w:val="000000"/>
                <w:kern w:val="0"/>
                <w:szCs w:val="21"/>
              </w:rPr>
              <w:t>指标值</w:t>
            </w:r>
          </w:p>
        </w:tc>
        <w:tc>
          <w:tcPr>
            <w:tcW w:w="873" w:type="dxa"/>
            <w:tcBorders>
              <w:top w:val="nil"/>
              <w:left w:val="nil"/>
              <w:bottom w:val="single" w:color="auto" w:sz="4" w:space="0"/>
              <w:right w:val="single" w:color="auto" w:sz="4" w:space="0"/>
            </w:tcBorders>
            <w:vAlign w:val="center"/>
          </w:tcPr>
          <w:p>
            <w:pPr>
              <w:widowControl/>
              <w:spacing w:line="240" w:lineRule="exact"/>
              <w:rPr>
                <w:color w:val="000000"/>
                <w:kern w:val="0"/>
                <w:szCs w:val="21"/>
              </w:rPr>
            </w:pPr>
            <w:r>
              <w:rPr>
                <w:color w:val="000000"/>
                <w:kern w:val="0"/>
                <w:szCs w:val="21"/>
              </w:rPr>
              <w:t>实际完成值</w:t>
            </w:r>
          </w:p>
        </w:tc>
        <w:tc>
          <w:tcPr>
            <w:tcW w:w="709" w:type="dxa"/>
            <w:tcBorders>
              <w:top w:val="nil"/>
              <w:left w:val="nil"/>
              <w:bottom w:val="single" w:color="auto" w:sz="4" w:space="0"/>
              <w:right w:val="single" w:color="auto" w:sz="4" w:space="0"/>
            </w:tcBorders>
            <w:vAlign w:val="center"/>
          </w:tcPr>
          <w:p>
            <w:pPr>
              <w:widowControl/>
              <w:spacing w:line="240" w:lineRule="exact"/>
              <w:jc w:val="center"/>
              <w:rPr>
                <w:color w:val="000000"/>
                <w:kern w:val="0"/>
                <w:szCs w:val="21"/>
              </w:rPr>
            </w:pPr>
            <w:r>
              <w:rPr>
                <w:color w:val="000000"/>
                <w:kern w:val="0"/>
                <w:szCs w:val="21"/>
              </w:rPr>
              <w:t>分值</w:t>
            </w:r>
          </w:p>
        </w:tc>
        <w:tc>
          <w:tcPr>
            <w:tcW w:w="992" w:type="dxa"/>
            <w:tcBorders>
              <w:top w:val="nil"/>
              <w:left w:val="nil"/>
              <w:bottom w:val="single" w:color="auto" w:sz="4" w:space="0"/>
              <w:right w:val="single" w:color="auto" w:sz="4" w:space="0"/>
            </w:tcBorders>
            <w:vAlign w:val="center"/>
          </w:tcPr>
          <w:p>
            <w:pPr>
              <w:widowControl/>
              <w:spacing w:line="240" w:lineRule="exact"/>
              <w:jc w:val="center"/>
              <w:rPr>
                <w:color w:val="000000"/>
                <w:kern w:val="0"/>
                <w:szCs w:val="21"/>
              </w:rPr>
            </w:pPr>
            <w:r>
              <w:rPr>
                <w:color w:val="000000"/>
                <w:kern w:val="0"/>
                <w:szCs w:val="21"/>
              </w:rPr>
              <w:t>得分</w:t>
            </w:r>
          </w:p>
        </w:tc>
        <w:tc>
          <w:tcPr>
            <w:tcW w:w="1352" w:type="dxa"/>
            <w:tcBorders>
              <w:top w:val="nil"/>
              <w:left w:val="nil"/>
              <w:bottom w:val="single" w:color="auto" w:sz="4" w:space="0"/>
              <w:right w:val="single" w:color="auto" w:sz="4" w:space="0"/>
            </w:tcBorders>
            <w:vAlign w:val="center"/>
          </w:tcPr>
          <w:p>
            <w:pPr>
              <w:widowControl/>
              <w:spacing w:line="240" w:lineRule="exact"/>
              <w:jc w:val="center"/>
              <w:rPr>
                <w:color w:val="000000"/>
                <w:kern w:val="0"/>
                <w:szCs w:val="21"/>
              </w:rPr>
            </w:pPr>
            <w:r>
              <w:rPr>
                <w:color w:val="000000"/>
                <w:kern w:val="0"/>
                <w:szCs w:val="21"/>
              </w:rPr>
              <w:t>偏差原因</w:t>
            </w:r>
          </w:p>
          <w:p>
            <w:pPr>
              <w:widowControl/>
              <w:spacing w:line="240" w:lineRule="exact"/>
              <w:jc w:val="center"/>
              <w:rPr>
                <w:color w:val="000000"/>
                <w:kern w:val="0"/>
                <w:szCs w:val="21"/>
              </w:rPr>
            </w:pPr>
            <w:r>
              <w:rPr>
                <w:color w:val="000000"/>
                <w:kern w:val="0"/>
                <w:szCs w:val="21"/>
              </w:rPr>
              <w:t>分析及</w:t>
            </w:r>
          </w:p>
          <w:p>
            <w:pPr>
              <w:widowControl/>
              <w:spacing w:line="240" w:lineRule="exact"/>
              <w:jc w:val="center"/>
              <w:rPr>
                <w:color w:val="000000"/>
                <w:kern w:val="0"/>
                <w:szCs w:val="21"/>
              </w:rPr>
            </w:pPr>
            <w:r>
              <w:rPr>
                <w:color w:val="000000"/>
                <w:kern w:val="0"/>
                <w:szCs w:val="21"/>
              </w:rPr>
              <w:t>改进措施</w:t>
            </w:r>
          </w:p>
        </w:tc>
      </w:tr>
      <w:tr>
        <w:tblPrEx>
          <w:tblCellMar>
            <w:top w:w="0" w:type="dxa"/>
            <w:left w:w="108" w:type="dxa"/>
            <w:bottom w:w="0" w:type="dxa"/>
            <w:right w:w="108" w:type="dxa"/>
          </w:tblCellMar>
        </w:tblPrEx>
        <w:trPr>
          <w:jc w:val="center"/>
        </w:trPr>
        <w:tc>
          <w:tcPr>
            <w:tcW w:w="1105" w:type="dxa"/>
            <w:vMerge w:val="continue"/>
            <w:tcBorders>
              <w:top w:val="nil"/>
              <w:left w:val="single" w:color="auto" w:sz="4" w:space="0"/>
              <w:bottom w:val="nil"/>
              <w:right w:val="single" w:color="auto" w:sz="4" w:space="0"/>
            </w:tcBorders>
            <w:vAlign w:val="center"/>
          </w:tcPr>
          <w:p>
            <w:pPr>
              <w:spacing w:line="240" w:lineRule="exact"/>
              <w:jc w:val="left"/>
              <w:rPr>
                <w:color w:val="000000"/>
                <w:kern w:val="0"/>
                <w:szCs w:val="21"/>
              </w:rPr>
            </w:pPr>
          </w:p>
        </w:tc>
        <w:tc>
          <w:tcPr>
            <w:tcW w:w="1055" w:type="dxa"/>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color w:val="000000"/>
                <w:kern w:val="0"/>
                <w:szCs w:val="21"/>
              </w:rPr>
            </w:pPr>
            <w:r>
              <w:rPr>
                <w:color w:val="000000"/>
                <w:kern w:val="0"/>
                <w:szCs w:val="21"/>
              </w:rPr>
              <w:t>产出指标</w:t>
            </w:r>
          </w:p>
          <w:p>
            <w:pPr>
              <w:widowControl/>
              <w:spacing w:line="240" w:lineRule="exact"/>
              <w:jc w:val="center"/>
              <w:rPr>
                <w:color w:val="000000"/>
                <w:kern w:val="0"/>
                <w:szCs w:val="21"/>
              </w:rPr>
            </w:pPr>
          </w:p>
          <w:p>
            <w:pPr>
              <w:widowControl/>
              <w:spacing w:line="240" w:lineRule="exact"/>
              <w:jc w:val="center"/>
              <w:rPr>
                <w:color w:val="000000"/>
                <w:kern w:val="0"/>
                <w:szCs w:val="21"/>
              </w:rPr>
            </w:pPr>
            <w:r>
              <w:rPr>
                <w:color w:val="000000"/>
                <w:kern w:val="0"/>
                <w:szCs w:val="21"/>
              </w:rPr>
              <w:t>(50分)</w:t>
            </w:r>
          </w:p>
        </w:tc>
        <w:tc>
          <w:tcPr>
            <w:tcW w:w="953" w:type="dxa"/>
            <w:vMerge w:val="restart"/>
            <w:tcBorders>
              <w:top w:val="nil"/>
              <w:left w:val="nil"/>
              <w:right w:val="single" w:color="auto" w:sz="4" w:space="0"/>
            </w:tcBorders>
            <w:vAlign w:val="center"/>
          </w:tcPr>
          <w:p>
            <w:pPr>
              <w:widowControl/>
              <w:spacing w:line="240" w:lineRule="exact"/>
              <w:jc w:val="center"/>
              <w:rPr>
                <w:color w:val="000000"/>
                <w:kern w:val="0"/>
                <w:szCs w:val="21"/>
              </w:rPr>
            </w:pPr>
            <w:r>
              <w:rPr>
                <w:color w:val="000000"/>
                <w:kern w:val="0"/>
                <w:szCs w:val="21"/>
              </w:rPr>
              <w:t>数量指标</w:t>
            </w: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指标1：</w:t>
            </w:r>
          </w:p>
        </w:tc>
        <w:tc>
          <w:tcPr>
            <w:tcW w:w="160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重点工程造林面积1.5万亩</w:t>
            </w:r>
          </w:p>
        </w:tc>
        <w:tc>
          <w:tcPr>
            <w:tcW w:w="87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1.5万亩</w:t>
            </w:r>
          </w:p>
        </w:tc>
        <w:tc>
          <w:tcPr>
            <w:tcW w:w="709"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20</w:t>
            </w:r>
          </w:p>
        </w:tc>
        <w:tc>
          <w:tcPr>
            <w:tcW w:w="99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r>
              <w:rPr>
                <w:rFonts w:hint="eastAsia"/>
                <w:color w:val="000000"/>
                <w:kern w:val="0"/>
                <w:szCs w:val="21"/>
              </w:rPr>
              <w:t>20</w:t>
            </w:r>
          </w:p>
        </w:tc>
        <w:tc>
          <w:tcPr>
            <w:tcW w:w="135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r>
      <w:tr>
        <w:tblPrEx>
          <w:tblCellMar>
            <w:top w:w="0" w:type="dxa"/>
            <w:left w:w="108" w:type="dxa"/>
            <w:bottom w:w="0" w:type="dxa"/>
            <w:right w:w="108" w:type="dxa"/>
          </w:tblCellMar>
        </w:tblPrEx>
        <w:trPr>
          <w:jc w:val="center"/>
        </w:trPr>
        <w:tc>
          <w:tcPr>
            <w:tcW w:w="1105" w:type="dxa"/>
            <w:vMerge w:val="continue"/>
            <w:tcBorders>
              <w:top w:val="nil"/>
              <w:left w:val="single" w:color="auto" w:sz="4" w:space="0"/>
              <w:bottom w:val="nil"/>
              <w:right w:val="single" w:color="auto" w:sz="4" w:space="0"/>
            </w:tcBorders>
            <w:vAlign w:val="center"/>
          </w:tcPr>
          <w:p>
            <w:pPr>
              <w:spacing w:line="240" w:lineRule="exact"/>
              <w:jc w:val="left"/>
              <w:rPr>
                <w:color w:val="000000"/>
                <w:kern w:val="0"/>
                <w:szCs w:val="21"/>
              </w:rPr>
            </w:pPr>
          </w:p>
        </w:tc>
        <w:tc>
          <w:tcPr>
            <w:tcW w:w="1055" w:type="dxa"/>
            <w:vMerge w:val="continue"/>
            <w:tcBorders>
              <w:top w:val="single" w:color="auto" w:sz="4" w:space="0"/>
              <w:left w:val="nil"/>
              <w:bottom w:val="single" w:color="auto" w:sz="4" w:space="0"/>
              <w:right w:val="single" w:color="auto" w:sz="4" w:space="0"/>
            </w:tcBorders>
            <w:vAlign w:val="center"/>
          </w:tcPr>
          <w:p>
            <w:pPr>
              <w:spacing w:line="240" w:lineRule="exact"/>
              <w:jc w:val="left"/>
              <w:rPr>
                <w:color w:val="000000"/>
                <w:kern w:val="0"/>
                <w:szCs w:val="21"/>
              </w:rPr>
            </w:pPr>
          </w:p>
        </w:tc>
        <w:tc>
          <w:tcPr>
            <w:tcW w:w="953" w:type="dxa"/>
            <w:vMerge w:val="continue"/>
            <w:tcBorders>
              <w:left w:val="nil"/>
              <w:right w:val="single" w:color="auto" w:sz="4" w:space="0"/>
            </w:tcBorders>
            <w:vAlign w:val="center"/>
          </w:tcPr>
          <w:p>
            <w:pPr>
              <w:spacing w:line="240" w:lineRule="exact"/>
              <w:jc w:val="center"/>
              <w:rPr>
                <w:color w:val="000000"/>
                <w:kern w:val="0"/>
                <w:szCs w:val="21"/>
              </w:rPr>
            </w:pP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指标2：</w:t>
            </w:r>
          </w:p>
        </w:tc>
        <w:tc>
          <w:tcPr>
            <w:tcW w:w="160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87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709"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99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135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175" w:hRule="atLeast"/>
          <w:jc w:val="center"/>
        </w:trPr>
        <w:tc>
          <w:tcPr>
            <w:tcW w:w="1105" w:type="dxa"/>
            <w:vMerge w:val="continue"/>
            <w:tcBorders>
              <w:top w:val="nil"/>
              <w:left w:val="single" w:color="auto" w:sz="4" w:space="0"/>
              <w:bottom w:val="nil"/>
              <w:right w:val="single" w:color="auto" w:sz="4" w:space="0"/>
            </w:tcBorders>
            <w:vAlign w:val="center"/>
          </w:tcPr>
          <w:p>
            <w:pPr>
              <w:spacing w:line="240" w:lineRule="exact"/>
              <w:jc w:val="left"/>
              <w:rPr>
                <w:color w:val="000000"/>
                <w:kern w:val="0"/>
                <w:szCs w:val="21"/>
              </w:rPr>
            </w:pPr>
          </w:p>
        </w:tc>
        <w:tc>
          <w:tcPr>
            <w:tcW w:w="1055" w:type="dxa"/>
            <w:vMerge w:val="continue"/>
            <w:tcBorders>
              <w:top w:val="single" w:color="auto" w:sz="4" w:space="0"/>
              <w:left w:val="nil"/>
              <w:bottom w:val="single" w:color="auto" w:sz="4" w:space="0"/>
              <w:right w:val="single" w:color="auto" w:sz="4" w:space="0"/>
            </w:tcBorders>
            <w:vAlign w:val="center"/>
          </w:tcPr>
          <w:p>
            <w:pPr>
              <w:spacing w:line="240" w:lineRule="exact"/>
              <w:jc w:val="left"/>
              <w:rPr>
                <w:color w:val="000000"/>
                <w:kern w:val="0"/>
                <w:szCs w:val="21"/>
              </w:rPr>
            </w:pPr>
          </w:p>
        </w:tc>
        <w:tc>
          <w:tcPr>
            <w:tcW w:w="953" w:type="dxa"/>
            <w:vMerge w:val="continue"/>
            <w:tcBorders>
              <w:left w:val="nil"/>
              <w:bottom w:val="single" w:color="auto" w:sz="4" w:space="0"/>
              <w:right w:val="single" w:color="auto" w:sz="4" w:space="0"/>
            </w:tcBorders>
            <w:vAlign w:val="center"/>
          </w:tcPr>
          <w:p>
            <w:pPr>
              <w:widowControl/>
              <w:spacing w:line="240" w:lineRule="exact"/>
              <w:jc w:val="center"/>
              <w:rPr>
                <w:color w:val="000000"/>
                <w:kern w:val="0"/>
                <w:szCs w:val="21"/>
              </w:rPr>
            </w:pP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w:t>
            </w:r>
          </w:p>
        </w:tc>
        <w:tc>
          <w:tcPr>
            <w:tcW w:w="160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87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709"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99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135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r>
      <w:tr>
        <w:tblPrEx>
          <w:tblCellMar>
            <w:top w:w="0" w:type="dxa"/>
            <w:left w:w="108" w:type="dxa"/>
            <w:bottom w:w="0" w:type="dxa"/>
            <w:right w:w="108" w:type="dxa"/>
          </w:tblCellMar>
        </w:tblPrEx>
        <w:trPr>
          <w:jc w:val="center"/>
        </w:trPr>
        <w:tc>
          <w:tcPr>
            <w:tcW w:w="1105" w:type="dxa"/>
            <w:vMerge w:val="continue"/>
            <w:tcBorders>
              <w:top w:val="nil"/>
              <w:left w:val="single" w:color="auto" w:sz="4" w:space="0"/>
              <w:bottom w:val="nil"/>
              <w:right w:val="single" w:color="auto" w:sz="4" w:space="0"/>
            </w:tcBorders>
            <w:vAlign w:val="center"/>
          </w:tcPr>
          <w:p>
            <w:pPr>
              <w:spacing w:line="240" w:lineRule="exact"/>
              <w:jc w:val="left"/>
              <w:rPr>
                <w:color w:val="000000"/>
                <w:kern w:val="0"/>
                <w:szCs w:val="21"/>
              </w:rPr>
            </w:pPr>
          </w:p>
        </w:tc>
        <w:tc>
          <w:tcPr>
            <w:tcW w:w="1055" w:type="dxa"/>
            <w:vMerge w:val="continue"/>
            <w:tcBorders>
              <w:top w:val="single" w:color="auto" w:sz="4" w:space="0"/>
              <w:left w:val="nil"/>
              <w:bottom w:val="single" w:color="auto" w:sz="4" w:space="0"/>
              <w:right w:val="single" w:color="auto" w:sz="4" w:space="0"/>
            </w:tcBorders>
            <w:vAlign w:val="center"/>
          </w:tcPr>
          <w:p>
            <w:pPr>
              <w:spacing w:line="240" w:lineRule="exact"/>
              <w:jc w:val="left"/>
              <w:rPr>
                <w:color w:val="000000"/>
                <w:kern w:val="0"/>
                <w:szCs w:val="21"/>
              </w:rPr>
            </w:pPr>
          </w:p>
        </w:tc>
        <w:tc>
          <w:tcPr>
            <w:tcW w:w="953" w:type="dxa"/>
            <w:vMerge w:val="restart"/>
            <w:tcBorders>
              <w:top w:val="nil"/>
              <w:left w:val="nil"/>
              <w:right w:val="single" w:color="auto" w:sz="4" w:space="0"/>
            </w:tcBorders>
            <w:vAlign w:val="center"/>
          </w:tcPr>
          <w:p>
            <w:pPr>
              <w:widowControl/>
              <w:spacing w:line="240" w:lineRule="exact"/>
              <w:jc w:val="center"/>
              <w:rPr>
                <w:color w:val="000000"/>
                <w:kern w:val="0"/>
                <w:szCs w:val="21"/>
              </w:rPr>
            </w:pPr>
            <w:r>
              <w:rPr>
                <w:color w:val="000000"/>
                <w:kern w:val="0"/>
                <w:szCs w:val="21"/>
              </w:rPr>
              <w:t>质量指标</w:t>
            </w: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指标1：</w:t>
            </w:r>
          </w:p>
        </w:tc>
        <w:tc>
          <w:tcPr>
            <w:tcW w:w="160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林业有害生物成灾率控制在4‰</w:t>
            </w:r>
          </w:p>
        </w:tc>
        <w:tc>
          <w:tcPr>
            <w:tcW w:w="87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4‰以下</w:t>
            </w:r>
          </w:p>
        </w:tc>
        <w:tc>
          <w:tcPr>
            <w:tcW w:w="709"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10</w:t>
            </w:r>
          </w:p>
        </w:tc>
        <w:tc>
          <w:tcPr>
            <w:tcW w:w="99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10</w:t>
            </w:r>
          </w:p>
        </w:tc>
        <w:tc>
          <w:tcPr>
            <w:tcW w:w="135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r>
      <w:tr>
        <w:tblPrEx>
          <w:tblCellMar>
            <w:top w:w="0" w:type="dxa"/>
            <w:left w:w="108" w:type="dxa"/>
            <w:bottom w:w="0" w:type="dxa"/>
            <w:right w:w="108" w:type="dxa"/>
          </w:tblCellMar>
        </w:tblPrEx>
        <w:trPr>
          <w:jc w:val="center"/>
        </w:trPr>
        <w:tc>
          <w:tcPr>
            <w:tcW w:w="1105" w:type="dxa"/>
            <w:vMerge w:val="continue"/>
            <w:tcBorders>
              <w:top w:val="nil"/>
              <w:left w:val="single" w:color="auto" w:sz="4" w:space="0"/>
              <w:bottom w:val="nil"/>
              <w:right w:val="single" w:color="auto" w:sz="4" w:space="0"/>
            </w:tcBorders>
            <w:vAlign w:val="center"/>
          </w:tcPr>
          <w:p>
            <w:pPr>
              <w:spacing w:line="240" w:lineRule="exact"/>
              <w:jc w:val="left"/>
              <w:rPr>
                <w:color w:val="000000"/>
                <w:kern w:val="0"/>
                <w:szCs w:val="21"/>
              </w:rPr>
            </w:pPr>
          </w:p>
        </w:tc>
        <w:tc>
          <w:tcPr>
            <w:tcW w:w="1055" w:type="dxa"/>
            <w:vMerge w:val="continue"/>
            <w:tcBorders>
              <w:top w:val="single" w:color="auto" w:sz="4" w:space="0"/>
              <w:left w:val="nil"/>
              <w:bottom w:val="single" w:color="auto" w:sz="4" w:space="0"/>
              <w:right w:val="single" w:color="auto" w:sz="4" w:space="0"/>
            </w:tcBorders>
            <w:vAlign w:val="center"/>
          </w:tcPr>
          <w:p>
            <w:pPr>
              <w:spacing w:line="240" w:lineRule="exact"/>
              <w:jc w:val="left"/>
              <w:rPr>
                <w:color w:val="000000"/>
                <w:kern w:val="0"/>
                <w:szCs w:val="21"/>
              </w:rPr>
            </w:pPr>
          </w:p>
        </w:tc>
        <w:tc>
          <w:tcPr>
            <w:tcW w:w="953" w:type="dxa"/>
            <w:vMerge w:val="continue"/>
            <w:tcBorders>
              <w:left w:val="nil"/>
              <w:right w:val="single" w:color="auto" w:sz="4" w:space="0"/>
            </w:tcBorders>
            <w:vAlign w:val="center"/>
          </w:tcPr>
          <w:p>
            <w:pPr>
              <w:spacing w:line="240" w:lineRule="exact"/>
              <w:jc w:val="center"/>
              <w:rPr>
                <w:color w:val="000000"/>
                <w:kern w:val="0"/>
                <w:szCs w:val="21"/>
              </w:rPr>
            </w:pP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指标2：</w:t>
            </w:r>
          </w:p>
        </w:tc>
        <w:tc>
          <w:tcPr>
            <w:tcW w:w="160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r>
              <w:rPr>
                <w:rFonts w:hint="eastAsia"/>
                <w:color w:val="000000"/>
                <w:kern w:val="0"/>
                <w:szCs w:val="21"/>
              </w:rPr>
              <w:t>火警及火灾处置率100%</w:t>
            </w:r>
          </w:p>
        </w:tc>
        <w:tc>
          <w:tcPr>
            <w:tcW w:w="87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r>
              <w:rPr>
                <w:rFonts w:hint="eastAsia"/>
                <w:color w:val="000000"/>
                <w:kern w:val="0"/>
                <w:szCs w:val="21"/>
              </w:rPr>
              <w:t>100%</w:t>
            </w:r>
          </w:p>
        </w:tc>
        <w:tc>
          <w:tcPr>
            <w:tcW w:w="709"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r>
              <w:rPr>
                <w:rFonts w:hint="eastAsia"/>
                <w:color w:val="000000"/>
                <w:kern w:val="0"/>
                <w:szCs w:val="21"/>
              </w:rPr>
              <w:t>10</w:t>
            </w:r>
          </w:p>
        </w:tc>
        <w:tc>
          <w:tcPr>
            <w:tcW w:w="99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r>
              <w:rPr>
                <w:rFonts w:hint="eastAsia"/>
                <w:color w:val="000000"/>
                <w:kern w:val="0"/>
                <w:szCs w:val="21"/>
              </w:rPr>
              <w:t>10</w:t>
            </w:r>
          </w:p>
        </w:tc>
        <w:tc>
          <w:tcPr>
            <w:tcW w:w="135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r>
              <w:rPr>
                <w:rFonts w:hint="eastAsia"/>
                <w:color w:val="000000"/>
                <w:kern w:val="0"/>
                <w:szCs w:val="21"/>
              </w:rPr>
              <w:t>清明期间因为火警处置及时，上央视新闻</w:t>
            </w:r>
          </w:p>
        </w:tc>
      </w:tr>
      <w:tr>
        <w:tblPrEx>
          <w:tblCellMar>
            <w:top w:w="0" w:type="dxa"/>
            <w:left w:w="108" w:type="dxa"/>
            <w:bottom w:w="0" w:type="dxa"/>
            <w:right w:w="108" w:type="dxa"/>
          </w:tblCellMar>
        </w:tblPrEx>
        <w:trPr>
          <w:jc w:val="center"/>
        </w:trPr>
        <w:tc>
          <w:tcPr>
            <w:tcW w:w="1105" w:type="dxa"/>
            <w:vMerge w:val="continue"/>
            <w:tcBorders>
              <w:top w:val="nil"/>
              <w:left w:val="single" w:color="auto" w:sz="4" w:space="0"/>
              <w:bottom w:val="nil"/>
              <w:right w:val="single" w:color="auto" w:sz="4" w:space="0"/>
            </w:tcBorders>
            <w:vAlign w:val="center"/>
          </w:tcPr>
          <w:p>
            <w:pPr>
              <w:spacing w:line="240" w:lineRule="exact"/>
              <w:jc w:val="left"/>
              <w:rPr>
                <w:color w:val="000000"/>
                <w:kern w:val="0"/>
                <w:szCs w:val="21"/>
              </w:rPr>
            </w:pPr>
          </w:p>
        </w:tc>
        <w:tc>
          <w:tcPr>
            <w:tcW w:w="1055" w:type="dxa"/>
            <w:vMerge w:val="continue"/>
            <w:tcBorders>
              <w:top w:val="single" w:color="auto" w:sz="4" w:space="0"/>
              <w:left w:val="nil"/>
              <w:bottom w:val="single" w:color="auto" w:sz="4" w:space="0"/>
              <w:right w:val="single" w:color="auto" w:sz="4" w:space="0"/>
            </w:tcBorders>
            <w:vAlign w:val="center"/>
          </w:tcPr>
          <w:p>
            <w:pPr>
              <w:spacing w:line="240" w:lineRule="exact"/>
              <w:jc w:val="left"/>
              <w:rPr>
                <w:color w:val="000000"/>
                <w:kern w:val="0"/>
                <w:szCs w:val="21"/>
              </w:rPr>
            </w:pPr>
          </w:p>
        </w:tc>
        <w:tc>
          <w:tcPr>
            <w:tcW w:w="953" w:type="dxa"/>
            <w:vMerge w:val="continue"/>
            <w:tcBorders>
              <w:left w:val="nil"/>
              <w:bottom w:val="single" w:color="auto" w:sz="4" w:space="0"/>
              <w:right w:val="single" w:color="auto" w:sz="4" w:space="0"/>
            </w:tcBorders>
            <w:vAlign w:val="center"/>
          </w:tcPr>
          <w:p>
            <w:pPr>
              <w:widowControl/>
              <w:spacing w:line="240" w:lineRule="exact"/>
              <w:jc w:val="center"/>
              <w:rPr>
                <w:color w:val="000000"/>
                <w:kern w:val="0"/>
                <w:szCs w:val="21"/>
              </w:rPr>
            </w:pP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w:t>
            </w:r>
          </w:p>
        </w:tc>
        <w:tc>
          <w:tcPr>
            <w:tcW w:w="160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87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709"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99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135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678" w:hRule="atLeast"/>
          <w:jc w:val="center"/>
        </w:trPr>
        <w:tc>
          <w:tcPr>
            <w:tcW w:w="1105" w:type="dxa"/>
            <w:vMerge w:val="continue"/>
            <w:tcBorders>
              <w:top w:val="nil"/>
              <w:left w:val="single" w:color="auto" w:sz="4" w:space="0"/>
              <w:bottom w:val="nil"/>
              <w:right w:val="single" w:color="auto" w:sz="4" w:space="0"/>
            </w:tcBorders>
            <w:vAlign w:val="center"/>
          </w:tcPr>
          <w:p>
            <w:pPr>
              <w:spacing w:line="240" w:lineRule="exact"/>
              <w:jc w:val="left"/>
              <w:rPr>
                <w:color w:val="000000"/>
                <w:kern w:val="0"/>
                <w:szCs w:val="21"/>
              </w:rPr>
            </w:pPr>
          </w:p>
        </w:tc>
        <w:tc>
          <w:tcPr>
            <w:tcW w:w="1055" w:type="dxa"/>
            <w:vMerge w:val="continue"/>
            <w:tcBorders>
              <w:top w:val="single" w:color="auto" w:sz="4" w:space="0"/>
              <w:left w:val="nil"/>
              <w:bottom w:val="single" w:color="auto" w:sz="4" w:space="0"/>
              <w:right w:val="single" w:color="auto" w:sz="4" w:space="0"/>
            </w:tcBorders>
            <w:vAlign w:val="center"/>
          </w:tcPr>
          <w:p>
            <w:pPr>
              <w:spacing w:line="240" w:lineRule="exact"/>
              <w:jc w:val="left"/>
              <w:rPr>
                <w:color w:val="000000"/>
                <w:kern w:val="0"/>
                <w:szCs w:val="21"/>
              </w:rPr>
            </w:pPr>
          </w:p>
        </w:tc>
        <w:tc>
          <w:tcPr>
            <w:tcW w:w="953" w:type="dxa"/>
            <w:vMerge w:val="restart"/>
            <w:tcBorders>
              <w:top w:val="nil"/>
              <w:left w:val="nil"/>
              <w:right w:val="single" w:color="auto" w:sz="4" w:space="0"/>
            </w:tcBorders>
            <w:vAlign w:val="center"/>
          </w:tcPr>
          <w:p>
            <w:pPr>
              <w:widowControl/>
              <w:spacing w:line="240" w:lineRule="exact"/>
              <w:jc w:val="center"/>
              <w:rPr>
                <w:color w:val="000000"/>
                <w:kern w:val="0"/>
                <w:szCs w:val="21"/>
              </w:rPr>
            </w:pPr>
            <w:r>
              <w:rPr>
                <w:color w:val="000000"/>
                <w:kern w:val="0"/>
                <w:szCs w:val="21"/>
              </w:rPr>
              <w:t>时效指标</w:t>
            </w: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指标1：</w:t>
            </w:r>
          </w:p>
        </w:tc>
        <w:tc>
          <w:tcPr>
            <w:tcW w:w="160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年底前完成各项任务</w:t>
            </w:r>
          </w:p>
        </w:tc>
        <w:tc>
          <w:tcPr>
            <w:tcW w:w="87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圆满完成各项任务</w:t>
            </w:r>
          </w:p>
        </w:tc>
        <w:tc>
          <w:tcPr>
            <w:tcW w:w="709"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10</w:t>
            </w:r>
          </w:p>
        </w:tc>
        <w:tc>
          <w:tcPr>
            <w:tcW w:w="99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10</w:t>
            </w:r>
          </w:p>
        </w:tc>
        <w:tc>
          <w:tcPr>
            <w:tcW w:w="135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r>
      <w:tr>
        <w:tblPrEx>
          <w:tblCellMar>
            <w:top w:w="0" w:type="dxa"/>
            <w:left w:w="108" w:type="dxa"/>
            <w:bottom w:w="0" w:type="dxa"/>
            <w:right w:w="108" w:type="dxa"/>
          </w:tblCellMar>
        </w:tblPrEx>
        <w:trPr>
          <w:jc w:val="center"/>
        </w:trPr>
        <w:tc>
          <w:tcPr>
            <w:tcW w:w="1105" w:type="dxa"/>
            <w:vMerge w:val="continue"/>
            <w:tcBorders>
              <w:top w:val="nil"/>
              <w:left w:val="single" w:color="auto" w:sz="4" w:space="0"/>
              <w:bottom w:val="nil"/>
              <w:right w:val="single" w:color="auto" w:sz="4" w:space="0"/>
            </w:tcBorders>
            <w:vAlign w:val="center"/>
          </w:tcPr>
          <w:p>
            <w:pPr>
              <w:spacing w:line="240" w:lineRule="exact"/>
              <w:jc w:val="left"/>
              <w:rPr>
                <w:color w:val="000000"/>
                <w:kern w:val="0"/>
                <w:szCs w:val="21"/>
              </w:rPr>
            </w:pPr>
          </w:p>
        </w:tc>
        <w:tc>
          <w:tcPr>
            <w:tcW w:w="1055" w:type="dxa"/>
            <w:vMerge w:val="continue"/>
            <w:tcBorders>
              <w:top w:val="single" w:color="auto" w:sz="4" w:space="0"/>
              <w:left w:val="nil"/>
              <w:bottom w:val="single" w:color="auto" w:sz="4" w:space="0"/>
              <w:right w:val="single" w:color="auto" w:sz="4" w:space="0"/>
            </w:tcBorders>
            <w:vAlign w:val="center"/>
          </w:tcPr>
          <w:p>
            <w:pPr>
              <w:spacing w:line="240" w:lineRule="exact"/>
              <w:jc w:val="left"/>
              <w:rPr>
                <w:color w:val="000000"/>
                <w:kern w:val="0"/>
                <w:szCs w:val="21"/>
              </w:rPr>
            </w:pPr>
          </w:p>
        </w:tc>
        <w:tc>
          <w:tcPr>
            <w:tcW w:w="953" w:type="dxa"/>
            <w:vMerge w:val="continue"/>
            <w:tcBorders>
              <w:left w:val="nil"/>
              <w:right w:val="single" w:color="auto" w:sz="4" w:space="0"/>
            </w:tcBorders>
            <w:vAlign w:val="center"/>
          </w:tcPr>
          <w:p>
            <w:pPr>
              <w:spacing w:line="240" w:lineRule="exact"/>
              <w:jc w:val="center"/>
              <w:rPr>
                <w:color w:val="000000"/>
                <w:kern w:val="0"/>
                <w:szCs w:val="21"/>
              </w:rPr>
            </w:pP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指标2：</w:t>
            </w:r>
          </w:p>
        </w:tc>
        <w:tc>
          <w:tcPr>
            <w:tcW w:w="160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87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709"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99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135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r>
      <w:tr>
        <w:trPr>
          <w:jc w:val="center"/>
        </w:trPr>
        <w:tc>
          <w:tcPr>
            <w:tcW w:w="1105" w:type="dxa"/>
            <w:vMerge w:val="continue"/>
            <w:tcBorders>
              <w:top w:val="nil"/>
              <w:left w:val="single" w:color="auto" w:sz="4" w:space="0"/>
              <w:bottom w:val="nil"/>
              <w:right w:val="single" w:color="auto" w:sz="4" w:space="0"/>
            </w:tcBorders>
            <w:vAlign w:val="center"/>
          </w:tcPr>
          <w:p>
            <w:pPr>
              <w:spacing w:line="240" w:lineRule="exact"/>
              <w:jc w:val="left"/>
              <w:rPr>
                <w:color w:val="000000"/>
                <w:kern w:val="0"/>
                <w:szCs w:val="21"/>
              </w:rPr>
            </w:pPr>
          </w:p>
        </w:tc>
        <w:tc>
          <w:tcPr>
            <w:tcW w:w="1055" w:type="dxa"/>
            <w:vMerge w:val="continue"/>
            <w:tcBorders>
              <w:top w:val="single" w:color="auto" w:sz="4" w:space="0"/>
              <w:left w:val="nil"/>
              <w:bottom w:val="single" w:color="auto" w:sz="4" w:space="0"/>
              <w:right w:val="single" w:color="auto" w:sz="4" w:space="0"/>
            </w:tcBorders>
            <w:vAlign w:val="center"/>
          </w:tcPr>
          <w:p>
            <w:pPr>
              <w:spacing w:line="240" w:lineRule="exact"/>
              <w:jc w:val="left"/>
              <w:rPr>
                <w:color w:val="000000"/>
                <w:kern w:val="0"/>
                <w:szCs w:val="21"/>
              </w:rPr>
            </w:pPr>
          </w:p>
        </w:tc>
        <w:tc>
          <w:tcPr>
            <w:tcW w:w="953" w:type="dxa"/>
            <w:vMerge w:val="continue"/>
            <w:tcBorders>
              <w:left w:val="nil"/>
              <w:bottom w:val="single" w:color="auto" w:sz="4" w:space="0"/>
              <w:right w:val="single" w:color="auto" w:sz="4" w:space="0"/>
            </w:tcBorders>
            <w:vAlign w:val="center"/>
          </w:tcPr>
          <w:p>
            <w:pPr>
              <w:widowControl/>
              <w:spacing w:line="240" w:lineRule="exact"/>
              <w:jc w:val="center"/>
              <w:rPr>
                <w:color w:val="000000"/>
                <w:kern w:val="0"/>
                <w:szCs w:val="21"/>
              </w:rPr>
            </w:pP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w:t>
            </w:r>
          </w:p>
        </w:tc>
        <w:tc>
          <w:tcPr>
            <w:tcW w:w="160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87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709"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99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135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r>
      <w:tr>
        <w:tblPrEx>
          <w:tblCellMar>
            <w:top w:w="0" w:type="dxa"/>
            <w:left w:w="108" w:type="dxa"/>
            <w:bottom w:w="0" w:type="dxa"/>
            <w:right w:w="108" w:type="dxa"/>
          </w:tblCellMar>
        </w:tblPrEx>
        <w:trPr>
          <w:jc w:val="center"/>
        </w:trPr>
        <w:tc>
          <w:tcPr>
            <w:tcW w:w="1105" w:type="dxa"/>
            <w:vMerge w:val="continue"/>
            <w:tcBorders>
              <w:top w:val="nil"/>
              <w:left w:val="single" w:color="auto" w:sz="4" w:space="0"/>
              <w:bottom w:val="nil"/>
              <w:right w:val="single" w:color="auto" w:sz="4" w:space="0"/>
            </w:tcBorders>
            <w:vAlign w:val="center"/>
          </w:tcPr>
          <w:p>
            <w:pPr>
              <w:spacing w:line="240" w:lineRule="exact"/>
              <w:jc w:val="left"/>
              <w:rPr>
                <w:color w:val="000000"/>
                <w:kern w:val="0"/>
                <w:szCs w:val="21"/>
              </w:rPr>
            </w:pPr>
          </w:p>
        </w:tc>
        <w:tc>
          <w:tcPr>
            <w:tcW w:w="1055" w:type="dxa"/>
            <w:vMerge w:val="continue"/>
            <w:tcBorders>
              <w:top w:val="single" w:color="auto" w:sz="4" w:space="0"/>
              <w:left w:val="nil"/>
              <w:bottom w:val="single" w:color="auto" w:sz="4" w:space="0"/>
              <w:right w:val="single" w:color="auto" w:sz="4" w:space="0"/>
            </w:tcBorders>
            <w:vAlign w:val="center"/>
          </w:tcPr>
          <w:p>
            <w:pPr>
              <w:spacing w:line="240" w:lineRule="exact"/>
              <w:jc w:val="left"/>
              <w:rPr>
                <w:color w:val="000000"/>
                <w:kern w:val="0"/>
                <w:szCs w:val="21"/>
              </w:rPr>
            </w:pPr>
          </w:p>
        </w:tc>
        <w:tc>
          <w:tcPr>
            <w:tcW w:w="953" w:type="dxa"/>
            <w:vMerge w:val="restart"/>
            <w:tcBorders>
              <w:top w:val="nil"/>
              <w:left w:val="nil"/>
              <w:right w:val="single" w:color="auto" w:sz="4" w:space="0"/>
            </w:tcBorders>
            <w:vAlign w:val="center"/>
          </w:tcPr>
          <w:p>
            <w:pPr>
              <w:widowControl/>
              <w:spacing w:line="240" w:lineRule="exact"/>
              <w:jc w:val="center"/>
              <w:rPr>
                <w:color w:val="000000"/>
                <w:kern w:val="0"/>
                <w:szCs w:val="21"/>
              </w:rPr>
            </w:pPr>
            <w:r>
              <w:rPr>
                <w:color w:val="000000"/>
                <w:kern w:val="0"/>
                <w:szCs w:val="21"/>
              </w:rPr>
              <w:t>成本指标</w:t>
            </w: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指标1：</w:t>
            </w:r>
          </w:p>
        </w:tc>
        <w:tc>
          <w:tcPr>
            <w:tcW w:w="160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87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709"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99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135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r>
      <w:tr>
        <w:tblPrEx>
          <w:tblCellMar>
            <w:top w:w="0" w:type="dxa"/>
            <w:left w:w="108" w:type="dxa"/>
            <w:bottom w:w="0" w:type="dxa"/>
            <w:right w:w="108" w:type="dxa"/>
          </w:tblCellMar>
        </w:tblPrEx>
        <w:trPr>
          <w:jc w:val="center"/>
        </w:trPr>
        <w:tc>
          <w:tcPr>
            <w:tcW w:w="1105" w:type="dxa"/>
            <w:vMerge w:val="continue"/>
            <w:tcBorders>
              <w:top w:val="nil"/>
              <w:left w:val="single" w:color="auto" w:sz="4" w:space="0"/>
              <w:bottom w:val="nil"/>
              <w:right w:val="single" w:color="auto" w:sz="4" w:space="0"/>
            </w:tcBorders>
            <w:vAlign w:val="center"/>
          </w:tcPr>
          <w:p>
            <w:pPr>
              <w:spacing w:line="240" w:lineRule="exact"/>
              <w:jc w:val="left"/>
              <w:rPr>
                <w:color w:val="000000"/>
                <w:kern w:val="0"/>
                <w:szCs w:val="21"/>
              </w:rPr>
            </w:pPr>
          </w:p>
        </w:tc>
        <w:tc>
          <w:tcPr>
            <w:tcW w:w="1055" w:type="dxa"/>
            <w:vMerge w:val="continue"/>
            <w:tcBorders>
              <w:top w:val="single" w:color="auto" w:sz="4" w:space="0"/>
              <w:left w:val="nil"/>
              <w:bottom w:val="single" w:color="auto" w:sz="4" w:space="0"/>
              <w:right w:val="single" w:color="auto" w:sz="4" w:space="0"/>
            </w:tcBorders>
            <w:vAlign w:val="center"/>
          </w:tcPr>
          <w:p>
            <w:pPr>
              <w:spacing w:line="240" w:lineRule="exact"/>
              <w:jc w:val="left"/>
              <w:rPr>
                <w:color w:val="000000"/>
                <w:kern w:val="0"/>
                <w:szCs w:val="21"/>
              </w:rPr>
            </w:pPr>
          </w:p>
        </w:tc>
        <w:tc>
          <w:tcPr>
            <w:tcW w:w="953" w:type="dxa"/>
            <w:vMerge w:val="continue"/>
            <w:tcBorders>
              <w:left w:val="nil"/>
              <w:right w:val="single" w:color="auto" w:sz="4" w:space="0"/>
            </w:tcBorders>
            <w:vAlign w:val="center"/>
          </w:tcPr>
          <w:p>
            <w:pPr>
              <w:spacing w:line="240" w:lineRule="exact"/>
              <w:jc w:val="left"/>
              <w:rPr>
                <w:color w:val="000000"/>
                <w:kern w:val="0"/>
                <w:szCs w:val="21"/>
              </w:rPr>
            </w:pP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指标2：</w:t>
            </w:r>
          </w:p>
        </w:tc>
        <w:tc>
          <w:tcPr>
            <w:tcW w:w="160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87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709"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99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135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r>
      <w:tr>
        <w:tblPrEx>
          <w:tblCellMar>
            <w:top w:w="0" w:type="dxa"/>
            <w:left w:w="108" w:type="dxa"/>
            <w:bottom w:w="0" w:type="dxa"/>
            <w:right w:w="108" w:type="dxa"/>
          </w:tblCellMar>
        </w:tblPrEx>
        <w:trPr>
          <w:jc w:val="center"/>
        </w:trPr>
        <w:tc>
          <w:tcPr>
            <w:tcW w:w="1105" w:type="dxa"/>
            <w:vMerge w:val="continue"/>
            <w:tcBorders>
              <w:top w:val="nil"/>
              <w:left w:val="single" w:color="auto" w:sz="4" w:space="0"/>
              <w:bottom w:val="nil"/>
              <w:right w:val="single" w:color="auto" w:sz="4" w:space="0"/>
            </w:tcBorders>
            <w:vAlign w:val="center"/>
          </w:tcPr>
          <w:p>
            <w:pPr>
              <w:spacing w:line="240" w:lineRule="exact"/>
              <w:jc w:val="left"/>
              <w:rPr>
                <w:color w:val="000000"/>
                <w:kern w:val="0"/>
                <w:szCs w:val="21"/>
              </w:rPr>
            </w:pPr>
          </w:p>
        </w:tc>
        <w:tc>
          <w:tcPr>
            <w:tcW w:w="1055" w:type="dxa"/>
            <w:vMerge w:val="continue"/>
            <w:tcBorders>
              <w:top w:val="single" w:color="auto" w:sz="4" w:space="0"/>
              <w:left w:val="nil"/>
              <w:bottom w:val="single" w:color="auto" w:sz="4" w:space="0"/>
              <w:right w:val="single" w:color="auto" w:sz="4" w:space="0"/>
            </w:tcBorders>
            <w:vAlign w:val="center"/>
          </w:tcPr>
          <w:p>
            <w:pPr>
              <w:widowControl/>
              <w:spacing w:line="240" w:lineRule="exact"/>
              <w:jc w:val="left"/>
              <w:rPr>
                <w:color w:val="000000"/>
                <w:kern w:val="0"/>
                <w:szCs w:val="21"/>
              </w:rPr>
            </w:pPr>
          </w:p>
        </w:tc>
        <w:tc>
          <w:tcPr>
            <w:tcW w:w="953" w:type="dxa"/>
            <w:vMerge w:val="continue"/>
            <w:tcBorders>
              <w:left w:val="nil"/>
              <w:bottom w:val="single" w:color="auto" w:sz="4" w:space="0"/>
              <w:right w:val="single" w:color="auto" w:sz="4" w:space="0"/>
            </w:tcBorders>
            <w:vAlign w:val="center"/>
          </w:tcPr>
          <w:p>
            <w:pPr>
              <w:widowControl/>
              <w:spacing w:line="240" w:lineRule="exact"/>
              <w:jc w:val="left"/>
              <w:rPr>
                <w:color w:val="000000"/>
                <w:kern w:val="0"/>
                <w:szCs w:val="21"/>
              </w:rPr>
            </w:pP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w:t>
            </w:r>
          </w:p>
        </w:tc>
        <w:tc>
          <w:tcPr>
            <w:tcW w:w="160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87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709"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99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135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r>
      <w:tr>
        <w:trPr>
          <w:jc w:val="center"/>
        </w:trPr>
        <w:tc>
          <w:tcPr>
            <w:tcW w:w="1105" w:type="dxa"/>
            <w:vMerge w:val="continue"/>
            <w:tcBorders>
              <w:top w:val="nil"/>
              <w:left w:val="single" w:color="auto" w:sz="4" w:space="0"/>
              <w:bottom w:val="single" w:color="auto" w:sz="4" w:space="0"/>
              <w:right w:val="single" w:color="auto" w:sz="4" w:space="0"/>
            </w:tcBorders>
            <w:vAlign w:val="center"/>
          </w:tcPr>
          <w:p>
            <w:pPr>
              <w:spacing w:line="240" w:lineRule="exact"/>
              <w:jc w:val="left"/>
              <w:rPr>
                <w:color w:val="000000"/>
                <w:kern w:val="0"/>
                <w:szCs w:val="21"/>
              </w:rPr>
            </w:pPr>
          </w:p>
        </w:tc>
        <w:tc>
          <w:tcPr>
            <w:tcW w:w="1055" w:type="dxa"/>
            <w:vMerge w:val="restart"/>
            <w:tcBorders>
              <w:top w:val="single" w:color="auto" w:sz="4" w:space="0"/>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效益指标</w:t>
            </w:r>
          </w:p>
          <w:p>
            <w:pPr>
              <w:widowControl/>
              <w:spacing w:line="240" w:lineRule="exact"/>
              <w:jc w:val="left"/>
              <w:rPr>
                <w:color w:val="000000"/>
                <w:kern w:val="0"/>
                <w:szCs w:val="21"/>
              </w:rPr>
            </w:pPr>
          </w:p>
          <w:p>
            <w:pPr>
              <w:widowControl/>
              <w:spacing w:line="240" w:lineRule="exact"/>
              <w:jc w:val="left"/>
              <w:rPr>
                <w:color w:val="000000"/>
                <w:kern w:val="0"/>
                <w:szCs w:val="21"/>
              </w:rPr>
            </w:pPr>
            <w:r>
              <w:rPr>
                <w:color w:val="000000"/>
                <w:kern w:val="0"/>
                <w:szCs w:val="21"/>
              </w:rPr>
              <w:t>（30分）</w:t>
            </w:r>
          </w:p>
        </w:tc>
        <w:tc>
          <w:tcPr>
            <w:tcW w:w="953" w:type="dxa"/>
            <w:vMerge w:val="restart"/>
            <w:tcBorders>
              <w:top w:val="nil"/>
              <w:left w:val="nil"/>
              <w:right w:val="single" w:color="auto" w:sz="4" w:space="0"/>
            </w:tcBorders>
            <w:vAlign w:val="center"/>
          </w:tcPr>
          <w:p>
            <w:pPr>
              <w:widowControl/>
              <w:spacing w:line="240" w:lineRule="exact"/>
              <w:jc w:val="center"/>
              <w:rPr>
                <w:color w:val="000000"/>
                <w:kern w:val="0"/>
                <w:szCs w:val="21"/>
              </w:rPr>
            </w:pPr>
            <w:r>
              <w:rPr>
                <w:color w:val="000000"/>
                <w:kern w:val="0"/>
                <w:szCs w:val="21"/>
              </w:rPr>
              <w:t>经济效</w:t>
            </w:r>
          </w:p>
          <w:p>
            <w:pPr>
              <w:widowControl/>
              <w:spacing w:line="240" w:lineRule="exact"/>
              <w:jc w:val="center"/>
              <w:rPr>
                <w:color w:val="000000"/>
                <w:kern w:val="0"/>
                <w:szCs w:val="21"/>
              </w:rPr>
            </w:pPr>
            <w:r>
              <w:rPr>
                <w:color w:val="000000"/>
                <w:kern w:val="0"/>
                <w:szCs w:val="21"/>
              </w:rPr>
              <w:t>益指标</w:t>
            </w: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指标1：</w:t>
            </w:r>
          </w:p>
        </w:tc>
        <w:tc>
          <w:tcPr>
            <w:tcW w:w="160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林业总产值</w:t>
            </w:r>
            <w:r>
              <w:rPr>
                <w:rFonts w:hint="eastAsia"/>
                <w:color w:val="000000"/>
                <w:kern w:val="0"/>
                <w:szCs w:val="21"/>
              </w:rPr>
              <w:t>400</w:t>
            </w:r>
            <w:r>
              <w:rPr>
                <w:color w:val="000000"/>
                <w:kern w:val="0"/>
                <w:szCs w:val="21"/>
              </w:rPr>
              <w:t>亿元</w:t>
            </w:r>
          </w:p>
        </w:tc>
        <w:tc>
          <w:tcPr>
            <w:tcW w:w="87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r>
              <w:rPr>
                <w:rFonts w:hint="eastAsia"/>
                <w:color w:val="000000"/>
                <w:kern w:val="0"/>
                <w:szCs w:val="21"/>
              </w:rPr>
              <w:t>419.4</w:t>
            </w:r>
            <w:r>
              <w:rPr>
                <w:color w:val="000000"/>
                <w:kern w:val="0"/>
                <w:szCs w:val="21"/>
              </w:rPr>
              <w:t>亿元</w:t>
            </w:r>
          </w:p>
        </w:tc>
        <w:tc>
          <w:tcPr>
            <w:tcW w:w="709"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10</w:t>
            </w:r>
          </w:p>
        </w:tc>
        <w:tc>
          <w:tcPr>
            <w:tcW w:w="99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10</w:t>
            </w:r>
          </w:p>
        </w:tc>
        <w:tc>
          <w:tcPr>
            <w:tcW w:w="135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r>
      <w:tr>
        <w:tblPrEx>
          <w:tblCellMar>
            <w:top w:w="0" w:type="dxa"/>
            <w:left w:w="108" w:type="dxa"/>
            <w:bottom w:w="0" w:type="dxa"/>
            <w:right w:w="108" w:type="dxa"/>
          </w:tblCellMar>
        </w:tblPrEx>
        <w:trPr>
          <w:jc w:val="center"/>
        </w:trPr>
        <w:tc>
          <w:tcPr>
            <w:tcW w:w="110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color w:val="000000"/>
                <w:kern w:val="0"/>
                <w:szCs w:val="21"/>
              </w:rPr>
            </w:pPr>
          </w:p>
        </w:tc>
        <w:tc>
          <w:tcPr>
            <w:tcW w:w="1055" w:type="dxa"/>
            <w:vMerge w:val="continue"/>
            <w:tcBorders>
              <w:top w:val="single" w:color="auto" w:sz="4" w:space="0"/>
              <w:left w:val="nil"/>
              <w:bottom w:val="single" w:color="auto" w:sz="4" w:space="0"/>
              <w:right w:val="single" w:color="auto" w:sz="4" w:space="0"/>
            </w:tcBorders>
            <w:vAlign w:val="center"/>
          </w:tcPr>
          <w:p>
            <w:pPr>
              <w:spacing w:line="240" w:lineRule="exact"/>
              <w:jc w:val="left"/>
              <w:rPr>
                <w:color w:val="000000"/>
                <w:kern w:val="0"/>
                <w:szCs w:val="21"/>
              </w:rPr>
            </w:pPr>
          </w:p>
        </w:tc>
        <w:tc>
          <w:tcPr>
            <w:tcW w:w="953" w:type="dxa"/>
            <w:vMerge w:val="continue"/>
            <w:tcBorders>
              <w:left w:val="nil"/>
              <w:right w:val="single" w:color="auto" w:sz="4" w:space="0"/>
            </w:tcBorders>
            <w:vAlign w:val="center"/>
          </w:tcPr>
          <w:p>
            <w:pPr>
              <w:spacing w:line="240" w:lineRule="exact"/>
              <w:jc w:val="center"/>
              <w:rPr>
                <w:color w:val="000000"/>
                <w:kern w:val="0"/>
                <w:szCs w:val="21"/>
              </w:rPr>
            </w:pP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指标2：</w:t>
            </w:r>
          </w:p>
        </w:tc>
        <w:tc>
          <w:tcPr>
            <w:tcW w:w="160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87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709"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99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135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390" w:hRule="atLeast"/>
          <w:jc w:val="center"/>
        </w:trPr>
        <w:tc>
          <w:tcPr>
            <w:tcW w:w="110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color w:val="000000"/>
                <w:kern w:val="0"/>
                <w:szCs w:val="21"/>
              </w:rPr>
            </w:pPr>
          </w:p>
        </w:tc>
        <w:tc>
          <w:tcPr>
            <w:tcW w:w="1055" w:type="dxa"/>
            <w:vMerge w:val="continue"/>
            <w:tcBorders>
              <w:top w:val="single" w:color="auto" w:sz="4" w:space="0"/>
              <w:left w:val="nil"/>
              <w:bottom w:val="single" w:color="auto" w:sz="4" w:space="0"/>
              <w:right w:val="single" w:color="auto" w:sz="4" w:space="0"/>
            </w:tcBorders>
            <w:vAlign w:val="center"/>
          </w:tcPr>
          <w:p>
            <w:pPr>
              <w:spacing w:line="240" w:lineRule="exact"/>
              <w:jc w:val="left"/>
              <w:rPr>
                <w:color w:val="000000"/>
                <w:kern w:val="0"/>
                <w:szCs w:val="21"/>
              </w:rPr>
            </w:pPr>
          </w:p>
        </w:tc>
        <w:tc>
          <w:tcPr>
            <w:tcW w:w="953" w:type="dxa"/>
            <w:vMerge w:val="continue"/>
            <w:tcBorders>
              <w:left w:val="nil"/>
              <w:bottom w:val="single" w:color="auto" w:sz="4" w:space="0"/>
              <w:right w:val="single" w:color="auto" w:sz="4" w:space="0"/>
            </w:tcBorders>
            <w:vAlign w:val="center"/>
          </w:tcPr>
          <w:p>
            <w:pPr>
              <w:widowControl/>
              <w:spacing w:line="240" w:lineRule="exact"/>
              <w:jc w:val="center"/>
              <w:rPr>
                <w:color w:val="000000"/>
                <w:kern w:val="0"/>
                <w:szCs w:val="21"/>
              </w:rPr>
            </w:pP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w:t>
            </w:r>
          </w:p>
        </w:tc>
        <w:tc>
          <w:tcPr>
            <w:tcW w:w="160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87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709"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99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135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r>
      <w:tr>
        <w:tblPrEx>
          <w:tblCellMar>
            <w:top w:w="0" w:type="dxa"/>
            <w:left w:w="108" w:type="dxa"/>
            <w:bottom w:w="0" w:type="dxa"/>
            <w:right w:w="108" w:type="dxa"/>
          </w:tblCellMar>
        </w:tblPrEx>
        <w:trPr>
          <w:jc w:val="center"/>
        </w:trPr>
        <w:tc>
          <w:tcPr>
            <w:tcW w:w="110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color w:val="000000"/>
                <w:kern w:val="0"/>
                <w:szCs w:val="21"/>
              </w:rPr>
            </w:pPr>
          </w:p>
        </w:tc>
        <w:tc>
          <w:tcPr>
            <w:tcW w:w="105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color w:val="000000"/>
                <w:kern w:val="0"/>
                <w:szCs w:val="21"/>
              </w:rPr>
            </w:pPr>
          </w:p>
        </w:tc>
        <w:tc>
          <w:tcPr>
            <w:tcW w:w="95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Cs w:val="21"/>
              </w:rPr>
            </w:pPr>
            <w:r>
              <w:rPr>
                <w:color w:val="000000"/>
                <w:kern w:val="0"/>
                <w:szCs w:val="21"/>
              </w:rPr>
              <w:t>社会效</w:t>
            </w:r>
          </w:p>
          <w:p>
            <w:pPr>
              <w:widowControl/>
              <w:spacing w:line="240" w:lineRule="exact"/>
              <w:jc w:val="center"/>
              <w:rPr>
                <w:color w:val="000000"/>
                <w:kern w:val="0"/>
                <w:szCs w:val="21"/>
              </w:rPr>
            </w:pPr>
            <w:r>
              <w:rPr>
                <w:color w:val="000000"/>
                <w:kern w:val="0"/>
                <w:szCs w:val="21"/>
              </w:rPr>
              <w:t>益指标</w:t>
            </w:r>
          </w:p>
        </w:tc>
        <w:tc>
          <w:tcPr>
            <w:tcW w:w="135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指标1：</w:t>
            </w:r>
          </w:p>
        </w:tc>
        <w:tc>
          <w:tcPr>
            <w:tcW w:w="160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全市森林覆盖率</w:t>
            </w:r>
            <w:r>
              <w:rPr>
                <w:rFonts w:hint="eastAsia"/>
                <w:color w:val="000000"/>
                <w:kern w:val="0"/>
                <w:szCs w:val="21"/>
              </w:rPr>
              <w:t>53.9</w:t>
            </w:r>
            <w:r>
              <w:rPr>
                <w:color w:val="000000"/>
                <w:kern w:val="0"/>
                <w:szCs w:val="21"/>
              </w:rPr>
              <w:t>%</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color w:val="000000"/>
                <w:kern w:val="0"/>
                <w:szCs w:val="21"/>
              </w:rPr>
            </w:pPr>
            <w:r>
              <w:rPr>
                <w:rFonts w:hint="eastAsia"/>
                <w:color w:val="000000"/>
                <w:kern w:val="0"/>
                <w:szCs w:val="21"/>
              </w:rPr>
              <w:t>54</w:t>
            </w:r>
            <w:r>
              <w:rPr>
                <w:color w:val="000000"/>
                <w:kern w:val="0"/>
                <w:szCs w:val="21"/>
              </w:rPr>
              <w:t>%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10</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r>
              <w:rPr>
                <w:rFonts w:hint="eastAsia"/>
                <w:color w:val="000000"/>
                <w:kern w:val="0"/>
                <w:szCs w:val="21"/>
              </w:rPr>
              <w:t>8</w:t>
            </w:r>
          </w:p>
        </w:tc>
        <w:tc>
          <w:tcPr>
            <w:tcW w:w="13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洞庭湖区杨树清理使森林覆盖率降低</w:t>
            </w:r>
          </w:p>
        </w:tc>
      </w:tr>
      <w:tr>
        <w:tblPrEx>
          <w:tblCellMar>
            <w:top w:w="0" w:type="dxa"/>
            <w:left w:w="108" w:type="dxa"/>
            <w:bottom w:w="0" w:type="dxa"/>
            <w:right w:w="108" w:type="dxa"/>
          </w:tblCellMar>
        </w:tblPrEx>
        <w:trPr>
          <w:jc w:val="center"/>
        </w:trPr>
        <w:tc>
          <w:tcPr>
            <w:tcW w:w="110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color w:val="000000"/>
                <w:kern w:val="0"/>
                <w:szCs w:val="21"/>
              </w:rPr>
            </w:pPr>
          </w:p>
        </w:tc>
        <w:tc>
          <w:tcPr>
            <w:tcW w:w="1055" w:type="dxa"/>
            <w:vMerge w:val="continue"/>
            <w:tcBorders>
              <w:top w:val="single" w:color="auto" w:sz="4" w:space="0"/>
              <w:left w:val="nil"/>
              <w:bottom w:val="single" w:color="auto" w:sz="4" w:space="0"/>
              <w:right w:val="single" w:color="auto" w:sz="4" w:space="0"/>
            </w:tcBorders>
            <w:vAlign w:val="center"/>
          </w:tcPr>
          <w:p>
            <w:pPr>
              <w:spacing w:line="240" w:lineRule="exact"/>
              <w:jc w:val="left"/>
              <w:rPr>
                <w:color w:val="000000"/>
                <w:kern w:val="0"/>
                <w:szCs w:val="21"/>
              </w:rPr>
            </w:pPr>
          </w:p>
        </w:tc>
        <w:tc>
          <w:tcPr>
            <w:tcW w:w="953" w:type="dxa"/>
            <w:vMerge w:val="continue"/>
            <w:tcBorders>
              <w:top w:val="single" w:color="auto" w:sz="4" w:space="0"/>
              <w:left w:val="nil"/>
              <w:right w:val="single" w:color="auto" w:sz="4" w:space="0"/>
            </w:tcBorders>
            <w:vAlign w:val="center"/>
          </w:tcPr>
          <w:p>
            <w:pPr>
              <w:spacing w:line="240" w:lineRule="exact"/>
              <w:jc w:val="center"/>
              <w:rPr>
                <w:color w:val="000000"/>
                <w:kern w:val="0"/>
                <w:szCs w:val="21"/>
              </w:rPr>
            </w:pPr>
          </w:p>
        </w:tc>
        <w:tc>
          <w:tcPr>
            <w:tcW w:w="135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指标2：</w:t>
            </w:r>
          </w:p>
        </w:tc>
        <w:tc>
          <w:tcPr>
            <w:tcW w:w="1603" w:type="dxa"/>
            <w:tcBorders>
              <w:top w:val="single" w:color="auto" w:sz="4" w:space="0"/>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873" w:type="dxa"/>
            <w:tcBorders>
              <w:top w:val="single" w:color="auto" w:sz="4" w:space="0"/>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992" w:type="dxa"/>
            <w:tcBorders>
              <w:top w:val="single" w:color="auto" w:sz="4" w:space="0"/>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1352" w:type="dxa"/>
            <w:tcBorders>
              <w:top w:val="single" w:color="auto" w:sz="4" w:space="0"/>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r>
      <w:tr>
        <w:tblPrEx>
          <w:tblCellMar>
            <w:top w:w="0" w:type="dxa"/>
            <w:left w:w="108" w:type="dxa"/>
            <w:bottom w:w="0" w:type="dxa"/>
            <w:right w:w="108" w:type="dxa"/>
          </w:tblCellMar>
        </w:tblPrEx>
        <w:trPr>
          <w:jc w:val="center"/>
        </w:trPr>
        <w:tc>
          <w:tcPr>
            <w:tcW w:w="110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color w:val="000000"/>
                <w:kern w:val="0"/>
                <w:szCs w:val="21"/>
              </w:rPr>
            </w:pPr>
          </w:p>
        </w:tc>
        <w:tc>
          <w:tcPr>
            <w:tcW w:w="1055" w:type="dxa"/>
            <w:vMerge w:val="continue"/>
            <w:tcBorders>
              <w:top w:val="single" w:color="auto" w:sz="4" w:space="0"/>
              <w:left w:val="nil"/>
              <w:bottom w:val="single" w:color="auto" w:sz="4" w:space="0"/>
              <w:right w:val="single" w:color="auto" w:sz="4" w:space="0"/>
            </w:tcBorders>
            <w:vAlign w:val="center"/>
          </w:tcPr>
          <w:p>
            <w:pPr>
              <w:spacing w:line="240" w:lineRule="exact"/>
              <w:jc w:val="left"/>
              <w:rPr>
                <w:color w:val="000000"/>
                <w:kern w:val="0"/>
                <w:szCs w:val="21"/>
              </w:rPr>
            </w:pPr>
          </w:p>
        </w:tc>
        <w:tc>
          <w:tcPr>
            <w:tcW w:w="953" w:type="dxa"/>
            <w:vMerge w:val="continue"/>
            <w:tcBorders>
              <w:left w:val="nil"/>
              <w:bottom w:val="single" w:color="auto" w:sz="4" w:space="0"/>
              <w:right w:val="single" w:color="auto" w:sz="4" w:space="0"/>
            </w:tcBorders>
            <w:vAlign w:val="center"/>
          </w:tcPr>
          <w:p>
            <w:pPr>
              <w:widowControl/>
              <w:spacing w:line="240" w:lineRule="exact"/>
              <w:jc w:val="center"/>
              <w:rPr>
                <w:color w:val="000000"/>
                <w:kern w:val="0"/>
                <w:szCs w:val="21"/>
              </w:rPr>
            </w:pP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w:t>
            </w:r>
          </w:p>
        </w:tc>
        <w:tc>
          <w:tcPr>
            <w:tcW w:w="160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87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709"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99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135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r>
      <w:tr>
        <w:tblPrEx>
          <w:tblCellMar>
            <w:top w:w="0" w:type="dxa"/>
            <w:left w:w="108" w:type="dxa"/>
            <w:bottom w:w="0" w:type="dxa"/>
            <w:right w:w="108" w:type="dxa"/>
          </w:tblCellMar>
        </w:tblPrEx>
        <w:trPr>
          <w:jc w:val="center"/>
        </w:trPr>
        <w:tc>
          <w:tcPr>
            <w:tcW w:w="110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color w:val="000000"/>
                <w:kern w:val="0"/>
                <w:szCs w:val="21"/>
              </w:rPr>
            </w:pPr>
          </w:p>
        </w:tc>
        <w:tc>
          <w:tcPr>
            <w:tcW w:w="1055" w:type="dxa"/>
            <w:vMerge w:val="continue"/>
            <w:tcBorders>
              <w:top w:val="single" w:color="auto" w:sz="4" w:space="0"/>
              <w:left w:val="nil"/>
              <w:bottom w:val="single" w:color="auto" w:sz="4" w:space="0"/>
              <w:right w:val="single" w:color="auto" w:sz="4" w:space="0"/>
            </w:tcBorders>
            <w:vAlign w:val="center"/>
          </w:tcPr>
          <w:p>
            <w:pPr>
              <w:spacing w:line="240" w:lineRule="exact"/>
              <w:jc w:val="left"/>
              <w:rPr>
                <w:color w:val="000000"/>
                <w:kern w:val="0"/>
                <w:szCs w:val="21"/>
              </w:rPr>
            </w:pPr>
          </w:p>
        </w:tc>
        <w:tc>
          <w:tcPr>
            <w:tcW w:w="953" w:type="dxa"/>
            <w:vMerge w:val="restart"/>
            <w:tcBorders>
              <w:top w:val="nil"/>
              <w:left w:val="nil"/>
              <w:right w:val="single" w:color="auto" w:sz="4" w:space="0"/>
            </w:tcBorders>
            <w:vAlign w:val="center"/>
          </w:tcPr>
          <w:p>
            <w:pPr>
              <w:widowControl/>
              <w:spacing w:line="240" w:lineRule="exact"/>
              <w:jc w:val="center"/>
              <w:rPr>
                <w:color w:val="000000"/>
                <w:kern w:val="0"/>
                <w:szCs w:val="21"/>
              </w:rPr>
            </w:pPr>
            <w:r>
              <w:rPr>
                <w:color w:val="000000"/>
                <w:kern w:val="0"/>
                <w:szCs w:val="21"/>
              </w:rPr>
              <w:t>生态效</w:t>
            </w:r>
          </w:p>
          <w:p>
            <w:pPr>
              <w:widowControl/>
              <w:spacing w:line="240" w:lineRule="exact"/>
              <w:jc w:val="center"/>
              <w:rPr>
                <w:color w:val="000000"/>
                <w:kern w:val="0"/>
                <w:szCs w:val="21"/>
              </w:rPr>
            </w:pPr>
            <w:r>
              <w:rPr>
                <w:color w:val="000000"/>
                <w:kern w:val="0"/>
                <w:szCs w:val="21"/>
              </w:rPr>
              <w:t>益指标</w:t>
            </w: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指标1：</w:t>
            </w:r>
          </w:p>
        </w:tc>
        <w:tc>
          <w:tcPr>
            <w:tcW w:w="160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湿地</w:t>
            </w:r>
            <w:r>
              <w:rPr>
                <w:rFonts w:hint="eastAsia"/>
                <w:color w:val="000000"/>
                <w:kern w:val="0"/>
                <w:szCs w:val="21"/>
              </w:rPr>
              <w:t>保有量266万亩</w:t>
            </w:r>
          </w:p>
        </w:tc>
        <w:tc>
          <w:tcPr>
            <w:tcW w:w="87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r>
              <w:rPr>
                <w:rFonts w:hint="eastAsia"/>
                <w:color w:val="000000"/>
                <w:kern w:val="0"/>
                <w:szCs w:val="21"/>
              </w:rPr>
              <w:t>266万亩</w:t>
            </w:r>
          </w:p>
        </w:tc>
        <w:tc>
          <w:tcPr>
            <w:tcW w:w="709"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10</w:t>
            </w:r>
          </w:p>
        </w:tc>
        <w:tc>
          <w:tcPr>
            <w:tcW w:w="99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10　</w:t>
            </w:r>
          </w:p>
        </w:tc>
        <w:tc>
          <w:tcPr>
            <w:tcW w:w="135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370" w:hRule="atLeast"/>
          <w:jc w:val="center"/>
        </w:trPr>
        <w:tc>
          <w:tcPr>
            <w:tcW w:w="110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color w:val="000000"/>
                <w:kern w:val="0"/>
                <w:szCs w:val="21"/>
              </w:rPr>
            </w:pPr>
          </w:p>
        </w:tc>
        <w:tc>
          <w:tcPr>
            <w:tcW w:w="1055" w:type="dxa"/>
            <w:vMerge w:val="continue"/>
            <w:tcBorders>
              <w:top w:val="single" w:color="auto" w:sz="4" w:space="0"/>
              <w:left w:val="nil"/>
              <w:bottom w:val="single" w:color="auto" w:sz="4" w:space="0"/>
              <w:right w:val="single" w:color="auto" w:sz="4" w:space="0"/>
            </w:tcBorders>
            <w:vAlign w:val="center"/>
          </w:tcPr>
          <w:p>
            <w:pPr>
              <w:spacing w:line="240" w:lineRule="exact"/>
              <w:jc w:val="left"/>
              <w:rPr>
                <w:color w:val="000000"/>
                <w:kern w:val="0"/>
                <w:szCs w:val="21"/>
              </w:rPr>
            </w:pPr>
          </w:p>
        </w:tc>
        <w:tc>
          <w:tcPr>
            <w:tcW w:w="953" w:type="dxa"/>
            <w:vMerge w:val="continue"/>
            <w:tcBorders>
              <w:left w:val="nil"/>
              <w:right w:val="single" w:color="auto" w:sz="4" w:space="0"/>
            </w:tcBorders>
            <w:vAlign w:val="center"/>
          </w:tcPr>
          <w:p>
            <w:pPr>
              <w:spacing w:line="240" w:lineRule="exact"/>
              <w:jc w:val="left"/>
              <w:rPr>
                <w:color w:val="000000"/>
                <w:kern w:val="0"/>
                <w:szCs w:val="21"/>
              </w:rPr>
            </w:pP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指标2：</w:t>
            </w:r>
          </w:p>
        </w:tc>
        <w:tc>
          <w:tcPr>
            <w:tcW w:w="160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87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709"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99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135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r>
      <w:tr>
        <w:tblPrEx>
          <w:tblCellMar>
            <w:top w:w="0" w:type="dxa"/>
            <w:left w:w="108" w:type="dxa"/>
            <w:bottom w:w="0" w:type="dxa"/>
            <w:right w:w="108" w:type="dxa"/>
          </w:tblCellMar>
        </w:tblPrEx>
        <w:trPr>
          <w:jc w:val="center"/>
        </w:trPr>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color w:val="000000"/>
                <w:kern w:val="0"/>
                <w:szCs w:val="21"/>
              </w:rPr>
            </w:pPr>
          </w:p>
        </w:tc>
        <w:tc>
          <w:tcPr>
            <w:tcW w:w="1055" w:type="dxa"/>
            <w:vMerge w:val="continue"/>
            <w:tcBorders>
              <w:top w:val="single" w:color="auto" w:sz="4" w:space="0"/>
              <w:left w:val="nil"/>
              <w:bottom w:val="single" w:color="auto" w:sz="4" w:space="0"/>
              <w:right w:val="single" w:color="auto" w:sz="4" w:space="0"/>
            </w:tcBorders>
            <w:vAlign w:val="center"/>
          </w:tcPr>
          <w:p>
            <w:pPr>
              <w:widowControl/>
              <w:spacing w:line="240" w:lineRule="exact"/>
              <w:jc w:val="left"/>
              <w:rPr>
                <w:color w:val="000000"/>
                <w:kern w:val="0"/>
                <w:szCs w:val="21"/>
              </w:rPr>
            </w:pPr>
          </w:p>
        </w:tc>
        <w:tc>
          <w:tcPr>
            <w:tcW w:w="953" w:type="dxa"/>
            <w:vMerge w:val="continue"/>
            <w:tcBorders>
              <w:left w:val="nil"/>
              <w:bottom w:val="single" w:color="auto" w:sz="4" w:space="0"/>
              <w:right w:val="single" w:color="auto" w:sz="4" w:space="0"/>
            </w:tcBorders>
            <w:vAlign w:val="center"/>
          </w:tcPr>
          <w:p>
            <w:pPr>
              <w:widowControl/>
              <w:spacing w:line="240" w:lineRule="exact"/>
              <w:jc w:val="left"/>
              <w:rPr>
                <w:color w:val="000000"/>
                <w:kern w:val="0"/>
                <w:szCs w:val="21"/>
              </w:rPr>
            </w:pP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w:t>
            </w:r>
          </w:p>
        </w:tc>
        <w:tc>
          <w:tcPr>
            <w:tcW w:w="160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87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709"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99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135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480" w:hRule="atLeast"/>
          <w:jc w:val="center"/>
        </w:trPr>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Cs w:val="21"/>
              </w:rPr>
            </w:pPr>
            <w:r>
              <w:rPr>
                <w:color w:val="000000"/>
                <w:kern w:val="0"/>
                <w:szCs w:val="21"/>
              </w:rPr>
              <w:t>绩</w:t>
            </w:r>
          </w:p>
          <w:p>
            <w:pPr>
              <w:widowControl/>
              <w:spacing w:line="240" w:lineRule="exact"/>
              <w:jc w:val="center"/>
              <w:rPr>
                <w:color w:val="000000"/>
                <w:kern w:val="0"/>
                <w:szCs w:val="21"/>
              </w:rPr>
            </w:pPr>
            <w:r>
              <w:rPr>
                <w:color w:val="000000"/>
                <w:kern w:val="0"/>
                <w:szCs w:val="21"/>
              </w:rPr>
              <w:t>效</w:t>
            </w:r>
          </w:p>
          <w:p>
            <w:pPr>
              <w:widowControl/>
              <w:spacing w:line="240" w:lineRule="exact"/>
              <w:jc w:val="center"/>
              <w:rPr>
                <w:color w:val="000000"/>
                <w:kern w:val="0"/>
                <w:szCs w:val="21"/>
              </w:rPr>
            </w:pPr>
            <w:r>
              <w:rPr>
                <w:color w:val="000000"/>
                <w:kern w:val="0"/>
                <w:szCs w:val="21"/>
              </w:rPr>
              <w:t>指</w:t>
            </w:r>
          </w:p>
          <w:p>
            <w:pPr>
              <w:widowControl/>
              <w:spacing w:line="240" w:lineRule="exact"/>
              <w:jc w:val="center"/>
              <w:rPr>
                <w:color w:val="000000"/>
                <w:kern w:val="0"/>
                <w:szCs w:val="21"/>
              </w:rPr>
            </w:pPr>
            <w:r>
              <w:rPr>
                <w:color w:val="000000"/>
                <w:kern w:val="0"/>
                <w:szCs w:val="21"/>
              </w:rPr>
              <w:t>标</w:t>
            </w:r>
          </w:p>
        </w:tc>
        <w:tc>
          <w:tcPr>
            <w:tcW w:w="105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953" w:type="dxa"/>
            <w:vMerge w:val="restart"/>
            <w:tcBorders>
              <w:top w:val="single" w:color="auto" w:sz="4" w:space="0"/>
              <w:left w:val="single" w:color="auto" w:sz="4" w:space="0"/>
              <w:right w:val="single" w:color="auto" w:sz="4" w:space="0"/>
            </w:tcBorders>
            <w:vAlign w:val="center"/>
          </w:tcPr>
          <w:p>
            <w:pPr>
              <w:widowControl/>
              <w:spacing w:line="240" w:lineRule="exact"/>
              <w:jc w:val="center"/>
              <w:rPr>
                <w:color w:val="000000"/>
                <w:kern w:val="0"/>
                <w:szCs w:val="21"/>
              </w:rPr>
            </w:pPr>
            <w:r>
              <w:rPr>
                <w:color w:val="000000"/>
                <w:kern w:val="0"/>
                <w:szCs w:val="21"/>
              </w:rPr>
              <w:t>可持续影响指标</w:t>
            </w:r>
          </w:p>
        </w:tc>
        <w:tc>
          <w:tcPr>
            <w:tcW w:w="135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指标1：</w:t>
            </w:r>
          </w:p>
        </w:tc>
        <w:tc>
          <w:tcPr>
            <w:tcW w:w="160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森林火灾受害率1‰以下</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1‰以下</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10</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10</w:t>
            </w:r>
          </w:p>
        </w:tc>
        <w:tc>
          <w:tcPr>
            <w:tcW w:w="13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70" w:hRule="atLeast"/>
          <w:jc w:val="center"/>
        </w:trPr>
        <w:tc>
          <w:tcPr>
            <w:tcW w:w="110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color w:val="000000"/>
                <w:kern w:val="0"/>
                <w:szCs w:val="21"/>
              </w:rPr>
            </w:pPr>
          </w:p>
        </w:tc>
        <w:tc>
          <w:tcPr>
            <w:tcW w:w="105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color w:val="000000"/>
                <w:kern w:val="0"/>
                <w:szCs w:val="21"/>
              </w:rPr>
            </w:pPr>
          </w:p>
        </w:tc>
        <w:tc>
          <w:tcPr>
            <w:tcW w:w="953" w:type="dxa"/>
            <w:vMerge w:val="continue"/>
            <w:tcBorders>
              <w:left w:val="single" w:color="auto" w:sz="4" w:space="0"/>
              <w:right w:val="single" w:color="auto" w:sz="4" w:space="0"/>
            </w:tcBorders>
            <w:vAlign w:val="center"/>
          </w:tcPr>
          <w:p>
            <w:pPr>
              <w:spacing w:line="240" w:lineRule="exact"/>
              <w:jc w:val="left"/>
              <w:rPr>
                <w:color w:val="000000"/>
                <w:kern w:val="0"/>
                <w:szCs w:val="21"/>
              </w:rPr>
            </w:pPr>
          </w:p>
        </w:tc>
        <w:tc>
          <w:tcPr>
            <w:tcW w:w="135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指标2：</w:t>
            </w:r>
          </w:p>
        </w:tc>
        <w:tc>
          <w:tcPr>
            <w:tcW w:w="1603" w:type="dxa"/>
            <w:tcBorders>
              <w:top w:val="single" w:color="auto" w:sz="4" w:space="0"/>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873" w:type="dxa"/>
            <w:tcBorders>
              <w:top w:val="single" w:color="auto" w:sz="4" w:space="0"/>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992" w:type="dxa"/>
            <w:tcBorders>
              <w:top w:val="single" w:color="auto" w:sz="4" w:space="0"/>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1352" w:type="dxa"/>
            <w:tcBorders>
              <w:top w:val="single" w:color="auto" w:sz="4" w:space="0"/>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70" w:hRule="atLeast"/>
          <w:jc w:val="center"/>
        </w:trPr>
        <w:tc>
          <w:tcPr>
            <w:tcW w:w="110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color w:val="000000"/>
                <w:kern w:val="0"/>
                <w:szCs w:val="21"/>
              </w:rPr>
            </w:pPr>
          </w:p>
        </w:tc>
        <w:tc>
          <w:tcPr>
            <w:tcW w:w="10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color w:val="000000"/>
                <w:kern w:val="0"/>
                <w:szCs w:val="21"/>
              </w:rPr>
            </w:pPr>
          </w:p>
        </w:tc>
        <w:tc>
          <w:tcPr>
            <w:tcW w:w="953" w:type="dxa"/>
            <w:vMerge w:val="continue"/>
            <w:tcBorders>
              <w:left w:val="single" w:color="auto" w:sz="4" w:space="0"/>
              <w:bottom w:val="single" w:color="auto" w:sz="4" w:space="0"/>
              <w:right w:val="single" w:color="auto" w:sz="4" w:space="0"/>
            </w:tcBorders>
            <w:vAlign w:val="center"/>
          </w:tcPr>
          <w:p>
            <w:pPr>
              <w:widowControl/>
              <w:spacing w:line="240" w:lineRule="exact"/>
              <w:jc w:val="left"/>
              <w:rPr>
                <w:color w:val="000000"/>
                <w:kern w:val="0"/>
                <w:szCs w:val="21"/>
              </w:rPr>
            </w:pP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w:t>
            </w:r>
          </w:p>
        </w:tc>
        <w:tc>
          <w:tcPr>
            <w:tcW w:w="160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87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709"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99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135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480" w:hRule="atLeast"/>
          <w:jc w:val="center"/>
        </w:trPr>
        <w:tc>
          <w:tcPr>
            <w:tcW w:w="110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color w:val="000000"/>
                <w:kern w:val="0"/>
                <w:szCs w:val="21"/>
              </w:rPr>
            </w:pPr>
          </w:p>
        </w:tc>
        <w:tc>
          <w:tcPr>
            <w:tcW w:w="1055" w:type="dxa"/>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color w:val="000000"/>
                <w:kern w:val="0"/>
                <w:szCs w:val="21"/>
              </w:rPr>
            </w:pPr>
            <w:r>
              <w:rPr>
                <w:color w:val="000000"/>
                <w:kern w:val="0"/>
                <w:szCs w:val="21"/>
              </w:rPr>
              <w:t>满意度</w:t>
            </w:r>
          </w:p>
          <w:p>
            <w:pPr>
              <w:widowControl/>
              <w:spacing w:line="240" w:lineRule="exact"/>
              <w:jc w:val="center"/>
              <w:rPr>
                <w:color w:val="000000"/>
                <w:kern w:val="0"/>
                <w:szCs w:val="21"/>
              </w:rPr>
            </w:pPr>
            <w:r>
              <w:rPr>
                <w:color w:val="000000"/>
                <w:kern w:val="0"/>
                <w:szCs w:val="21"/>
              </w:rPr>
              <w:t>指标</w:t>
            </w:r>
          </w:p>
          <w:p>
            <w:pPr>
              <w:widowControl/>
              <w:spacing w:line="240" w:lineRule="exact"/>
              <w:jc w:val="center"/>
              <w:rPr>
                <w:color w:val="000000"/>
                <w:kern w:val="0"/>
                <w:szCs w:val="21"/>
              </w:rPr>
            </w:pPr>
            <w:r>
              <w:rPr>
                <w:color w:val="000000"/>
                <w:kern w:val="0"/>
                <w:szCs w:val="21"/>
              </w:rPr>
              <w:t>（10分）</w:t>
            </w:r>
          </w:p>
        </w:tc>
        <w:tc>
          <w:tcPr>
            <w:tcW w:w="953" w:type="dxa"/>
            <w:vMerge w:val="restart"/>
            <w:tcBorders>
              <w:top w:val="nil"/>
              <w:left w:val="nil"/>
              <w:right w:val="single" w:color="auto" w:sz="4" w:space="0"/>
            </w:tcBorders>
            <w:vAlign w:val="center"/>
          </w:tcPr>
          <w:p>
            <w:pPr>
              <w:widowControl/>
              <w:spacing w:line="240" w:lineRule="exact"/>
              <w:jc w:val="center"/>
              <w:rPr>
                <w:color w:val="000000"/>
                <w:kern w:val="0"/>
                <w:szCs w:val="21"/>
              </w:rPr>
            </w:pPr>
            <w:r>
              <w:rPr>
                <w:color w:val="000000"/>
                <w:kern w:val="0"/>
                <w:szCs w:val="21"/>
              </w:rPr>
              <w:t>服务对象满意度指标</w:t>
            </w: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指标1：</w:t>
            </w:r>
          </w:p>
        </w:tc>
        <w:tc>
          <w:tcPr>
            <w:tcW w:w="160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社会公众满意度达到80%以上</w:t>
            </w:r>
          </w:p>
        </w:tc>
        <w:tc>
          <w:tcPr>
            <w:tcW w:w="87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85%</w:t>
            </w:r>
          </w:p>
        </w:tc>
        <w:tc>
          <w:tcPr>
            <w:tcW w:w="709"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10</w:t>
            </w:r>
          </w:p>
        </w:tc>
        <w:tc>
          <w:tcPr>
            <w:tcW w:w="99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10</w:t>
            </w:r>
          </w:p>
        </w:tc>
        <w:tc>
          <w:tcPr>
            <w:tcW w:w="135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70" w:hRule="atLeast"/>
          <w:jc w:val="center"/>
        </w:trPr>
        <w:tc>
          <w:tcPr>
            <w:tcW w:w="110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color w:val="000000"/>
                <w:kern w:val="0"/>
                <w:szCs w:val="21"/>
              </w:rPr>
            </w:pPr>
          </w:p>
        </w:tc>
        <w:tc>
          <w:tcPr>
            <w:tcW w:w="1055" w:type="dxa"/>
            <w:vMerge w:val="continue"/>
            <w:tcBorders>
              <w:top w:val="single" w:color="auto" w:sz="4" w:space="0"/>
              <w:left w:val="nil"/>
              <w:bottom w:val="single" w:color="auto" w:sz="4" w:space="0"/>
              <w:right w:val="single" w:color="auto" w:sz="4" w:space="0"/>
            </w:tcBorders>
            <w:vAlign w:val="center"/>
          </w:tcPr>
          <w:p>
            <w:pPr>
              <w:spacing w:line="240" w:lineRule="exact"/>
              <w:jc w:val="left"/>
              <w:rPr>
                <w:color w:val="000000"/>
                <w:kern w:val="0"/>
                <w:szCs w:val="21"/>
              </w:rPr>
            </w:pPr>
          </w:p>
        </w:tc>
        <w:tc>
          <w:tcPr>
            <w:tcW w:w="953" w:type="dxa"/>
            <w:vMerge w:val="continue"/>
            <w:tcBorders>
              <w:left w:val="nil"/>
              <w:right w:val="single" w:color="auto" w:sz="4" w:space="0"/>
            </w:tcBorders>
            <w:vAlign w:val="center"/>
          </w:tcPr>
          <w:p>
            <w:pPr>
              <w:spacing w:line="240" w:lineRule="exact"/>
              <w:jc w:val="left"/>
              <w:rPr>
                <w:color w:val="000000"/>
                <w:kern w:val="0"/>
                <w:szCs w:val="21"/>
              </w:rPr>
            </w:pP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指标2：</w:t>
            </w:r>
          </w:p>
        </w:tc>
        <w:tc>
          <w:tcPr>
            <w:tcW w:w="160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87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709"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99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135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70" w:hRule="atLeast"/>
          <w:jc w:val="center"/>
        </w:trPr>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color w:val="000000"/>
                <w:kern w:val="0"/>
                <w:szCs w:val="21"/>
              </w:rPr>
            </w:pPr>
          </w:p>
        </w:tc>
        <w:tc>
          <w:tcPr>
            <w:tcW w:w="1055" w:type="dxa"/>
            <w:vMerge w:val="continue"/>
            <w:tcBorders>
              <w:top w:val="single" w:color="auto" w:sz="4" w:space="0"/>
              <w:left w:val="nil"/>
              <w:bottom w:val="single" w:color="auto" w:sz="4" w:space="0"/>
              <w:right w:val="single" w:color="auto" w:sz="4" w:space="0"/>
            </w:tcBorders>
            <w:vAlign w:val="center"/>
          </w:tcPr>
          <w:p>
            <w:pPr>
              <w:widowControl/>
              <w:spacing w:line="240" w:lineRule="exact"/>
              <w:jc w:val="left"/>
              <w:rPr>
                <w:color w:val="000000"/>
                <w:kern w:val="0"/>
                <w:szCs w:val="21"/>
              </w:rPr>
            </w:pPr>
          </w:p>
        </w:tc>
        <w:tc>
          <w:tcPr>
            <w:tcW w:w="953" w:type="dxa"/>
            <w:vMerge w:val="continue"/>
            <w:tcBorders>
              <w:left w:val="nil"/>
              <w:bottom w:val="single" w:color="auto" w:sz="4" w:space="0"/>
              <w:right w:val="single" w:color="auto" w:sz="4" w:space="0"/>
            </w:tcBorders>
            <w:vAlign w:val="center"/>
          </w:tcPr>
          <w:p>
            <w:pPr>
              <w:widowControl/>
              <w:spacing w:line="240" w:lineRule="exact"/>
              <w:jc w:val="left"/>
              <w:rPr>
                <w:color w:val="000000"/>
                <w:kern w:val="0"/>
                <w:szCs w:val="21"/>
              </w:rPr>
            </w:pP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w:t>
            </w:r>
          </w:p>
        </w:tc>
        <w:tc>
          <w:tcPr>
            <w:tcW w:w="160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87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709"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99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135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70" w:hRule="atLeast"/>
          <w:jc w:val="center"/>
        </w:trPr>
        <w:tc>
          <w:tcPr>
            <w:tcW w:w="6940" w:type="dxa"/>
            <w:gridSpan w:val="7"/>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color w:val="000000"/>
                <w:kern w:val="0"/>
                <w:szCs w:val="21"/>
              </w:rPr>
            </w:pPr>
            <w:r>
              <w:rPr>
                <w:color w:val="000000"/>
                <w:kern w:val="0"/>
                <w:szCs w:val="21"/>
              </w:rPr>
              <w:t>总分</w:t>
            </w:r>
          </w:p>
        </w:tc>
        <w:tc>
          <w:tcPr>
            <w:tcW w:w="709" w:type="dxa"/>
            <w:tcBorders>
              <w:top w:val="nil"/>
              <w:left w:val="nil"/>
              <w:bottom w:val="single" w:color="auto" w:sz="4" w:space="0"/>
              <w:right w:val="single" w:color="auto" w:sz="4" w:space="0"/>
            </w:tcBorders>
            <w:vAlign w:val="center"/>
          </w:tcPr>
          <w:p>
            <w:pPr>
              <w:widowControl/>
              <w:spacing w:line="240" w:lineRule="exact"/>
              <w:jc w:val="center"/>
              <w:rPr>
                <w:color w:val="000000"/>
                <w:kern w:val="0"/>
                <w:szCs w:val="21"/>
              </w:rPr>
            </w:pPr>
            <w:r>
              <w:rPr>
                <w:color w:val="000000"/>
                <w:kern w:val="0"/>
                <w:szCs w:val="21"/>
              </w:rPr>
              <w:t>100</w:t>
            </w:r>
          </w:p>
        </w:tc>
        <w:tc>
          <w:tcPr>
            <w:tcW w:w="99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r>
              <w:rPr>
                <w:rFonts w:hint="eastAsia"/>
                <w:color w:val="000000"/>
                <w:kern w:val="0"/>
                <w:szCs w:val="21"/>
              </w:rPr>
              <w:t>98</w:t>
            </w:r>
          </w:p>
        </w:tc>
        <w:tc>
          <w:tcPr>
            <w:tcW w:w="135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r>
    </w:tbl>
    <w:p>
      <w:pPr>
        <w:spacing w:line="620" w:lineRule="exact"/>
        <w:ind w:right="420"/>
        <w:rPr>
          <w:rFonts w:eastAsia="仿宋_GB2312"/>
          <w:color w:val="000000"/>
          <w:sz w:val="32"/>
          <w:szCs w:val="32"/>
        </w:rPr>
      </w:pPr>
      <w:r>
        <w:rPr>
          <w:kern w:val="0"/>
          <w:szCs w:val="21"/>
        </w:rPr>
        <w:t xml:space="preserve">填表人： 刘品淑 </w:t>
      </w:r>
      <w:r>
        <w:rPr>
          <w:rFonts w:hint="eastAsia"/>
          <w:kern w:val="0"/>
          <w:szCs w:val="21"/>
        </w:rPr>
        <w:t xml:space="preserve">   </w:t>
      </w:r>
      <w:r>
        <w:rPr>
          <w:kern w:val="0"/>
          <w:szCs w:val="21"/>
        </w:rPr>
        <w:t>填报日期：</w:t>
      </w:r>
      <w:r>
        <w:rPr>
          <w:rFonts w:hint="eastAsia"/>
          <w:kern w:val="0"/>
          <w:szCs w:val="21"/>
        </w:rPr>
        <w:t>4</w:t>
      </w:r>
      <w:r>
        <w:rPr>
          <w:kern w:val="0"/>
          <w:szCs w:val="21"/>
        </w:rPr>
        <w:t>月</w:t>
      </w:r>
      <w:r>
        <w:rPr>
          <w:rFonts w:hint="eastAsia"/>
          <w:kern w:val="0"/>
          <w:szCs w:val="21"/>
        </w:rPr>
        <w:t>23</w:t>
      </w:r>
      <w:r>
        <w:rPr>
          <w:kern w:val="0"/>
          <w:szCs w:val="21"/>
        </w:rPr>
        <w:t xml:space="preserve">日 </w:t>
      </w:r>
      <w:r>
        <w:rPr>
          <w:rFonts w:hint="eastAsia"/>
          <w:kern w:val="0"/>
          <w:szCs w:val="21"/>
        </w:rPr>
        <w:t xml:space="preserve">  </w:t>
      </w:r>
      <w:r>
        <w:rPr>
          <w:kern w:val="0"/>
          <w:szCs w:val="21"/>
        </w:rPr>
        <w:t xml:space="preserve"> 联系电话： 15873730670 </w:t>
      </w:r>
      <w:r>
        <w:rPr>
          <w:rFonts w:hint="eastAsia"/>
          <w:kern w:val="0"/>
          <w:szCs w:val="21"/>
        </w:rPr>
        <w:t xml:space="preserve">  </w:t>
      </w:r>
      <w:r>
        <w:rPr>
          <w:kern w:val="0"/>
          <w:szCs w:val="21"/>
        </w:rPr>
        <w:t>单位负责人签字：</w:t>
      </w:r>
    </w:p>
    <w:p/>
    <w:sectPr>
      <w:headerReference r:id="rId3" w:type="default"/>
      <w:footerReference r:id="rId4" w:type="default"/>
      <w:footerReference r:id="rId5" w:type="even"/>
      <w:pgSz w:w="11906" w:h="16838"/>
      <w:pgMar w:top="2007" w:right="1287"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大标宋_GBK">
    <w:panose1 w:val="02000000000000000000"/>
    <w:charset w:val="86"/>
    <w:family w:val="script"/>
    <w:pitch w:val="default"/>
    <w:sig w:usb0="A00002BF" w:usb1="08CF7CFA"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kzZmFjOGMzODY4YzY4OWIyNmQ5ZTRlMDAxMTAxNTEifQ=="/>
  </w:docVars>
  <w:rsids>
    <w:rsidRoot w:val="699E3F34"/>
    <w:rsid w:val="006B4509"/>
    <w:rsid w:val="00F24069"/>
    <w:rsid w:val="00FD1122"/>
    <w:rsid w:val="04944ECC"/>
    <w:rsid w:val="06333EEA"/>
    <w:rsid w:val="0717134D"/>
    <w:rsid w:val="090A1BAF"/>
    <w:rsid w:val="0A574B11"/>
    <w:rsid w:val="0ABE5C7D"/>
    <w:rsid w:val="0B211DF8"/>
    <w:rsid w:val="0BA46FD6"/>
    <w:rsid w:val="0F464B47"/>
    <w:rsid w:val="101E58DB"/>
    <w:rsid w:val="109769D7"/>
    <w:rsid w:val="11806422"/>
    <w:rsid w:val="119C7C26"/>
    <w:rsid w:val="11F67A59"/>
    <w:rsid w:val="13122105"/>
    <w:rsid w:val="14684A87"/>
    <w:rsid w:val="15870B8D"/>
    <w:rsid w:val="1746222F"/>
    <w:rsid w:val="18400A89"/>
    <w:rsid w:val="18D52E9A"/>
    <w:rsid w:val="19E613B8"/>
    <w:rsid w:val="1DF876CA"/>
    <w:rsid w:val="1F470C5B"/>
    <w:rsid w:val="20362961"/>
    <w:rsid w:val="25180714"/>
    <w:rsid w:val="266D240F"/>
    <w:rsid w:val="26A41100"/>
    <w:rsid w:val="29222750"/>
    <w:rsid w:val="2A9E0CDF"/>
    <w:rsid w:val="2AA374D1"/>
    <w:rsid w:val="2B4A3054"/>
    <w:rsid w:val="2B985ED1"/>
    <w:rsid w:val="2B9A0A62"/>
    <w:rsid w:val="2BDE4F63"/>
    <w:rsid w:val="2E0405A4"/>
    <w:rsid w:val="2E060763"/>
    <w:rsid w:val="2FB72C05"/>
    <w:rsid w:val="313C2D63"/>
    <w:rsid w:val="32390468"/>
    <w:rsid w:val="32B40518"/>
    <w:rsid w:val="338B36AE"/>
    <w:rsid w:val="339F7E33"/>
    <w:rsid w:val="360602FC"/>
    <w:rsid w:val="36F82073"/>
    <w:rsid w:val="385350C2"/>
    <w:rsid w:val="3942457F"/>
    <w:rsid w:val="3A5A4A8C"/>
    <w:rsid w:val="3AE33B68"/>
    <w:rsid w:val="3B4944CC"/>
    <w:rsid w:val="3DBA6EF5"/>
    <w:rsid w:val="3E8D7205"/>
    <w:rsid w:val="3F597D51"/>
    <w:rsid w:val="407C60F3"/>
    <w:rsid w:val="40945ECD"/>
    <w:rsid w:val="42A240DB"/>
    <w:rsid w:val="42D8415D"/>
    <w:rsid w:val="44213745"/>
    <w:rsid w:val="49B2622D"/>
    <w:rsid w:val="49BB6D31"/>
    <w:rsid w:val="502C5797"/>
    <w:rsid w:val="50B273F6"/>
    <w:rsid w:val="50E66A5D"/>
    <w:rsid w:val="5180312F"/>
    <w:rsid w:val="531C1EB1"/>
    <w:rsid w:val="53404349"/>
    <w:rsid w:val="539B3DB4"/>
    <w:rsid w:val="55015375"/>
    <w:rsid w:val="555A3F36"/>
    <w:rsid w:val="559E7869"/>
    <w:rsid w:val="580A7ED8"/>
    <w:rsid w:val="58F03F05"/>
    <w:rsid w:val="5A8050E8"/>
    <w:rsid w:val="5AC72286"/>
    <w:rsid w:val="5D3D2CC6"/>
    <w:rsid w:val="5D723A98"/>
    <w:rsid w:val="5DBB07F1"/>
    <w:rsid w:val="5EE96FBE"/>
    <w:rsid w:val="5F393D09"/>
    <w:rsid w:val="5F792376"/>
    <w:rsid w:val="5FCA0FD3"/>
    <w:rsid w:val="600917D6"/>
    <w:rsid w:val="60586323"/>
    <w:rsid w:val="61247EFE"/>
    <w:rsid w:val="61AA7F48"/>
    <w:rsid w:val="62064EAE"/>
    <w:rsid w:val="6239216E"/>
    <w:rsid w:val="62D13405"/>
    <w:rsid w:val="630034B4"/>
    <w:rsid w:val="655315BA"/>
    <w:rsid w:val="670B6BE5"/>
    <w:rsid w:val="67A21965"/>
    <w:rsid w:val="687544A6"/>
    <w:rsid w:val="68ED4260"/>
    <w:rsid w:val="699E3F34"/>
    <w:rsid w:val="6A900C2F"/>
    <w:rsid w:val="6B4B09C9"/>
    <w:rsid w:val="6C6533CA"/>
    <w:rsid w:val="70922634"/>
    <w:rsid w:val="712E3C0B"/>
    <w:rsid w:val="726959C0"/>
    <w:rsid w:val="72A107EB"/>
    <w:rsid w:val="73C209F8"/>
    <w:rsid w:val="75162806"/>
    <w:rsid w:val="7658414F"/>
    <w:rsid w:val="76902BFA"/>
    <w:rsid w:val="770C3D64"/>
    <w:rsid w:val="78E0137C"/>
    <w:rsid w:val="79550BDF"/>
    <w:rsid w:val="7A7750BE"/>
    <w:rsid w:val="7B677696"/>
    <w:rsid w:val="7B9602D1"/>
    <w:rsid w:val="7BCF4395"/>
    <w:rsid w:val="7C8E3FBD"/>
    <w:rsid w:val="9F564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978</Words>
  <Characters>5581</Characters>
  <Lines>46</Lines>
  <Paragraphs>13</Paragraphs>
  <TotalTime>24</TotalTime>
  <ScaleCrop>false</ScaleCrop>
  <LinksUpToDate>false</LinksUpToDate>
  <CharactersWithSpaces>6546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2022-05-09T17:36:00Z</dcterms:created>
  <dc:creator>Administrator</dc:creator>
  <cp:lastModifiedBy>kylin</cp:lastModifiedBy>
  <dcterms:modified xsi:type="dcterms:W3CDTF">2022-10-31T14:43:10Z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CC050784B513476195F60BE6C8E731F3</vt:lpwstr>
  </property>
</Properties>
</file>