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益阳市文化旅游广电体育局</w:t>
      </w:r>
    </w:p>
    <w:p>
      <w:pPr>
        <w:jc w:val="center"/>
        <w:rPr>
          <w:rFonts w:ascii="黑体" w:hAnsi="黑体" w:eastAsia="黑体" w:cs="黑体"/>
          <w:sz w:val="44"/>
          <w:szCs w:val="44"/>
        </w:rPr>
      </w:pPr>
      <w:r>
        <w:rPr>
          <w:rFonts w:ascii="黑体" w:hAnsi="黑体" w:eastAsia="黑体" w:cs="黑体"/>
          <w:sz w:val="44"/>
          <w:szCs w:val="44"/>
        </w:rPr>
        <w:t>20</w:t>
      </w:r>
      <w:r>
        <w:rPr>
          <w:rFonts w:hint="eastAsia" w:ascii="黑体" w:hAnsi="黑体" w:eastAsia="黑体" w:cs="黑体"/>
          <w:sz w:val="44"/>
          <w:szCs w:val="44"/>
        </w:rPr>
        <w:t>2</w:t>
      </w:r>
      <w:r>
        <w:rPr>
          <w:rFonts w:hint="eastAsia" w:ascii="黑体" w:hAnsi="黑体" w:eastAsia="黑体" w:cs="黑体"/>
          <w:sz w:val="44"/>
          <w:szCs w:val="44"/>
          <w:lang w:val="en-US" w:eastAsia="zh-CN"/>
        </w:rPr>
        <w:t>1</w:t>
      </w:r>
      <w:r>
        <w:rPr>
          <w:rFonts w:hint="eastAsia" w:ascii="黑体" w:hAnsi="黑体" w:eastAsia="黑体" w:cs="黑体"/>
          <w:sz w:val="44"/>
          <w:szCs w:val="44"/>
        </w:rPr>
        <w:t>年度送戏下乡、演艺惠民及</w:t>
      </w:r>
    </w:p>
    <w:p>
      <w:pPr>
        <w:jc w:val="center"/>
        <w:rPr>
          <w:rFonts w:ascii="黑体" w:hAnsi="黑体" w:eastAsia="黑体" w:cs="黑体"/>
          <w:sz w:val="44"/>
          <w:szCs w:val="44"/>
        </w:rPr>
      </w:pPr>
      <w:r>
        <w:rPr>
          <w:rFonts w:hint="eastAsia" w:ascii="黑体" w:hAnsi="黑体" w:eastAsia="黑体" w:cs="黑体"/>
          <w:sz w:val="44"/>
          <w:szCs w:val="44"/>
        </w:rPr>
        <w:t>周末广场电影专项资金绩效自评报告</w:t>
      </w:r>
    </w:p>
    <w:p>
      <w:pPr>
        <w:rPr>
          <w:rFonts w:ascii="仿宋" w:hAnsi="仿宋" w:eastAsia="仿宋" w:cs="仿宋_GB2312"/>
          <w:sz w:val="32"/>
          <w:szCs w:val="32"/>
        </w:rPr>
      </w:pPr>
    </w:p>
    <w:p>
      <w:pPr>
        <w:spacing w:line="560" w:lineRule="exact"/>
        <w:rPr>
          <w:rFonts w:ascii="仿宋" w:hAnsi="仿宋" w:eastAsia="仿宋" w:cs="仿宋_GB2312"/>
          <w:sz w:val="32"/>
          <w:szCs w:val="32"/>
        </w:rPr>
      </w:pPr>
      <w:r>
        <w:rPr>
          <w:rFonts w:hint="eastAsia" w:ascii="仿宋" w:hAnsi="仿宋" w:eastAsia="仿宋" w:cs="仿宋_GB2312"/>
          <w:sz w:val="32"/>
          <w:szCs w:val="32"/>
        </w:rPr>
        <w:t>益阳市财政局：</w:t>
      </w:r>
    </w:p>
    <w:p>
      <w:pPr>
        <w:spacing w:line="560" w:lineRule="exact"/>
        <w:jc w:val="left"/>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kern w:val="28"/>
          <w:sz w:val="32"/>
          <w:szCs w:val="32"/>
        </w:rPr>
        <w:t>为了加强财政支出管理，增强预算单位支出责任，根据《中共湖南省委办公厅湖南省人民政府办公厅关于全面实施预算绩效管理的实施意见》（湘办发〔2019〕10号）、</w:t>
      </w:r>
      <w:r>
        <w:rPr>
          <w:rFonts w:hint="eastAsia" w:ascii="仿宋" w:hAnsi="仿宋" w:eastAsia="仿宋" w:cs="仿宋_GB2312"/>
          <w:sz w:val="32"/>
          <w:szCs w:val="32"/>
        </w:rPr>
        <w:t>《益阳市财政局关于转发〈湖南省预算绩效管理工作规程（试行）〉的通知》（益财绩〔</w:t>
      </w:r>
      <w:r>
        <w:rPr>
          <w:rFonts w:ascii="仿宋" w:hAnsi="仿宋" w:eastAsia="仿宋" w:cs="仿宋_GB2312"/>
          <w:sz w:val="32"/>
          <w:szCs w:val="32"/>
        </w:rPr>
        <w:t>2014</w:t>
      </w:r>
      <w:r>
        <w:rPr>
          <w:rFonts w:hint="eastAsia" w:ascii="仿宋" w:hAnsi="仿宋" w:eastAsia="仿宋" w:cs="仿宋_GB2312"/>
          <w:sz w:val="32"/>
          <w:szCs w:val="32"/>
        </w:rPr>
        <w:t>〕</w:t>
      </w:r>
      <w:r>
        <w:rPr>
          <w:rFonts w:ascii="仿宋" w:hAnsi="仿宋" w:eastAsia="仿宋" w:cs="仿宋_GB2312"/>
          <w:sz w:val="32"/>
          <w:szCs w:val="32"/>
        </w:rPr>
        <w:t>126</w:t>
      </w:r>
      <w:r>
        <w:rPr>
          <w:rFonts w:hint="eastAsia" w:ascii="仿宋" w:hAnsi="仿宋" w:eastAsia="仿宋" w:cs="仿宋_GB2312"/>
          <w:sz w:val="32"/>
          <w:szCs w:val="32"/>
        </w:rPr>
        <w:t>号）、《益阳市财政局关于开展202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年度</w:t>
      </w:r>
      <w:r>
        <w:rPr>
          <w:rFonts w:hint="eastAsia" w:ascii="仿宋" w:hAnsi="仿宋" w:eastAsia="仿宋" w:cs="仿宋_GB2312"/>
          <w:sz w:val="32"/>
          <w:szCs w:val="32"/>
          <w:lang w:eastAsia="zh-CN"/>
        </w:rPr>
        <w:t>部门</w:t>
      </w:r>
      <w:r>
        <w:rPr>
          <w:rFonts w:hint="eastAsia" w:ascii="仿宋" w:hAnsi="仿宋" w:eastAsia="仿宋" w:cs="仿宋_GB2312"/>
          <w:sz w:val="32"/>
          <w:szCs w:val="32"/>
        </w:rPr>
        <w:t>绩效自评工作的通知》等文件精神，我局组织对202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年度送戏下乡、演艺惠民及周末广场电影项目资金（以下简称该项目资金）开展了绩效自评。现将有关情况报告如下：</w:t>
      </w:r>
    </w:p>
    <w:p>
      <w:pPr>
        <w:topLinePunct/>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一、基本情况</w:t>
      </w:r>
    </w:p>
    <w:p>
      <w:pPr>
        <w:topLinePunct/>
        <w:spacing w:line="560" w:lineRule="exact"/>
        <w:ind w:firstLine="640" w:firstLineChars="200"/>
        <w:rPr>
          <w:rFonts w:ascii="仿宋" w:hAnsi="仿宋" w:eastAsia="仿宋" w:cs="Times New Roman"/>
          <w:sz w:val="32"/>
          <w:szCs w:val="32"/>
        </w:rPr>
      </w:pPr>
      <w:r>
        <w:rPr>
          <w:rFonts w:hint="eastAsia" w:ascii="楷体" w:hAnsi="楷体" w:eastAsia="楷体" w:cs="楷体"/>
          <w:sz w:val="32"/>
          <w:szCs w:val="32"/>
        </w:rPr>
        <w:t>（一）</w:t>
      </w:r>
      <w:r>
        <w:rPr>
          <w:rFonts w:hint="eastAsia" w:ascii="楷体" w:hAnsi="楷体" w:eastAsia="楷体" w:cs="Times New Roman"/>
          <w:sz w:val="32"/>
          <w:szCs w:val="32"/>
        </w:rPr>
        <w:t>项目单位基本情况</w:t>
      </w:r>
    </w:p>
    <w:p>
      <w:pPr>
        <w:topLinePunct/>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市文化旅游广电体育局（以下简称市文旅广体局）是市人民政府工作部门，主要负责贯彻执行党和政府有关文化、文物、旅游、广电和体育的法律法规和方针政策，统筹规划全市文化、文物、旅游、广电和体育领域事业发展，拟定发展规划并组织实施，推进全市文化、文物、旅游、广电和体育公共服务体系建设，实施文化惠民工程等。局机关现有人员编制46人，实有人数46人，内设办公室、文艺科</w:t>
      </w:r>
      <w:r>
        <w:rPr>
          <w:rFonts w:hint="eastAsia" w:ascii="仿宋" w:hAnsi="仿宋" w:eastAsia="仿宋" w:cs="仿宋_GB2312"/>
          <w:sz w:val="32"/>
          <w:szCs w:val="32"/>
        </w:rPr>
        <w:t>等21个科室，</w:t>
      </w:r>
      <w:r>
        <w:rPr>
          <w:rFonts w:hint="eastAsia" w:ascii="仿宋" w:hAnsi="仿宋" w:eastAsia="仿宋" w:cs="Times New Roman"/>
          <w:sz w:val="32"/>
          <w:szCs w:val="32"/>
        </w:rPr>
        <w:t>下设市</w:t>
      </w:r>
      <w:r>
        <w:rPr>
          <w:rFonts w:hint="eastAsia" w:ascii="仿宋" w:hAnsi="仿宋" w:eastAsia="仿宋" w:cs="仿宋_GB2312"/>
          <w:sz w:val="32"/>
          <w:szCs w:val="32"/>
        </w:rPr>
        <w:t>文化馆、市电影文化传媒有限公司（以下简称市电影公司）等13个单位。</w:t>
      </w:r>
    </w:p>
    <w:p>
      <w:pPr>
        <w:topLinePunct/>
        <w:spacing w:line="560" w:lineRule="exact"/>
        <w:ind w:firstLine="640" w:firstLineChars="200"/>
        <w:rPr>
          <w:rFonts w:ascii="仿宋" w:hAnsi="仿宋" w:eastAsia="仿宋" w:cs="仿宋"/>
          <w:sz w:val="32"/>
          <w:szCs w:val="32"/>
        </w:rPr>
      </w:pPr>
      <w:r>
        <w:rPr>
          <w:rFonts w:hint="eastAsia" w:ascii="楷体" w:hAnsi="楷体" w:eastAsia="楷体" w:cs="Times New Roman"/>
          <w:sz w:val="32"/>
          <w:szCs w:val="32"/>
        </w:rPr>
        <w:t>（二）项目基本情况</w:t>
      </w:r>
    </w:p>
    <w:p>
      <w:pPr>
        <w:topLinePunct/>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为深入推进文化惠民工程，弘扬地方传统文化，丰富城乡居民业余生活，根据《湖南省“演艺惠民-送戏下乡”工程实施方案》（湘文艺[2009]172号）等文件精神，市委宣传部、</w:t>
      </w:r>
      <w:r>
        <w:rPr>
          <w:rFonts w:hint="eastAsia" w:ascii="仿宋" w:hAnsi="仿宋" w:eastAsia="仿宋" w:cs="Times New Roman"/>
          <w:sz w:val="32"/>
          <w:szCs w:val="32"/>
        </w:rPr>
        <w:t>市文旅广体局</w:t>
      </w:r>
      <w:r>
        <w:rPr>
          <w:rFonts w:hint="eastAsia" w:ascii="仿宋" w:hAnsi="仿宋" w:eastAsia="仿宋" w:cs="仿宋"/>
          <w:sz w:val="32"/>
          <w:szCs w:val="32"/>
        </w:rPr>
        <w:t>决定在全市城乡开展“益阳花鼓大戏台-送戏惠民”活动（以下简称送戏下乡项目），建立益阳花鼓大戏台长效机制。同时，为解决进城务工、城市低收入等人员文化生活需要，决定在中心城区各广场设立周末电影院，定期播放电影（以下简称周末广场电影项目）。</w:t>
      </w:r>
    </w:p>
    <w:p>
      <w:pPr>
        <w:topLinePunct/>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（三）绩效目标完成情况</w:t>
      </w:r>
    </w:p>
    <w:p>
      <w:pPr>
        <w:topLinePunct/>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1.送戏下乡项目。202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Times New Roman"/>
          <w:sz w:val="32"/>
          <w:szCs w:val="32"/>
        </w:rPr>
        <w:t>市文旅广体局</w:t>
      </w:r>
      <w:r>
        <w:rPr>
          <w:rFonts w:hint="eastAsia" w:ascii="仿宋" w:hAnsi="仿宋" w:eastAsia="仿宋" w:cs="仿宋"/>
          <w:sz w:val="32"/>
          <w:szCs w:val="32"/>
        </w:rPr>
        <w:t>共计划演出300场次，其中：乡镇巡演168场次</w:t>
      </w:r>
      <w:r>
        <w:rPr>
          <w:rFonts w:hint="eastAsia" w:ascii="仿宋" w:hAnsi="仿宋" w:eastAsia="仿宋" w:cs="仿宋"/>
          <w:sz w:val="32"/>
          <w:szCs w:val="32"/>
          <w:lang w:eastAsia="zh-CN"/>
        </w:rPr>
        <w:t>、</w:t>
      </w:r>
      <w:r>
        <w:rPr>
          <w:rFonts w:hint="eastAsia" w:ascii="仿宋" w:hAnsi="仿宋" w:eastAsia="仿宋" w:cs="仿宋"/>
          <w:sz w:val="32"/>
          <w:szCs w:val="32"/>
        </w:rPr>
        <w:t>益阳大剧院“周末花鼓戏剧场”</w:t>
      </w:r>
      <w:r>
        <w:rPr>
          <w:rFonts w:hint="eastAsia" w:ascii="仿宋" w:hAnsi="仿宋" w:eastAsia="仿宋" w:cs="仿宋"/>
          <w:sz w:val="32"/>
          <w:szCs w:val="32"/>
          <w:lang w:val="en-US" w:eastAsia="zh-CN"/>
        </w:rPr>
        <w:t>5</w:t>
      </w:r>
      <w:r>
        <w:rPr>
          <w:rFonts w:hint="eastAsia" w:ascii="仿宋" w:hAnsi="仿宋" w:eastAsia="仿宋" w:cs="仿宋"/>
          <w:sz w:val="32"/>
          <w:szCs w:val="32"/>
        </w:rPr>
        <w:t>2场次</w:t>
      </w:r>
      <w:r>
        <w:rPr>
          <w:rFonts w:hint="eastAsia" w:ascii="仿宋" w:hAnsi="仿宋" w:eastAsia="仿宋" w:cs="仿宋"/>
          <w:sz w:val="32"/>
          <w:szCs w:val="32"/>
          <w:lang w:eastAsia="zh-CN"/>
        </w:rPr>
        <w:t>、</w:t>
      </w:r>
      <w:r>
        <w:rPr>
          <w:rFonts w:hint="eastAsia" w:ascii="仿宋" w:hAnsi="仿宋" w:eastAsia="仿宋" w:cs="仿宋"/>
          <w:sz w:val="32"/>
          <w:szCs w:val="32"/>
        </w:rPr>
        <w:t>省市</w:t>
      </w:r>
      <w:r>
        <w:rPr>
          <w:rFonts w:hint="eastAsia" w:ascii="仿宋" w:hAnsi="仿宋" w:eastAsia="仿宋" w:cs="仿宋"/>
          <w:sz w:val="32"/>
          <w:szCs w:val="32"/>
          <w:lang w:eastAsia="zh-CN"/>
        </w:rPr>
        <w:t>驻</w:t>
      </w:r>
      <w:r>
        <w:rPr>
          <w:rFonts w:hint="eastAsia" w:ascii="仿宋" w:hAnsi="仿宋" w:eastAsia="仿宋" w:cs="仿宋"/>
          <w:sz w:val="32"/>
          <w:szCs w:val="32"/>
        </w:rPr>
        <w:t>村</w:t>
      </w:r>
      <w:r>
        <w:rPr>
          <w:rFonts w:hint="eastAsia" w:ascii="仿宋" w:hAnsi="仿宋" w:eastAsia="仿宋" w:cs="仿宋"/>
          <w:sz w:val="32"/>
          <w:szCs w:val="32"/>
          <w:lang w:eastAsia="zh-CN"/>
        </w:rPr>
        <w:t>乡村振兴慰问</w:t>
      </w:r>
      <w:r>
        <w:rPr>
          <w:rFonts w:hint="eastAsia" w:ascii="仿宋" w:hAnsi="仿宋" w:eastAsia="仿宋" w:cs="仿宋"/>
          <w:sz w:val="32"/>
          <w:szCs w:val="32"/>
        </w:rPr>
        <w:t>演出</w:t>
      </w:r>
      <w:r>
        <w:rPr>
          <w:rFonts w:hint="eastAsia" w:ascii="仿宋" w:hAnsi="仿宋" w:eastAsia="仿宋" w:cs="仿宋"/>
          <w:sz w:val="32"/>
          <w:szCs w:val="32"/>
          <w:lang w:val="en-US" w:eastAsia="zh-CN"/>
        </w:rPr>
        <w:t>4</w:t>
      </w:r>
      <w:r>
        <w:rPr>
          <w:rFonts w:hint="eastAsia" w:ascii="仿宋" w:hAnsi="仿宋" w:eastAsia="仿宋" w:cs="仿宋"/>
          <w:sz w:val="32"/>
          <w:szCs w:val="32"/>
        </w:rPr>
        <w:t>5场次</w:t>
      </w:r>
      <w:r>
        <w:rPr>
          <w:rFonts w:hint="eastAsia" w:ascii="仿宋" w:hAnsi="仿宋" w:eastAsia="仿宋" w:cs="仿宋"/>
          <w:sz w:val="32"/>
          <w:szCs w:val="32"/>
          <w:lang w:eastAsia="zh-CN"/>
        </w:rPr>
        <w:t>、</w:t>
      </w:r>
      <w:r>
        <w:rPr>
          <w:rFonts w:hint="eastAsia" w:ascii="仿宋" w:hAnsi="仿宋" w:eastAsia="仿宋" w:cs="仿宋"/>
          <w:sz w:val="32"/>
          <w:szCs w:val="32"/>
        </w:rPr>
        <w:t>戏曲进校园</w:t>
      </w:r>
      <w:r>
        <w:rPr>
          <w:rFonts w:hint="eastAsia" w:ascii="仿宋" w:hAnsi="仿宋" w:eastAsia="仿宋" w:cs="仿宋"/>
          <w:sz w:val="32"/>
          <w:szCs w:val="32"/>
          <w:lang w:eastAsia="zh-CN"/>
        </w:rPr>
        <w:t>专场</w:t>
      </w:r>
      <w:r>
        <w:rPr>
          <w:rFonts w:hint="eastAsia" w:ascii="仿宋" w:hAnsi="仿宋" w:eastAsia="仿宋" w:cs="仿宋"/>
          <w:sz w:val="32"/>
          <w:szCs w:val="32"/>
        </w:rPr>
        <w:t>演出</w:t>
      </w:r>
      <w:r>
        <w:rPr>
          <w:rFonts w:hint="eastAsia" w:ascii="仿宋" w:hAnsi="仿宋" w:eastAsia="仿宋" w:cs="仿宋"/>
          <w:sz w:val="32"/>
          <w:szCs w:val="32"/>
          <w:lang w:val="en-US" w:eastAsia="zh-CN"/>
        </w:rPr>
        <w:t>10</w:t>
      </w:r>
      <w:r>
        <w:rPr>
          <w:rFonts w:hint="eastAsia" w:ascii="仿宋" w:hAnsi="仿宋" w:eastAsia="仿宋" w:cs="仿宋"/>
          <w:sz w:val="32"/>
          <w:szCs w:val="32"/>
        </w:rPr>
        <w:t>场次、</w:t>
      </w:r>
      <w:r>
        <w:rPr>
          <w:rFonts w:hint="eastAsia" w:ascii="仿宋" w:hAnsi="仿宋" w:eastAsia="仿宋" w:cs="仿宋"/>
          <w:sz w:val="32"/>
          <w:szCs w:val="32"/>
          <w:lang w:val="en-US" w:eastAsia="zh-CN"/>
        </w:rPr>
        <w:t>25</w:t>
      </w:r>
      <w:r>
        <w:rPr>
          <w:rFonts w:hint="eastAsia" w:ascii="仿宋" w:hAnsi="仿宋" w:eastAsia="仿宋" w:cs="仿宋"/>
          <w:sz w:val="32"/>
          <w:szCs w:val="32"/>
        </w:rPr>
        <w:t>场</w:t>
      </w:r>
      <w:r>
        <w:rPr>
          <w:rFonts w:hint="eastAsia" w:ascii="仿宋" w:hAnsi="仿宋" w:eastAsia="仿宋" w:cs="仿宋"/>
          <w:sz w:val="32"/>
          <w:szCs w:val="32"/>
          <w:lang w:eastAsia="zh-CN"/>
        </w:rPr>
        <w:t>的场次补贴</w:t>
      </w:r>
      <w:r>
        <w:rPr>
          <w:rFonts w:hint="eastAsia" w:ascii="仿宋" w:hAnsi="仿宋" w:eastAsia="仿宋" w:cs="仿宋"/>
          <w:sz w:val="32"/>
          <w:szCs w:val="32"/>
          <w:lang w:val="en-US" w:eastAsia="zh-CN"/>
        </w:rPr>
        <w:t>12.5万元用于益阳市</w:t>
      </w: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rPr>
        <w:t>届花鼓戏汇演</w:t>
      </w:r>
      <w:r>
        <w:rPr>
          <w:rFonts w:hint="eastAsia" w:ascii="仿宋" w:hAnsi="仿宋" w:eastAsia="仿宋" w:cs="仿宋"/>
          <w:sz w:val="32"/>
          <w:szCs w:val="32"/>
          <w:lang w:eastAsia="zh-CN"/>
        </w:rPr>
        <w:t>、百团百角唱百年院团竞赛活动</w:t>
      </w:r>
      <w:r>
        <w:rPr>
          <w:rFonts w:hint="eastAsia" w:ascii="仿宋" w:hAnsi="仿宋" w:eastAsia="仿宋" w:cs="仿宋"/>
          <w:sz w:val="32"/>
          <w:szCs w:val="32"/>
        </w:rPr>
        <w:t>。全</w:t>
      </w:r>
      <w:r>
        <w:rPr>
          <w:rFonts w:hint="eastAsia" w:ascii="仿宋" w:hAnsi="仿宋" w:eastAsia="仿宋" w:cs="仿宋"/>
          <w:sz w:val="32"/>
          <w:szCs w:val="32"/>
          <w:lang w:eastAsia="zh-CN"/>
        </w:rPr>
        <w:t>市全年安排</w:t>
      </w:r>
      <w:r>
        <w:rPr>
          <w:rFonts w:hint="eastAsia" w:ascii="仿宋" w:hAnsi="仿宋" w:eastAsia="仿宋" w:cs="仿宋"/>
          <w:sz w:val="32"/>
          <w:szCs w:val="32"/>
        </w:rPr>
        <w:t>演出300场次，目标任务基本完成。</w:t>
      </w:r>
    </w:p>
    <w:p>
      <w:pPr>
        <w:topLinePunct/>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2.周末广场电影项目。市中心城区共建立了21个固定放映点，覆盖55个社区、20个大型广场、1所大专院校。202</w:t>
      </w:r>
      <w:r>
        <w:rPr>
          <w:rFonts w:hint="eastAsia" w:ascii="仿宋" w:hAnsi="仿宋" w:eastAsia="仿宋" w:cs="仿宋"/>
          <w:sz w:val="32"/>
          <w:szCs w:val="32"/>
          <w:lang w:val="en-US" w:eastAsia="zh-CN"/>
        </w:rPr>
        <w:t>1</w:t>
      </w:r>
      <w:r>
        <w:rPr>
          <w:rFonts w:hint="eastAsia" w:ascii="仿宋" w:hAnsi="仿宋" w:eastAsia="仿宋" w:cs="仿宋"/>
          <w:sz w:val="32"/>
          <w:szCs w:val="32"/>
        </w:rPr>
        <w:t>年计划放映1000场次，实际完成放映1068场，观众近20万人次。</w:t>
      </w:r>
    </w:p>
    <w:p>
      <w:pPr>
        <w:topLinePunct/>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二、项目资金使用管理情况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年，市级预算共拨付该项目资金</w:t>
      </w:r>
      <w:r>
        <w:rPr>
          <w:rFonts w:hint="eastAsia" w:ascii="仿宋" w:hAnsi="仿宋" w:eastAsia="仿宋" w:cs="仿宋"/>
          <w:sz w:val="32"/>
          <w:szCs w:val="32"/>
          <w:lang w:val="en-US" w:eastAsia="zh-CN"/>
        </w:rPr>
        <w:t>223.25</w:t>
      </w:r>
      <w:r>
        <w:rPr>
          <w:rFonts w:hint="eastAsia" w:ascii="仿宋" w:hAnsi="仿宋" w:eastAsia="仿宋" w:cs="仿宋"/>
          <w:sz w:val="32"/>
          <w:szCs w:val="32"/>
        </w:rPr>
        <w:t>万元，其中送戏下乡项目资金</w:t>
      </w:r>
      <w:r>
        <w:rPr>
          <w:rFonts w:hint="eastAsia" w:ascii="仿宋" w:hAnsi="仿宋" w:eastAsia="仿宋" w:cs="仿宋"/>
          <w:sz w:val="32"/>
          <w:szCs w:val="32"/>
          <w:lang w:val="en-US" w:eastAsia="zh-CN"/>
        </w:rPr>
        <w:t>85.5</w:t>
      </w:r>
      <w:r>
        <w:rPr>
          <w:rFonts w:hint="eastAsia" w:ascii="仿宋" w:hAnsi="仿宋" w:eastAsia="仿宋" w:cs="仿宋"/>
          <w:sz w:val="32"/>
          <w:szCs w:val="32"/>
        </w:rPr>
        <w:t>万元，</w:t>
      </w:r>
      <w:r>
        <w:rPr>
          <w:rFonts w:hint="eastAsia" w:ascii="仿宋" w:hAnsi="仿宋" w:eastAsia="仿宋" w:cs="仿宋_GB2312"/>
          <w:sz w:val="32"/>
          <w:szCs w:val="32"/>
        </w:rPr>
        <w:t>周末广场电影项目资金</w:t>
      </w:r>
      <w:r>
        <w:rPr>
          <w:rFonts w:hint="eastAsia" w:ascii="仿宋" w:hAnsi="仿宋" w:eastAsia="仿宋" w:cs="仿宋_GB2312"/>
          <w:sz w:val="32"/>
          <w:szCs w:val="32"/>
          <w:lang w:val="en-US" w:eastAsia="zh-CN"/>
        </w:rPr>
        <w:t>137.75</w:t>
      </w:r>
      <w:r>
        <w:rPr>
          <w:rFonts w:hint="eastAsia" w:ascii="仿宋" w:hAnsi="仿宋" w:eastAsia="仿宋" w:cs="仿宋_GB2312"/>
          <w:sz w:val="32"/>
          <w:szCs w:val="32"/>
        </w:rPr>
        <w:t>万元，另市委宣传部从文化产业引导资金中安排送戏下乡项目资金60万元。</w:t>
      </w:r>
      <w:r>
        <w:rPr>
          <w:rFonts w:hint="eastAsia" w:ascii="仿宋" w:hAnsi="仿宋" w:eastAsia="仿宋" w:cs="仿宋"/>
          <w:sz w:val="32"/>
          <w:szCs w:val="32"/>
        </w:rPr>
        <w:t>送戏下乡项目共支出</w:t>
      </w:r>
      <w:r>
        <w:rPr>
          <w:rFonts w:hint="eastAsia" w:ascii="仿宋" w:hAnsi="仿宋" w:eastAsia="仿宋"/>
          <w:sz w:val="32"/>
          <w:szCs w:val="32"/>
          <w:lang w:val="en-US" w:eastAsia="zh-CN"/>
        </w:rPr>
        <w:t>145.5</w:t>
      </w:r>
      <w:r>
        <w:rPr>
          <w:rFonts w:hint="eastAsia" w:ascii="仿宋" w:hAnsi="仿宋" w:eastAsia="仿宋" w:cs="仿宋"/>
          <w:sz w:val="32"/>
          <w:szCs w:val="32"/>
        </w:rPr>
        <w:t>万元，其中用于支付剧团演出场次补贴</w:t>
      </w:r>
      <w:r>
        <w:rPr>
          <w:rFonts w:hint="eastAsia" w:ascii="仿宋" w:hAnsi="仿宋" w:eastAsia="仿宋" w:cs="仿宋"/>
          <w:sz w:val="32"/>
          <w:szCs w:val="32"/>
          <w:lang w:val="en-US" w:eastAsia="zh-CN"/>
        </w:rPr>
        <w:t>142.4</w:t>
      </w:r>
      <w:r>
        <w:rPr>
          <w:rFonts w:hint="eastAsia" w:ascii="仿宋" w:hAnsi="仿宋" w:eastAsia="仿宋" w:cs="仿宋"/>
          <w:sz w:val="32"/>
          <w:szCs w:val="32"/>
        </w:rPr>
        <w:t>万元，舞台搭建、场地租赁、保险、工作经费等其它费用</w:t>
      </w:r>
      <w:r>
        <w:rPr>
          <w:rFonts w:hint="eastAsia" w:ascii="仿宋" w:hAnsi="仿宋" w:eastAsia="仿宋" w:cs="仿宋"/>
          <w:sz w:val="32"/>
          <w:szCs w:val="32"/>
          <w:lang w:val="en-US" w:eastAsia="zh-CN"/>
        </w:rPr>
        <w:t>3.1</w:t>
      </w:r>
      <w:r>
        <w:rPr>
          <w:rFonts w:hint="eastAsia" w:ascii="仿宋" w:hAnsi="仿宋" w:eastAsia="仿宋" w:cs="仿宋"/>
          <w:sz w:val="32"/>
          <w:szCs w:val="32"/>
        </w:rPr>
        <w:t>万元；</w:t>
      </w:r>
      <w:r>
        <w:rPr>
          <w:rFonts w:hint="eastAsia" w:ascii="仿宋" w:hAnsi="仿宋" w:eastAsia="仿宋" w:cs="仿宋_GB2312"/>
          <w:sz w:val="32"/>
          <w:szCs w:val="32"/>
        </w:rPr>
        <w:t>周末广场电影项目共支出</w:t>
      </w:r>
      <w:r>
        <w:rPr>
          <w:rFonts w:hint="eastAsia" w:ascii="仿宋" w:hAnsi="仿宋" w:eastAsia="仿宋" w:cs="仿宋_GB2312"/>
          <w:sz w:val="32"/>
          <w:szCs w:val="32"/>
          <w:lang w:val="en-US" w:eastAsia="zh-CN"/>
        </w:rPr>
        <w:t>138.6</w:t>
      </w:r>
      <w:r>
        <w:rPr>
          <w:rFonts w:hint="eastAsia" w:ascii="仿宋" w:hAnsi="仿宋" w:eastAsia="仿宋" w:cs="仿宋_GB2312"/>
          <w:sz w:val="32"/>
          <w:szCs w:val="32"/>
        </w:rPr>
        <w:t>万元，其中放映费(含人员工资)</w:t>
      </w:r>
      <w:r>
        <w:rPr>
          <w:rFonts w:hint="eastAsia" w:ascii="仿宋" w:hAnsi="仿宋" w:eastAsia="仿宋" w:cs="仿宋_GB2312"/>
          <w:sz w:val="32"/>
          <w:szCs w:val="32"/>
          <w:lang w:val="en-US" w:eastAsia="zh-CN"/>
        </w:rPr>
        <w:t>130.7</w:t>
      </w:r>
      <w:r>
        <w:rPr>
          <w:rFonts w:hint="eastAsia" w:ascii="仿宋" w:hAnsi="仿宋" w:eastAsia="仿宋" w:cs="仿宋_GB2312"/>
          <w:sz w:val="32"/>
          <w:szCs w:val="32"/>
        </w:rPr>
        <w:t>万元，设备运输费(含油料费)、宣传费3.</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万元，运输车辆维护、保险费</w:t>
      </w:r>
      <w:r>
        <w:rPr>
          <w:rFonts w:hint="eastAsia" w:ascii="仿宋" w:hAnsi="仿宋" w:eastAsia="仿宋" w:cs="仿宋_GB2312"/>
          <w:sz w:val="32"/>
          <w:szCs w:val="32"/>
          <w:lang w:val="en-US" w:eastAsia="zh-CN"/>
        </w:rPr>
        <w:t>3.1</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rPr>
        <w:t>电影行业会费0.5万元，防疫物质1.</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万元，放映设备折旧费6万元。</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三、项目组织实施管理情况</w:t>
      </w:r>
    </w:p>
    <w:p>
      <w:pPr>
        <w:topLinePunct/>
        <w:spacing w:line="560" w:lineRule="exact"/>
        <w:ind w:firstLine="640" w:firstLineChars="200"/>
        <w:rPr>
          <w:rFonts w:ascii="仿宋" w:hAnsi="仿宋" w:eastAsia="仿宋" w:cs="Times New Roman"/>
          <w:sz w:val="32"/>
          <w:szCs w:val="32"/>
        </w:rPr>
      </w:pPr>
      <w:r>
        <w:rPr>
          <w:rFonts w:hint="eastAsia" w:ascii="仿宋" w:hAnsi="仿宋" w:eastAsia="仿宋" w:cs="Times New Roman"/>
          <w:bCs/>
          <w:sz w:val="32"/>
          <w:szCs w:val="32"/>
        </w:rPr>
        <w:t>一是制定实施方案。年初，</w:t>
      </w:r>
      <w:r>
        <w:rPr>
          <w:rFonts w:hint="eastAsia" w:ascii="仿宋" w:hAnsi="仿宋" w:eastAsia="仿宋" w:cs="Times New Roman"/>
          <w:sz w:val="32"/>
          <w:szCs w:val="32"/>
        </w:rPr>
        <w:t>市文旅广体局、市电影公司制定当年送戏下乡、周末广场电影计划，确定演出（放映）地点、演出（放映）场次、演出（放映）剧目等。</w:t>
      </w:r>
      <w:r>
        <w:rPr>
          <w:rFonts w:hint="eastAsia" w:ascii="仿宋" w:hAnsi="仿宋" w:eastAsia="仿宋" w:cs="仿宋"/>
          <w:sz w:val="32"/>
          <w:szCs w:val="32"/>
        </w:rPr>
        <w:t>周末广场电影项目还要求实行六个统一，即统一放映时间、统一公益宣传片、统一放映流程、统一市场经营、统一放映节目、统一规范管理。</w:t>
      </w:r>
    </w:p>
    <w:p>
      <w:pPr>
        <w:topLinePunct/>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二是实行公开招标。按照年度演出计划，市文旅广体局组织对剧团实行公开招标，与中标剧团签订演出合同，明确双方权利义务。</w:t>
      </w:r>
    </w:p>
    <w:p>
      <w:pPr>
        <w:topLinePunct/>
        <w:spacing w:line="560" w:lineRule="exact"/>
        <w:ind w:firstLine="640" w:firstLineChars="200"/>
        <w:rPr>
          <w:rFonts w:ascii="仿宋" w:hAnsi="仿宋" w:eastAsia="仿宋" w:cs="仿宋"/>
          <w:sz w:val="32"/>
          <w:szCs w:val="32"/>
        </w:rPr>
      </w:pPr>
      <w:r>
        <w:rPr>
          <w:rFonts w:hint="eastAsia" w:ascii="仿宋" w:hAnsi="仿宋" w:eastAsia="仿宋" w:cs="Times New Roman"/>
          <w:sz w:val="32"/>
          <w:szCs w:val="32"/>
        </w:rPr>
        <w:t>三是实施演出（放映）。各剧团、市电影公司按照演出（放映）计划和要求，组织人员赴指定地点演出（放映）。电影放映结束后，放映员填制</w:t>
      </w:r>
      <w:r>
        <w:rPr>
          <w:rFonts w:hint="eastAsia" w:ascii="仿宋" w:hAnsi="仿宋" w:eastAsia="仿宋" w:cs="仿宋"/>
          <w:sz w:val="32"/>
          <w:szCs w:val="32"/>
        </w:rPr>
        <w:t>电影放映回执单，并附2张现场照片，经所在社区签章认可后，作为放映验收依据。</w:t>
      </w:r>
    </w:p>
    <w:p>
      <w:pPr>
        <w:topLinePunct/>
        <w:spacing w:line="560" w:lineRule="exact"/>
        <w:ind w:firstLine="640" w:firstLineChars="200"/>
        <w:rPr>
          <w:rFonts w:ascii="仿宋" w:hAnsi="仿宋" w:eastAsia="仿宋" w:cs="Times New Roman"/>
          <w:bCs/>
          <w:sz w:val="32"/>
          <w:szCs w:val="32"/>
        </w:rPr>
      </w:pPr>
      <w:r>
        <w:rPr>
          <w:rFonts w:hint="eastAsia" w:ascii="仿宋" w:hAnsi="仿宋" w:eastAsia="仿宋" w:cs="Times New Roman"/>
          <w:sz w:val="32"/>
          <w:szCs w:val="32"/>
        </w:rPr>
        <w:t>四是组织验收考核。市委宣传部、</w:t>
      </w:r>
      <w:r>
        <w:rPr>
          <w:rFonts w:hint="eastAsia" w:ascii="仿宋" w:hAnsi="仿宋" w:eastAsia="仿宋" w:cs="仿宋"/>
          <w:sz w:val="32"/>
          <w:szCs w:val="32"/>
        </w:rPr>
        <w:t>市文旅广体局成立了送戏下乡、周末广场电影项目监督检查工作组，采取定期、不定期方式，对送戏下乡、周末广场电影项目实施监督检查。周末广场电影项目还在每个放映点设立了监督员，电影放映结束后，由监督员按要求对放映时间、影片内容、放映质量等进行监督，并征求观众意见。</w:t>
      </w:r>
    </w:p>
    <w:p>
      <w:pPr>
        <w:topLinePunct/>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四、绩效评价工作情况</w:t>
      </w:r>
    </w:p>
    <w:p>
      <w:pPr>
        <w:topLinePunct/>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（一）绩效评价目的</w:t>
      </w:r>
    </w:p>
    <w:p>
      <w:pPr>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开展送戏下乡、周末广场电影项目绩效评价，全面了解、分析该项目资金分配、使用及管理等情况，督促项目单位进一步完善项目申报、实施等程序，规范资金分配、使用及管理，切实提高财政资金使用效益。</w:t>
      </w:r>
    </w:p>
    <w:p>
      <w:pPr>
        <w:topLinePunct/>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（二）绩效评价工作过程</w:t>
      </w:r>
    </w:p>
    <w:p>
      <w:pPr>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相关政策规定和《通知》文件要求，我局抽调专人成立了绩效评价工作组，明确了工作职责，制定了绩效评价方案，明确了绩效评价时间，召开了相关会议，收集了相关资料，对照绩效评价内容逐条逐项组织开展自评，得出评价结论，形成绩效评价自评报告。</w:t>
      </w:r>
    </w:p>
    <w:p>
      <w:pPr>
        <w:topLinePunct/>
        <w:spacing w:line="560" w:lineRule="exact"/>
        <w:ind w:firstLine="640" w:firstLineChars="200"/>
        <w:rPr>
          <w:rFonts w:ascii="黑体" w:hAnsi="黑体" w:eastAsia="黑体" w:cs="Times New Roman"/>
          <w:bCs/>
          <w:sz w:val="32"/>
          <w:szCs w:val="32"/>
        </w:rPr>
      </w:pPr>
      <w:r>
        <w:rPr>
          <w:rFonts w:hint="eastAsia" w:ascii="黑体" w:hAnsi="黑体" w:eastAsia="黑体" w:cs="仿宋_GB2312"/>
          <w:sz w:val="32"/>
          <w:szCs w:val="32"/>
        </w:rPr>
        <w:t>五、</w:t>
      </w:r>
      <w:r>
        <w:rPr>
          <w:rFonts w:hint="eastAsia" w:ascii="黑体" w:hAnsi="黑体" w:eastAsia="黑体" w:cs="Times New Roman"/>
          <w:bCs/>
          <w:sz w:val="32"/>
          <w:szCs w:val="32"/>
        </w:rPr>
        <w:t>绩效评价结果和主要绩效</w:t>
      </w:r>
    </w:p>
    <w:p>
      <w:pPr>
        <w:topLinePunct/>
        <w:spacing w:line="560" w:lineRule="exact"/>
        <w:ind w:firstLine="640" w:firstLineChars="200"/>
        <w:rPr>
          <w:rFonts w:ascii="仿宋" w:hAnsi="仿宋" w:eastAsia="仿宋" w:cs="Times New Roman"/>
          <w:color w:val="FF0000"/>
          <w:sz w:val="32"/>
          <w:szCs w:val="32"/>
        </w:rPr>
      </w:pPr>
      <w:r>
        <w:rPr>
          <w:rFonts w:hint="eastAsia" w:ascii="仿宋" w:hAnsi="仿宋" w:eastAsia="仿宋" w:cs="Times New Roman"/>
          <w:sz w:val="32"/>
          <w:szCs w:val="32"/>
        </w:rPr>
        <w:t>根据该项目资金绩效评价指标体系和绩效检查情况，该项目整体绩效分值100分，实得9</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分。主要绩效表现在：通过开展送戏下乡活动，将益阳人民特别是中老年朋友喜闻乐见的花鼓戏送到城乡居民家门口，每一处演出，花鼓戏迷们都争相观看。在市中心城区设立周末电影放映点，丰富了进城务工、城乡低收入等人员文化生活，通过精选充满正能量的影片，让人民群众了解党的历史，教育人民热爱党、热爱祖国，珍惜来之不易的幸福生活。同时，通过送戏下乡活动，让一度陷入低谷的花鼓艺术重焕生机，有效推动了地方文化发展，融洽了党群干群关系，群众满意度较高。</w:t>
      </w:r>
    </w:p>
    <w:p>
      <w:pPr>
        <w:topLinePunct/>
        <w:spacing w:line="560" w:lineRule="exact"/>
        <w:ind w:firstLine="640" w:firstLineChars="200"/>
        <w:rPr>
          <w:rFonts w:ascii="黑体" w:hAnsi="黑体" w:eastAsia="黑体" w:cs="仿宋"/>
          <w:bCs/>
          <w:color w:val="000000"/>
          <w:sz w:val="32"/>
          <w:szCs w:val="32"/>
        </w:rPr>
      </w:pPr>
      <w:r>
        <w:rPr>
          <w:rFonts w:hint="eastAsia" w:ascii="黑体" w:hAnsi="黑体" w:eastAsia="黑体" w:cs="仿宋"/>
          <w:bCs/>
          <w:color w:val="000000"/>
          <w:sz w:val="32"/>
          <w:szCs w:val="32"/>
        </w:rPr>
        <w:t>六、存在的主要问题</w:t>
      </w:r>
    </w:p>
    <w:p>
      <w:pPr>
        <w:topLinePunct/>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绩效目标编制不够规范。在编制部门预算绩效目标时，指标设定还需更全面、更科学，要进一步合理设置指标值，逐步改进定性指标使用较多，</w:t>
      </w:r>
      <w:r>
        <w:rPr>
          <w:rFonts w:hint="eastAsia" w:ascii="仿宋" w:hAnsi="仿宋" w:eastAsia="仿宋" w:cs="仿宋"/>
          <w:sz w:val="32"/>
          <w:szCs w:val="32"/>
          <w:highlight w:val="none"/>
        </w:rPr>
        <w:t>定量指标</w:t>
      </w:r>
      <w:r>
        <w:rPr>
          <w:rFonts w:hint="eastAsia" w:ascii="仿宋" w:hAnsi="仿宋" w:eastAsia="仿宋" w:cs="仿宋"/>
          <w:sz w:val="32"/>
          <w:szCs w:val="32"/>
          <w:highlight w:val="none"/>
          <w:lang w:eastAsia="zh-CN"/>
        </w:rPr>
        <w:t>使用</w:t>
      </w:r>
      <w:r>
        <w:rPr>
          <w:rFonts w:hint="eastAsia" w:ascii="仿宋" w:hAnsi="仿宋" w:eastAsia="仿宋" w:cs="仿宋"/>
          <w:sz w:val="32"/>
          <w:szCs w:val="32"/>
          <w:highlight w:val="none"/>
        </w:rPr>
        <w:t>较少的状</w:t>
      </w:r>
      <w:r>
        <w:rPr>
          <w:rFonts w:hint="eastAsia" w:ascii="仿宋" w:hAnsi="仿宋" w:eastAsia="仿宋" w:cs="仿宋"/>
          <w:sz w:val="32"/>
          <w:szCs w:val="32"/>
        </w:rPr>
        <w:t>况。</w:t>
      </w:r>
    </w:p>
    <w:p>
      <w:pPr>
        <w:topLinePunct/>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topLinePunct/>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w:t>
      </w:r>
    </w:p>
    <w:p>
      <w:pPr>
        <w:topLinePunct/>
        <w:spacing w:line="560" w:lineRule="exact"/>
        <w:ind w:firstLine="640" w:firstLineChars="200"/>
        <w:rPr>
          <w:rFonts w:ascii="仿宋" w:hAnsi="仿宋" w:eastAsia="仿宋" w:cs="Times New Roman"/>
          <w:sz w:val="32"/>
          <w:szCs w:val="32"/>
        </w:rPr>
      </w:pPr>
    </w:p>
    <w:p>
      <w:pPr>
        <w:topLinePunct/>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 xml:space="preserve">                       </w:t>
      </w:r>
    </w:p>
    <w:p>
      <w:pPr>
        <w:topLinePunct/>
        <w:spacing w:line="560" w:lineRule="exact"/>
        <w:ind w:firstLine="4160" w:firstLineChars="1300"/>
        <w:rPr>
          <w:rFonts w:ascii="仿宋" w:hAnsi="仿宋" w:eastAsia="仿宋" w:cs="Times New Roman"/>
          <w:sz w:val="32"/>
          <w:szCs w:val="32"/>
        </w:rPr>
      </w:pPr>
      <w:r>
        <w:rPr>
          <w:rFonts w:hint="eastAsia" w:ascii="仿宋" w:hAnsi="仿宋" w:eastAsia="仿宋" w:cs="Times New Roman"/>
          <w:sz w:val="32"/>
          <w:szCs w:val="32"/>
        </w:rPr>
        <w:t>益阳市文化旅游广电体育局</w:t>
      </w:r>
    </w:p>
    <w:p>
      <w:pPr>
        <w:topLinePunct/>
        <w:spacing w:line="560" w:lineRule="exact"/>
        <w:ind w:firstLine="4960" w:firstLineChars="1550"/>
        <w:rPr>
          <w:rFonts w:ascii="仿宋" w:hAnsi="仿宋" w:eastAsia="仿宋" w:cs="Times New Roman"/>
          <w:sz w:val="32"/>
          <w:szCs w:val="32"/>
        </w:rPr>
      </w:pP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年4月</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rPr>
        <w:t>日</w:t>
      </w:r>
    </w:p>
    <w:p>
      <w:pPr>
        <w:topLinePunct/>
        <w:spacing w:line="560" w:lineRule="exact"/>
        <w:ind w:firstLine="5120" w:firstLineChars="1600"/>
        <w:rPr>
          <w:rFonts w:ascii="仿宋" w:hAnsi="仿宋" w:eastAsia="仿宋" w:cs="Times New Roman"/>
          <w:sz w:val="32"/>
          <w:szCs w:val="32"/>
        </w:rPr>
      </w:pPr>
    </w:p>
    <w:p>
      <w:pPr>
        <w:topLinePunct/>
        <w:spacing w:line="560" w:lineRule="exact"/>
        <w:ind w:firstLine="5120" w:firstLineChars="1600"/>
        <w:rPr>
          <w:rFonts w:ascii="仿宋" w:hAnsi="仿宋" w:eastAsia="仿宋" w:cs="Times New Roman"/>
          <w:sz w:val="32"/>
          <w:szCs w:val="32"/>
        </w:rPr>
      </w:pPr>
    </w:p>
    <w:p>
      <w:pPr>
        <w:topLinePunct/>
        <w:spacing w:line="560" w:lineRule="exact"/>
        <w:jc w:val="center"/>
        <w:rPr>
          <w:rFonts w:ascii="黑体" w:hAnsi="黑体" w:eastAsia="黑体" w:cs="Times New Roman"/>
          <w:sz w:val="36"/>
          <w:szCs w:val="36"/>
        </w:rPr>
      </w:pPr>
    </w:p>
    <w:p>
      <w:pPr>
        <w:topLinePunct/>
        <w:spacing w:line="560" w:lineRule="exact"/>
        <w:jc w:val="center"/>
        <w:rPr>
          <w:rFonts w:ascii="黑体" w:hAnsi="黑体" w:eastAsia="黑体" w:cs="Times New Roman"/>
          <w:sz w:val="36"/>
          <w:szCs w:val="36"/>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imes New Roman" w:hAnsi="Times New Roman" w:eastAsia="方正小标宋_GBK" w:cs="Times New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rPr>
          <w:rFonts w:ascii="Times New Roman" w:hAnsi="Times New Roman" w:eastAsia="方正小标宋_GBK" w:cs="Times New Roman"/>
          <w:color w:val="000000"/>
          <w:kern w:val="0"/>
          <w:sz w:val="36"/>
          <w:szCs w:val="36"/>
        </w:rPr>
      </w:pPr>
    </w:p>
    <w:p>
      <w:pPr>
        <w:pStyle w:val="2"/>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1</w:t>
      </w:r>
      <w:r>
        <w:rPr>
          <w:rFonts w:ascii="Times New Roman" w:hAnsi="Times New Roman" w:eastAsia="方正小标宋_GBK" w:cs="Times New Roman"/>
          <w:color w:val="000000"/>
          <w:kern w:val="0"/>
          <w:sz w:val="36"/>
          <w:szCs w:val="36"/>
        </w:rPr>
        <w:t>年度项目支出绩效自评表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方正小标宋_GBK" w:cs="Times New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方正小标宋_GBK" w:cs="Times New Roman"/>
          <w:color w:val="000000"/>
          <w:kern w:val="0"/>
          <w:sz w:val="36"/>
          <w:szCs w:val="36"/>
        </w:rPr>
      </w:pPr>
    </w:p>
    <w:tbl>
      <w:tblPr>
        <w:tblStyle w:val="10"/>
        <w:tblW w:w="9851" w:type="dxa"/>
        <w:jc w:val="center"/>
        <w:tblLayout w:type="autofit"/>
        <w:tblCellMar>
          <w:top w:w="0" w:type="dxa"/>
          <w:left w:w="108" w:type="dxa"/>
          <w:bottom w:w="0" w:type="dxa"/>
          <w:right w:w="108" w:type="dxa"/>
        </w:tblCellMar>
      </w:tblPr>
      <w:tblGrid>
        <w:gridCol w:w="1080"/>
        <w:gridCol w:w="1080"/>
        <w:gridCol w:w="1080"/>
        <w:gridCol w:w="1164"/>
        <w:gridCol w:w="1356"/>
        <w:gridCol w:w="1032"/>
        <w:gridCol w:w="76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送戏下乡、演艺惠民及周末广场电影专项资金</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680"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lang w:eastAsia="zh-CN"/>
              </w:rPr>
              <w:t>益阳市委宣传部</w:t>
            </w:r>
          </w:p>
        </w:tc>
        <w:tc>
          <w:tcPr>
            <w:tcW w:w="1032"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05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市文旅广体局，市电影公司</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项目资金</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6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35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032"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76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16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1356" w:type="dxa"/>
            <w:tcBorders>
              <w:top w:val="nil"/>
              <w:left w:val="nil"/>
              <w:bottom w:val="single" w:color="auto" w:sz="4" w:space="0"/>
              <w:right w:val="single" w:color="auto" w:sz="4" w:space="0"/>
            </w:tcBorders>
            <w:noWrap w:val="0"/>
            <w:vAlign w:val="center"/>
          </w:tcPr>
          <w:p>
            <w:pPr>
              <w:widowControl/>
              <w:ind w:firstLine="210" w:firstLineChars="100"/>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10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76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16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13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10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76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16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35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3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16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03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76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68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091"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68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4091"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16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35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7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送戏</w:t>
            </w:r>
            <w:r>
              <w:rPr>
                <w:rFonts w:hint="eastAsia" w:ascii="Times New Roman" w:hAnsi="Times New Roman" w:eastAsia="仿宋_GB2312" w:cs="Times New Roman"/>
                <w:color w:val="000000"/>
                <w:kern w:val="0"/>
                <w:sz w:val="21"/>
                <w:szCs w:val="21"/>
                <w:lang w:val="en-US" w:eastAsia="zh-CN"/>
              </w:rPr>
              <w:t>300场</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300场</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电影</w:t>
            </w:r>
            <w:r>
              <w:rPr>
                <w:rFonts w:hint="eastAsia" w:ascii="Times New Roman" w:hAnsi="Times New Roman" w:eastAsia="仿宋_GB2312" w:cs="Times New Roman"/>
                <w:color w:val="000000"/>
                <w:kern w:val="0"/>
                <w:sz w:val="21"/>
                <w:szCs w:val="21"/>
                <w:lang w:val="en-US" w:eastAsia="zh-CN"/>
              </w:rPr>
              <w:t>1000场</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1068场</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演出质量</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定性</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放映质量</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定性</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全年</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定时</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场次补贴</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5000元/场</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2</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设备折旧</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定性</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公益项目</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2</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丰富人民文化生活</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定性</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2</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2</w:t>
            </w:r>
            <w:r>
              <w:rPr>
                <w:rFonts w:ascii="Times New Roman" w:hAnsi="Times New Roman" w:eastAsia="仿宋_GB2312" w:cs="Times New Roman"/>
                <w:color w:val="000000"/>
                <w:kern w:val="0"/>
                <w:sz w:val="21"/>
                <w:szCs w:val="21"/>
              </w:rPr>
              <w:t>：</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1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演艺惠民</w:t>
            </w:r>
          </w:p>
        </w:tc>
        <w:tc>
          <w:tcPr>
            <w:tcW w:w="1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2</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群众满意度调查</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95%</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92" w:hRule="atLeast"/>
          <w:jc w:val="center"/>
        </w:trPr>
        <w:tc>
          <w:tcPr>
            <w:tcW w:w="679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94分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bl>
    <w:p>
      <w:pPr>
        <w:rPr>
          <w:rFonts w:ascii="Times New Roman" w:hAnsi="Times New Roman" w:eastAsia="仿宋_GB2312" w:cs="Times New Roman"/>
          <w:kern w:val="0"/>
          <w:sz w:val="21"/>
          <w:szCs w:val="21"/>
        </w:rPr>
      </w:pPr>
    </w:p>
    <w:p>
      <w:pP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填表人：</w:t>
      </w:r>
      <w:r>
        <w:rPr>
          <w:rFonts w:hint="eastAsia" w:ascii="Times New Roman" w:hAnsi="Times New Roman" w:eastAsia="仿宋_GB2312" w:cs="Times New Roman"/>
          <w:kern w:val="0"/>
          <w:sz w:val="21"/>
          <w:szCs w:val="21"/>
          <w:lang w:eastAsia="zh-CN"/>
        </w:rPr>
        <w:t>龚菱芳</w:t>
      </w:r>
      <w:r>
        <w:rPr>
          <w:rFonts w:ascii="Times New Roman" w:hAnsi="Times New Roman" w:eastAsia="仿宋_GB2312" w:cs="Times New Roman"/>
          <w:kern w:val="0"/>
          <w:sz w:val="21"/>
          <w:szCs w:val="21"/>
        </w:rPr>
        <w:t xml:space="preserve">   </w:t>
      </w:r>
      <w:r>
        <w:rPr>
          <w:rFonts w:hint="eastAsia" w:ascii="Times New Roman" w:hAnsi="Times New Roman" w:eastAsia="仿宋_GB2312" w:cs="Times New Roman"/>
          <w:kern w:val="0"/>
          <w:sz w:val="21"/>
          <w:szCs w:val="21"/>
          <w:lang w:val="en-US" w:eastAsia="zh-CN"/>
        </w:rPr>
        <w:t xml:space="preserve">           </w:t>
      </w:r>
      <w:r>
        <w:rPr>
          <w:rFonts w:ascii="Times New Roman" w:hAnsi="Times New Roman" w:eastAsia="仿宋_GB2312" w:cs="Times New Roman"/>
          <w:kern w:val="0"/>
          <w:sz w:val="21"/>
          <w:szCs w:val="21"/>
        </w:rPr>
        <w:t>填报日期：</w:t>
      </w:r>
      <w:r>
        <w:rPr>
          <w:rFonts w:hint="eastAsia" w:ascii="Times New Roman" w:hAnsi="Times New Roman" w:eastAsia="仿宋_GB2312" w:cs="Times New Roman"/>
          <w:kern w:val="0"/>
          <w:sz w:val="21"/>
          <w:szCs w:val="21"/>
          <w:lang w:val="en-US" w:eastAsia="zh-CN"/>
        </w:rPr>
        <w:t>2022.4.22.</w:t>
      </w:r>
      <w:r>
        <w:rPr>
          <w:rFonts w:ascii="Times New Roman" w:hAnsi="Times New Roman" w:eastAsia="仿宋_GB2312" w:cs="Times New Roman"/>
          <w:kern w:val="0"/>
          <w:sz w:val="21"/>
          <w:szCs w:val="21"/>
        </w:rPr>
        <w:t xml:space="preserve">  </w:t>
      </w:r>
      <w:r>
        <w:rPr>
          <w:rFonts w:hint="eastAsia" w:ascii="Times New Roman" w:hAnsi="Times New Roman" w:eastAsia="仿宋_GB2312" w:cs="Times New Roman"/>
          <w:kern w:val="0"/>
          <w:sz w:val="21"/>
          <w:szCs w:val="21"/>
          <w:lang w:val="en-US" w:eastAsia="zh-CN"/>
        </w:rPr>
        <w:t xml:space="preserve">         </w:t>
      </w:r>
      <w:r>
        <w:rPr>
          <w:rFonts w:ascii="Times New Roman" w:hAnsi="Times New Roman" w:eastAsia="仿宋_GB2312" w:cs="Times New Roman"/>
          <w:kern w:val="0"/>
          <w:sz w:val="21"/>
          <w:szCs w:val="21"/>
        </w:rPr>
        <w:t>联系电话：</w:t>
      </w:r>
      <w:r>
        <w:rPr>
          <w:rFonts w:hint="eastAsia" w:ascii="Times New Roman" w:hAnsi="Times New Roman" w:eastAsia="仿宋_GB2312" w:cs="Times New Roman"/>
          <w:kern w:val="0"/>
          <w:sz w:val="21"/>
          <w:szCs w:val="21"/>
          <w:lang w:val="en-US" w:eastAsia="zh-CN"/>
        </w:rPr>
        <w:t>0737-4383310</w:t>
      </w:r>
      <w:bookmarkStart w:id="0" w:name="_GoBack"/>
      <w:bookmarkEnd w:id="0"/>
      <w:r>
        <w:rPr>
          <w:rFonts w:ascii="Times New Roman" w:hAnsi="Times New Roman" w:eastAsia="仿宋_GB2312" w:cs="Times New Roman"/>
          <w:kern w:val="0"/>
          <w:sz w:val="21"/>
          <w:szCs w:val="21"/>
        </w:rPr>
        <w:t xml:space="preserve">            </w:t>
      </w:r>
    </w:p>
    <w:p>
      <w:pPr>
        <w:rPr>
          <w:rFonts w:ascii="宋体" w:cs="Times New Roman"/>
          <w:spacing w:val="16"/>
          <w:sz w:val="24"/>
          <w:szCs w:val="24"/>
        </w:rPr>
      </w:pPr>
      <w:r>
        <w:rPr>
          <w:rFonts w:ascii="Times New Roman" w:hAnsi="Times New Roman" w:eastAsia="仿宋_GB2312" w:cs="Times New Roman"/>
          <w:kern w:val="0"/>
          <w:sz w:val="21"/>
          <w:szCs w:val="21"/>
        </w:rPr>
        <w:t>单位负责人签字：</w:t>
      </w:r>
    </w:p>
    <w:sectPr>
      <w:headerReference r:id="rId3" w:type="default"/>
      <w:footerReference r:id="rId4" w:type="default"/>
      <w:pgSz w:w="11906" w:h="16838"/>
      <w:pgMar w:top="1440" w:right="1803" w:bottom="171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Fonts w:cs="Calibri"/>
      </w:rPr>
      <w:fldChar w:fldCharType="begin"/>
    </w:r>
    <w:r>
      <w:rPr>
        <w:rStyle w:val="13"/>
        <w:rFonts w:cs="Calibri"/>
      </w:rPr>
      <w:instrText xml:space="preserve">PAGE  </w:instrText>
    </w:r>
    <w:r>
      <w:rPr>
        <w:rStyle w:val="13"/>
        <w:rFonts w:cs="Calibri"/>
      </w:rPr>
      <w:fldChar w:fldCharType="separate"/>
    </w:r>
    <w:r>
      <w:rPr>
        <w:rStyle w:val="13"/>
        <w:rFonts w:cs="Calibri"/>
      </w:rPr>
      <w:t>1</w:t>
    </w:r>
    <w:r>
      <w:rPr>
        <w:rStyle w:val="13"/>
        <w:rFonts w:cs="Calibri"/>
      </w:rPr>
      <w:fldChar w:fldCharType="end"/>
    </w:r>
  </w:p>
  <w:p>
    <w:pPr>
      <w:pStyle w:val="6"/>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HorizontalSpacing w:val="105"/>
  <w:drawingGridVerticalSpacing w:val="319"/>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AF"/>
    <w:rsid w:val="00026036"/>
    <w:rsid w:val="000304A4"/>
    <w:rsid w:val="00035E56"/>
    <w:rsid w:val="0003717A"/>
    <w:rsid w:val="00040BE8"/>
    <w:rsid w:val="00060614"/>
    <w:rsid w:val="00062B3A"/>
    <w:rsid w:val="00062D31"/>
    <w:rsid w:val="00065FE2"/>
    <w:rsid w:val="00066E33"/>
    <w:rsid w:val="00086787"/>
    <w:rsid w:val="00087F33"/>
    <w:rsid w:val="00092EAF"/>
    <w:rsid w:val="000966B7"/>
    <w:rsid w:val="000A289A"/>
    <w:rsid w:val="000D2F40"/>
    <w:rsid w:val="000E6CB8"/>
    <w:rsid w:val="000F3116"/>
    <w:rsid w:val="000F68D6"/>
    <w:rsid w:val="00114EDC"/>
    <w:rsid w:val="00116FD3"/>
    <w:rsid w:val="00124B92"/>
    <w:rsid w:val="00142F9A"/>
    <w:rsid w:val="00144C2C"/>
    <w:rsid w:val="00145167"/>
    <w:rsid w:val="0014630D"/>
    <w:rsid w:val="00146D8D"/>
    <w:rsid w:val="00157746"/>
    <w:rsid w:val="001863A8"/>
    <w:rsid w:val="001A04E5"/>
    <w:rsid w:val="001A5195"/>
    <w:rsid w:val="001B019F"/>
    <w:rsid w:val="001C2A7B"/>
    <w:rsid w:val="001D51FB"/>
    <w:rsid w:val="001E4835"/>
    <w:rsid w:val="001E6A5F"/>
    <w:rsid w:val="001F1D32"/>
    <w:rsid w:val="002049E7"/>
    <w:rsid w:val="00212350"/>
    <w:rsid w:val="00212F3E"/>
    <w:rsid w:val="00214BA7"/>
    <w:rsid w:val="002164B6"/>
    <w:rsid w:val="0022127B"/>
    <w:rsid w:val="00226508"/>
    <w:rsid w:val="0024254A"/>
    <w:rsid w:val="002502C6"/>
    <w:rsid w:val="00280E7D"/>
    <w:rsid w:val="002815F1"/>
    <w:rsid w:val="00282861"/>
    <w:rsid w:val="002840C5"/>
    <w:rsid w:val="00287332"/>
    <w:rsid w:val="002949EE"/>
    <w:rsid w:val="00297CA3"/>
    <w:rsid w:val="002A4C5D"/>
    <w:rsid w:val="002A53E2"/>
    <w:rsid w:val="002A646B"/>
    <w:rsid w:val="002B7D40"/>
    <w:rsid w:val="002C19FB"/>
    <w:rsid w:val="002D0080"/>
    <w:rsid w:val="002D1F54"/>
    <w:rsid w:val="002D4F22"/>
    <w:rsid w:val="002D6020"/>
    <w:rsid w:val="002D6DAF"/>
    <w:rsid w:val="002D70EF"/>
    <w:rsid w:val="002D76CE"/>
    <w:rsid w:val="002E12A4"/>
    <w:rsid w:val="002F40FB"/>
    <w:rsid w:val="002F43D7"/>
    <w:rsid w:val="002F44B7"/>
    <w:rsid w:val="00313600"/>
    <w:rsid w:val="00314F2B"/>
    <w:rsid w:val="003157EA"/>
    <w:rsid w:val="00332C48"/>
    <w:rsid w:val="00335259"/>
    <w:rsid w:val="0033572A"/>
    <w:rsid w:val="0034177C"/>
    <w:rsid w:val="00341B08"/>
    <w:rsid w:val="003427D9"/>
    <w:rsid w:val="00362FB1"/>
    <w:rsid w:val="00366230"/>
    <w:rsid w:val="003672E2"/>
    <w:rsid w:val="00367CE7"/>
    <w:rsid w:val="00381E0E"/>
    <w:rsid w:val="003840B2"/>
    <w:rsid w:val="00385AFE"/>
    <w:rsid w:val="00386A88"/>
    <w:rsid w:val="00394113"/>
    <w:rsid w:val="00395316"/>
    <w:rsid w:val="003A0B47"/>
    <w:rsid w:val="003A0FF9"/>
    <w:rsid w:val="003A29F7"/>
    <w:rsid w:val="003B5436"/>
    <w:rsid w:val="003B6B63"/>
    <w:rsid w:val="003C3271"/>
    <w:rsid w:val="003E17B7"/>
    <w:rsid w:val="003F43F5"/>
    <w:rsid w:val="004126A3"/>
    <w:rsid w:val="00412982"/>
    <w:rsid w:val="0041719D"/>
    <w:rsid w:val="00417E78"/>
    <w:rsid w:val="00421087"/>
    <w:rsid w:val="00430AE5"/>
    <w:rsid w:val="004371B0"/>
    <w:rsid w:val="00440F39"/>
    <w:rsid w:val="004611C5"/>
    <w:rsid w:val="00461D0F"/>
    <w:rsid w:val="00473772"/>
    <w:rsid w:val="00475AA5"/>
    <w:rsid w:val="004772B2"/>
    <w:rsid w:val="00477770"/>
    <w:rsid w:val="00477B40"/>
    <w:rsid w:val="0048035C"/>
    <w:rsid w:val="0049181D"/>
    <w:rsid w:val="004948D0"/>
    <w:rsid w:val="004A51FC"/>
    <w:rsid w:val="004B0D96"/>
    <w:rsid w:val="004D3058"/>
    <w:rsid w:val="004E25CA"/>
    <w:rsid w:val="004E53FA"/>
    <w:rsid w:val="004E7E92"/>
    <w:rsid w:val="004F6B6D"/>
    <w:rsid w:val="00513200"/>
    <w:rsid w:val="00532D25"/>
    <w:rsid w:val="00554F5F"/>
    <w:rsid w:val="00563C9B"/>
    <w:rsid w:val="00567DA2"/>
    <w:rsid w:val="005748D7"/>
    <w:rsid w:val="005753CE"/>
    <w:rsid w:val="005831B0"/>
    <w:rsid w:val="00594AC3"/>
    <w:rsid w:val="005B3509"/>
    <w:rsid w:val="005B6A07"/>
    <w:rsid w:val="005C0127"/>
    <w:rsid w:val="005C0F91"/>
    <w:rsid w:val="005C44D4"/>
    <w:rsid w:val="005E5A8C"/>
    <w:rsid w:val="005E6EAC"/>
    <w:rsid w:val="005E714E"/>
    <w:rsid w:val="005F5A7D"/>
    <w:rsid w:val="005F7B7F"/>
    <w:rsid w:val="006069B1"/>
    <w:rsid w:val="00616DF2"/>
    <w:rsid w:val="00620996"/>
    <w:rsid w:val="006242BA"/>
    <w:rsid w:val="006255AD"/>
    <w:rsid w:val="00627DDE"/>
    <w:rsid w:val="00636946"/>
    <w:rsid w:val="0064219E"/>
    <w:rsid w:val="00643046"/>
    <w:rsid w:val="00656C83"/>
    <w:rsid w:val="00670E50"/>
    <w:rsid w:val="006A546A"/>
    <w:rsid w:val="006B43AF"/>
    <w:rsid w:val="006B70B1"/>
    <w:rsid w:val="006B77AD"/>
    <w:rsid w:val="006C22EE"/>
    <w:rsid w:val="006C3FF0"/>
    <w:rsid w:val="006D0BC2"/>
    <w:rsid w:val="006E74B3"/>
    <w:rsid w:val="006F0646"/>
    <w:rsid w:val="006F2EAB"/>
    <w:rsid w:val="00711B96"/>
    <w:rsid w:val="00723A34"/>
    <w:rsid w:val="00724F49"/>
    <w:rsid w:val="00737CEB"/>
    <w:rsid w:val="00743CF2"/>
    <w:rsid w:val="007600FD"/>
    <w:rsid w:val="0076026B"/>
    <w:rsid w:val="00760696"/>
    <w:rsid w:val="00762DFA"/>
    <w:rsid w:val="00766A67"/>
    <w:rsid w:val="00776A48"/>
    <w:rsid w:val="007B5105"/>
    <w:rsid w:val="007B5C65"/>
    <w:rsid w:val="007B7F39"/>
    <w:rsid w:val="007C0FB6"/>
    <w:rsid w:val="007C1B98"/>
    <w:rsid w:val="007F2443"/>
    <w:rsid w:val="007F3A3E"/>
    <w:rsid w:val="00805D9B"/>
    <w:rsid w:val="008340BC"/>
    <w:rsid w:val="00836916"/>
    <w:rsid w:val="0084384B"/>
    <w:rsid w:val="0084596D"/>
    <w:rsid w:val="00856A83"/>
    <w:rsid w:val="0086609B"/>
    <w:rsid w:val="00867D78"/>
    <w:rsid w:val="00872AA2"/>
    <w:rsid w:val="00881BB9"/>
    <w:rsid w:val="008833CF"/>
    <w:rsid w:val="00890C6B"/>
    <w:rsid w:val="00893997"/>
    <w:rsid w:val="008B0959"/>
    <w:rsid w:val="008B3E81"/>
    <w:rsid w:val="008B6C8E"/>
    <w:rsid w:val="008C0481"/>
    <w:rsid w:val="008C3351"/>
    <w:rsid w:val="008C37A2"/>
    <w:rsid w:val="008C474E"/>
    <w:rsid w:val="008C48A7"/>
    <w:rsid w:val="008E0434"/>
    <w:rsid w:val="008E3905"/>
    <w:rsid w:val="009042EC"/>
    <w:rsid w:val="00913DE9"/>
    <w:rsid w:val="009166FD"/>
    <w:rsid w:val="00923A0A"/>
    <w:rsid w:val="009251D4"/>
    <w:rsid w:val="0092605B"/>
    <w:rsid w:val="009334C3"/>
    <w:rsid w:val="009440E0"/>
    <w:rsid w:val="00962990"/>
    <w:rsid w:val="00963132"/>
    <w:rsid w:val="00964A12"/>
    <w:rsid w:val="00973804"/>
    <w:rsid w:val="00976E33"/>
    <w:rsid w:val="00980BE5"/>
    <w:rsid w:val="009A7531"/>
    <w:rsid w:val="009B14C5"/>
    <w:rsid w:val="009B214F"/>
    <w:rsid w:val="009B4F65"/>
    <w:rsid w:val="009C3C75"/>
    <w:rsid w:val="009C6028"/>
    <w:rsid w:val="009E0E67"/>
    <w:rsid w:val="00A0049E"/>
    <w:rsid w:val="00A028C0"/>
    <w:rsid w:val="00A07DC7"/>
    <w:rsid w:val="00A16EE5"/>
    <w:rsid w:val="00A20D93"/>
    <w:rsid w:val="00A26A17"/>
    <w:rsid w:val="00A30766"/>
    <w:rsid w:val="00A365C0"/>
    <w:rsid w:val="00A54407"/>
    <w:rsid w:val="00A62F13"/>
    <w:rsid w:val="00A64A44"/>
    <w:rsid w:val="00A70B74"/>
    <w:rsid w:val="00A724CF"/>
    <w:rsid w:val="00A848F1"/>
    <w:rsid w:val="00A854F7"/>
    <w:rsid w:val="00A874D3"/>
    <w:rsid w:val="00A90466"/>
    <w:rsid w:val="00A939F9"/>
    <w:rsid w:val="00A9559A"/>
    <w:rsid w:val="00AA024B"/>
    <w:rsid w:val="00AB582A"/>
    <w:rsid w:val="00AC4BF8"/>
    <w:rsid w:val="00AD5782"/>
    <w:rsid w:val="00AD6D0E"/>
    <w:rsid w:val="00AE036F"/>
    <w:rsid w:val="00AE76DC"/>
    <w:rsid w:val="00AF073D"/>
    <w:rsid w:val="00AF7C13"/>
    <w:rsid w:val="00B034C6"/>
    <w:rsid w:val="00B04527"/>
    <w:rsid w:val="00B07E9D"/>
    <w:rsid w:val="00B11A59"/>
    <w:rsid w:val="00B1269A"/>
    <w:rsid w:val="00B13E90"/>
    <w:rsid w:val="00B202F7"/>
    <w:rsid w:val="00B23D9A"/>
    <w:rsid w:val="00B446C7"/>
    <w:rsid w:val="00B62629"/>
    <w:rsid w:val="00B6492B"/>
    <w:rsid w:val="00B6556A"/>
    <w:rsid w:val="00B9088D"/>
    <w:rsid w:val="00BB1A09"/>
    <w:rsid w:val="00BB7575"/>
    <w:rsid w:val="00BC08D7"/>
    <w:rsid w:val="00BC7D37"/>
    <w:rsid w:val="00BD0228"/>
    <w:rsid w:val="00BF4678"/>
    <w:rsid w:val="00C031C0"/>
    <w:rsid w:val="00C133FA"/>
    <w:rsid w:val="00C14E17"/>
    <w:rsid w:val="00C2125D"/>
    <w:rsid w:val="00C22B56"/>
    <w:rsid w:val="00C23991"/>
    <w:rsid w:val="00C32FB9"/>
    <w:rsid w:val="00C332C3"/>
    <w:rsid w:val="00C343B9"/>
    <w:rsid w:val="00C34C62"/>
    <w:rsid w:val="00C44472"/>
    <w:rsid w:val="00C61850"/>
    <w:rsid w:val="00C61F9E"/>
    <w:rsid w:val="00C63E54"/>
    <w:rsid w:val="00C67C2C"/>
    <w:rsid w:val="00C809A6"/>
    <w:rsid w:val="00C91585"/>
    <w:rsid w:val="00CD26C2"/>
    <w:rsid w:val="00CE1C07"/>
    <w:rsid w:val="00CE6B25"/>
    <w:rsid w:val="00CF7865"/>
    <w:rsid w:val="00D26DCD"/>
    <w:rsid w:val="00D35723"/>
    <w:rsid w:val="00D44DCA"/>
    <w:rsid w:val="00D50A15"/>
    <w:rsid w:val="00D54F3E"/>
    <w:rsid w:val="00D562C9"/>
    <w:rsid w:val="00D6046F"/>
    <w:rsid w:val="00D61673"/>
    <w:rsid w:val="00D6333B"/>
    <w:rsid w:val="00D67F8A"/>
    <w:rsid w:val="00D75513"/>
    <w:rsid w:val="00D75BA6"/>
    <w:rsid w:val="00D8788B"/>
    <w:rsid w:val="00DA1E42"/>
    <w:rsid w:val="00DA5327"/>
    <w:rsid w:val="00DA606A"/>
    <w:rsid w:val="00DB5D15"/>
    <w:rsid w:val="00DC4145"/>
    <w:rsid w:val="00DD0E77"/>
    <w:rsid w:val="00DD7C73"/>
    <w:rsid w:val="00DE7244"/>
    <w:rsid w:val="00DF02DB"/>
    <w:rsid w:val="00E055AF"/>
    <w:rsid w:val="00E07B6E"/>
    <w:rsid w:val="00E25312"/>
    <w:rsid w:val="00E27274"/>
    <w:rsid w:val="00E274F9"/>
    <w:rsid w:val="00E30629"/>
    <w:rsid w:val="00E46F80"/>
    <w:rsid w:val="00E54143"/>
    <w:rsid w:val="00E62DEB"/>
    <w:rsid w:val="00E643E3"/>
    <w:rsid w:val="00E65FF0"/>
    <w:rsid w:val="00E6723C"/>
    <w:rsid w:val="00E83CB8"/>
    <w:rsid w:val="00E84F38"/>
    <w:rsid w:val="00E85279"/>
    <w:rsid w:val="00E90C2F"/>
    <w:rsid w:val="00EA0FB2"/>
    <w:rsid w:val="00EA20D7"/>
    <w:rsid w:val="00EA2D16"/>
    <w:rsid w:val="00EA797A"/>
    <w:rsid w:val="00EB2863"/>
    <w:rsid w:val="00EB4908"/>
    <w:rsid w:val="00EC1D1B"/>
    <w:rsid w:val="00ED5F89"/>
    <w:rsid w:val="00EE27DC"/>
    <w:rsid w:val="00EF07A0"/>
    <w:rsid w:val="00EF7705"/>
    <w:rsid w:val="00F0653B"/>
    <w:rsid w:val="00F21819"/>
    <w:rsid w:val="00F26985"/>
    <w:rsid w:val="00F27937"/>
    <w:rsid w:val="00F30C59"/>
    <w:rsid w:val="00F316B5"/>
    <w:rsid w:val="00F336C2"/>
    <w:rsid w:val="00F3435D"/>
    <w:rsid w:val="00F346A4"/>
    <w:rsid w:val="00F359CD"/>
    <w:rsid w:val="00F37BE5"/>
    <w:rsid w:val="00F46531"/>
    <w:rsid w:val="00F474E4"/>
    <w:rsid w:val="00F54583"/>
    <w:rsid w:val="00F54C71"/>
    <w:rsid w:val="00F71039"/>
    <w:rsid w:val="00F8187A"/>
    <w:rsid w:val="00F838C4"/>
    <w:rsid w:val="00F868AB"/>
    <w:rsid w:val="00F92452"/>
    <w:rsid w:val="00FB1DCB"/>
    <w:rsid w:val="00FB2F27"/>
    <w:rsid w:val="00FC3942"/>
    <w:rsid w:val="00FC7FF6"/>
    <w:rsid w:val="00FD27CC"/>
    <w:rsid w:val="00FD49B9"/>
    <w:rsid w:val="080C5E6F"/>
    <w:rsid w:val="0A2E39AB"/>
    <w:rsid w:val="0B7429CF"/>
    <w:rsid w:val="0C630441"/>
    <w:rsid w:val="0E2222D5"/>
    <w:rsid w:val="0F5C4DD4"/>
    <w:rsid w:val="100D5FC3"/>
    <w:rsid w:val="10CA4351"/>
    <w:rsid w:val="133D6DAA"/>
    <w:rsid w:val="14E84921"/>
    <w:rsid w:val="155D1885"/>
    <w:rsid w:val="15D05CE2"/>
    <w:rsid w:val="191463A8"/>
    <w:rsid w:val="1B865557"/>
    <w:rsid w:val="1FF31D2D"/>
    <w:rsid w:val="20227927"/>
    <w:rsid w:val="210F77F8"/>
    <w:rsid w:val="26616061"/>
    <w:rsid w:val="29B80CEA"/>
    <w:rsid w:val="2A016BE6"/>
    <w:rsid w:val="2A0B5232"/>
    <w:rsid w:val="2A85052F"/>
    <w:rsid w:val="2AA645E2"/>
    <w:rsid w:val="2AFB4E94"/>
    <w:rsid w:val="2BA325DC"/>
    <w:rsid w:val="2C332891"/>
    <w:rsid w:val="30DD6AE1"/>
    <w:rsid w:val="340B6910"/>
    <w:rsid w:val="3EE01594"/>
    <w:rsid w:val="3FE647F5"/>
    <w:rsid w:val="40160D07"/>
    <w:rsid w:val="421A0655"/>
    <w:rsid w:val="465D16AD"/>
    <w:rsid w:val="494A239B"/>
    <w:rsid w:val="4E57277B"/>
    <w:rsid w:val="4E5B509D"/>
    <w:rsid w:val="52D3569F"/>
    <w:rsid w:val="541152B4"/>
    <w:rsid w:val="54EA2DFC"/>
    <w:rsid w:val="57B3191D"/>
    <w:rsid w:val="5A311DB8"/>
    <w:rsid w:val="5B832F76"/>
    <w:rsid w:val="61264A0C"/>
    <w:rsid w:val="69A90844"/>
    <w:rsid w:val="69D9313B"/>
    <w:rsid w:val="6A2A7555"/>
    <w:rsid w:val="6AAD19CD"/>
    <w:rsid w:val="6AC912D5"/>
    <w:rsid w:val="6E4865DB"/>
    <w:rsid w:val="6EF634D5"/>
    <w:rsid w:val="702B0A44"/>
    <w:rsid w:val="725A50C6"/>
    <w:rsid w:val="740B2C95"/>
    <w:rsid w:val="76361F4D"/>
    <w:rsid w:val="766A54D2"/>
    <w:rsid w:val="76891469"/>
    <w:rsid w:val="77B12DBF"/>
    <w:rsid w:val="792E06D1"/>
    <w:rsid w:val="79956894"/>
    <w:rsid w:val="79B77CFF"/>
    <w:rsid w:val="7A1C28C1"/>
    <w:rsid w:val="7CAF6E6F"/>
    <w:rsid w:val="7D2C2C63"/>
    <w:rsid w:val="7D2F2564"/>
    <w:rsid w:val="7E272FAB"/>
    <w:rsid w:val="7EBF76E9"/>
    <w:rsid w:val="7FC76F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locked/>
    <w:uiPriority w:val="99"/>
    <w:rPr>
      <w:rFonts w:ascii="黑体" w:hAnsi="黑体" w:eastAsia="黑体"/>
      <w:b/>
      <w:bCs/>
      <w:sz w:val="36"/>
      <w:szCs w:val="36"/>
    </w:rPr>
  </w:style>
  <w:style w:type="paragraph" w:styleId="3">
    <w:name w:val="annotation text"/>
    <w:basedOn w:val="1"/>
    <w:link w:val="30"/>
    <w:semiHidden/>
    <w:unhideWhenUsed/>
    <w:qFormat/>
    <w:uiPriority w:val="99"/>
    <w:pPr>
      <w:jc w:val="left"/>
    </w:pPr>
  </w:style>
  <w:style w:type="paragraph" w:styleId="4">
    <w:name w:val="Date"/>
    <w:basedOn w:val="1"/>
    <w:next w:val="1"/>
    <w:link w:val="20"/>
    <w:semiHidden/>
    <w:qFormat/>
    <w:uiPriority w:val="99"/>
    <w:pPr>
      <w:ind w:left="100" w:leftChars="2500"/>
    </w:pPr>
  </w:style>
  <w:style w:type="paragraph" w:styleId="5">
    <w:name w:val="Balloon Text"/>
    <w:basedOn w:val="1"/>
    <w:link w:val="21"/>
    <w:semiHidden/>
    <w:qFormat/>
    <w:uiPriority w:val="99"/>
    <w:rPr>
      <w:sz w:val="18"/>
      <w:szCs w:val="18"/>
    </w:rPr>
  </w:style>
  <w:style w:type="paragraph" w:styleId="6">
    <w:name w:val="footer"/>
    <w:basedOn w:val="1"/>
    <w:link w:val="22"/>
    <w:semiHidden/>
    <w:qFormat/>
    <w:uiPriority w:val="99"/>
    <w:pPr>
      <w:tabs>
        <w:tab w:val="center" w:pos="4153"/>
        <w:tab w:val="right" w:pos="8306"/>
      </w:tabs>
      <w:snapToGrid w:val="0"/>
      <w:jc w:val="left"/>
    </w:pPr>
    <w:rPr>
      <w:sz w:val="18"/>
      <w:szCs w:val="18"/>
    </w:rPr>
  </w:style>
  <w:style w:type="paragraph" w:styleId="7">
    <w:name w:val="header"/>
    <w:basedOn w:val="1"/>
    <w:link w:val="23"/>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31"/>
    <w:semiHidden/>
    <w:unhideWhenUsed/>
    <w:qFormat/>
    <w:uiPriority w:val="99"/>
    <w:rPr>
      <w:b/>
      <w:bCs/>
    </w:rPr>
  </w:style>
  <w:style w:type="table" w:styleId="11">
    <w:name w:val="Table Grid"/>
    <w:basedOn w:val="1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u w:val="none"/>
    </w:rPr>
  </w:style>
  <w:style w:type="character" w:styleId="15">
    <w:name w:val="Emphasis"/>
    <w:basedOn w:val="12"/>
    <w:qFormat/>
    <w:locked/>
    <w:uiPriority w:val="0"/>
    <w:rPr>
      <w:rFonts w:ascii="宋体" w:hAnsi="宋体" w:eastAsia="宋体" w:cs="宋体"/>
      <w:sz w:val="18"/>
      <w:szCs w:val="18"/>
    </w:rPr>
  </w:style>
  <w:style w:type="character" w:styleId="16">
    <w:name w:val="Hyperlink"/>
    <w:basedOn w:val="12"/>
    <w:unhideWhenUsed/>
    <w:qFormat/>
    <w:uiPriority w:val="99"/>
    <w:rPr>
      <w:color w:val="0000FF"/>
      <w:u w:val="none"/>
    </w:rPr>
  </w:style>
  <w:style w:type="character" w:styleId="17">
    <w:name w:val="HTML Code"/>
    <w:basedOn w:val="12"/>
    <w:unhideWhenUsed/>
    <w:qFormat/>
    <w:uiPriority w:val="99"/>
    <w:rPr>
      <w:rFonts w:ascii="宋体" w:hAnsi="宋体" w:eastAsia="宋体" w:cs="宋体"/>
      <w:sz w:val="18"/>
      <w:szCs w:val="18"/>
    </w:rPr>
  </w:style>
  <w:style w:type="character" w:styleId="18">
    <w:name w:val="annotation reference"/>
    <w:basedOn w:val="12"/>
    <w:semiHidden/>
    <w:unhideWhenUsed/>
    <w:qFormat/>
    <w:uiPriority w:val="99"/>
    <w:rPr>
      <w:sz w:val="21"/>
      <w:szCs w:val="21"/>
    </w:rPr>
  </w:style>
  <w:style w:type="character" w:styleId="19">
    <w:name w:val="HTML Cite"/>
    <w:basedOn w:val="12"/>
    <w:unhideWhenUsed/>
    <w:qFormat/>
    <w:uiPriority w:val="99"/>
    <w:rPr>
      <w:rFonts w:ascii="宋体" w:hAnsi="宋体" w:eastAsia="宋体" w:cs="宋体"/>
      <w:sz w:val="18"/>
      <w:szCs w:val="18"/>
    </w:rPr>
  </w:style>
  <w:style w:type="character" w:customStyle="1" w:styleId="20">
    <w:name w:val="日期 Char"/>
    <w:basedOn w:val="12"/>
    <w:link w:val="4"/>
    <w:semiHidden/>
    <w:qFormat/>
    <w:locked/>
    <w:uiPriority w:val="99"/>
    <w:rPr>
      <w:rFonts w:cs="Times New Roman"/>
    </w:rPr>
  </w:style>
  <w:style w:type="character" w:customStyle="1" w:styleId="21">
    <w:name w:val="批注框文本 Char"/>
    <w:basedOn w:val="12"/>
    <w:link w:val="5"/>
    <w:semiHidden/>
    <w:qFormat/>
    <w:locked/>
    <w:uiPriority w:val="99"/>
    <w:rPr>
      <w:rFonts w:cs="Times New Roman"/>
      <w:sz w:val="18"/>
      <w:szCs w:val="18"/>
    </w:rPr>
  </w:style>
  <w:style w:type="character" w:customStyle="1" w:styleId="22">
    <w:name w:val="页脚 Char"/>
    <w:basedOn w:val="12"/>
    <w:link w:val="6"/>
    <w:semiHidden/>
    <w:qFormat/>
    <w:locked/>
    <w:uiPriority w:val="99"/>
    <w:rPr>
      <w:rFonts w:cs="Times New Roman"/>
      <w:sz w:val="18"/>
      <w:szCs w:val="18"/>
    </w:rPr>
  </w:style>
  <w:style w:type="character" w:customStyle="1" w:styleId="23">
    <w:name w:val="页眉 Char"/>
    <w:basedOn w:val="12"/>
    <w:link w:val="7"/>
    <w:semiHidden/>
    <w:qFormat/>
    <w:locked/>
    <w:uiPriority w:val="99"/>
    <w:rPr>
      <w:rFonts w:cs="Times New Roman"/>
      <w:sz w:val="18"/>
      <w:szCs w:val="18"/>
    </w:rPr>
  </w:style>
  <w:style w:type="paragraph" w:customStyle="1" w:styleId="24">
    <w:name w:val="List Paragraph1"/>
    <w:basedOn w:val="1"/>
    <w:qFormat/>
    <w:uiPriority w:val="99"/>
    <w:pPr>
      <w:ind w:firstLine="420" w:firstLineChars="200"/>
    </w:pPr>
  </w:style>
  <w:style w:type="paragraph" w:customStyle="1" w:styleId="25">
    <w:name w:val="char"/>
    <w:basedOn w:val="1"/>
    <w:qFormat/>
    <w:uiPriority w:val="99"/>
    <w:pPr>
      <w:widowControl/>
      <w:spacing w:after="160" w:line="240" w:lineRule="exact"/>
      <w:jc w:val="left"/>
    </w:pPr>
    <w:rPr>
      <w:rFonts w:cs="Times New Roman"/>
      <w:szCs w:val="22"/>
    </w:rPr>
  </w:style>
  <w:style w:type="character" w:customStyle="1" w:styleId="26">
    <w:name w:val="hover42"/>
    <w:basedOn w:val="12"/>
    <w:qFormat/>
    <w:uiPriority w:val="0"/>
    <w:rPr>
      <w:color w:val="000000"/>
      <w:shd w:val="clear" w:color="auto" w:fill="FFFFFF"/>
    </w:rPr>
  </w:style>
  <w:style w:type="character" w:customStyle="1" w:styleId="27">
    <w:name w:val="bsharetext"/>
    <w:basedOn w:val="12"/>
    <w:qFormat/>
    <w:uiPriority w:val="0"/>
  </w:style>
  <w:style w:type="paragraph" w:styleId="28">
    <w:name w:val="List Paragraph"/>
    <w:basedOn w:val="1"/>
    <w:unhideWhenUsed/>
    <w:qFormat/>
    <w:uiPriority w:val="99"/>
    <w:pPr>
      <w:ind w:firstLine="420" w:firstLineChars="200"/>
    </w:pPr>
  </w:style>
  <w:style w:type="character" w:customStyle="1" w:styleId="29">
    <w:name w:val="NormalCharacter"/>
    <w:semiHidden/>
    <w:qFormat/>
    <w:uiPriority w:val="0"/>
  </w:style>
  <w:style w:type="character" w:customStyle="1" w:styleId="30">
    <w:name w:val="批注文字 Char"/>
    <w:basedOn w:val="12"/>
    <w:link w:val="3"/>
    <w:semiHidden/>
    <w:qFormat/>
    <w:uiPriority w:val="99"/>
    <w:rPr>
      <w:rFonts w:ascii="Calibri" w:hAnsi="Calibri" w:cs="Calibri"/>
      <w:kern w:val="2"/>
      <w:sz w:val="21"/>
      <w:szCs w:val="21"/>
    </w:rPr>
  </w:style>
  <w:style w:type="character" w:customStyle="1" w:styleId="31">
    <w:name w:val="批注主题 Char"/>
    <w:basedOn w:val="30"/>
    <w:link w:val="9"/>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9D621E-A701-4728-94B7-0309DE5B73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2667</Words>
  <Characters>2869</Characters>
  <Lines>23</Lines>
  <Paragraphs>6</Paragraphs>
  <TotalTime>0</TotalTime>
  <ScaleCrop>false</ScaleCrop>
  <LinksUpToDate>false</LinksUpToDate>
  <CharactersWithSpaces>2979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2020-04-29T07:11:00Z</dcterms:created>
  <dc:creator>Administrator</dc:creator>
  <cp:lastModifiedBy>小武子</cp:lastModifiedBy>
  <cp:lastPrinted>2022-04-25T04:55:00Z</cp:lastPrinted>
  <dcterms:modified xsi:type="dcterms:W3CDTF">2022-04-25T09:42:35Z</dcterms:modified>
  <dc:title>2015年益阳市司法局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eyJoZGlkIjoiOWZlY2I3NTY2MjIxNDc0ZGU5NzYwMTQ1NGRhMGM1ODcifQ==</vt:lpwstr>
  </property>
  <property fmtid="{D5CDD505-2E9C-101B-9397-08002B2CF9AE}" pid="4" name="ICV">
    <vt:lpwstr>EDD91FE364094476BB4C94C5E8E75AAA</vt:lpwstr>
  </property>
</Properties>
</file>