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2020年度市电子政务外网平台中心机房租赁费及运行维护费绩效自评报告</w:t>
      </w:r>
    </w:p>
    <w:p>
      <w:pPr>
        <w:adjustRightInd w:val="0"/>
        <w:spacing w:line="600" w:lineRule="exact"/>
        <w:ind w:right="641"/>
        <w:rPr>
          <w:rFonts w:ascii="Times New Roman" w:hAnsi="Times New Roman"/>
          <w:szCs w:val="32"/>
        </w:rPr>
      </w:pPr>
    </w:p>
    <w:p>
      <w:pPr>
        <w:adjustRightInd w:val="0"/>
        <w:snapToGrid w:val="0"/>
        <w:spacing w:line="600" w:lineRule="exact"/>
        <w:ind w:firstLine="632" w:firstLineChars="200"/>
        <w:rPr>
          <w:rFonts w:ascii="黑体" w:hAnsi="黑体" w:eastAsia="黑体"/>
          <w:szCs w:val="32"/>
        </w:rPr>
      </w:pPr>
      <w:r>
        <w:rPr>
          <w:rFonts w:ascii="黑体" w:hAnsi="黑体" w:eastAsia="黑体"/>
          <w:szCs w:val="32"/>
        </w:rPr>
        <w:t>一、项目概况</w:t>
      </w:r>
    </w:p>
    <w:p>
      <w:pPr>
        <w:adjustRightInd w:val="0"/>
        <w:snapToGrid w:val="0"/>
        <w:spacing w:line="600" w:lineRule="exact"/>
        <w:ind w:firstLine="632" w:firstLineChars="200"/>
        <w:rPr>
          <w:rFonts w:ascii="仿宋_GB2312" w:hAnsi="仿宋"/>
          <w:szCs w:val="32"/>
        </w:rPr>
      </w:pPr>
      <w:r>
        <w:rPr>
          <w:rFonts w:hint="eastAsia" w:ascii="方正仿宋简体" w:hAnsi="方正仿宋简体" w:eastAsia="方正仿宋简体" w:cs="方正仿宋简体"/>
          <w:szCs w:val="32"/>
        </w:rPr>
        <w:t>益阳市电子政务外网平台网络基础设施提供电子政务各项应用所需的通信网络及其管理环境，由政务网络和网络管理中心组成。电子政务外网平台中心机房租赁费及运行维护费主要用于网络管理中心租赁费、专线租赁费、电费、维护费、系统升级改造费等</w:t>
      </w:r>
      <w:r>
        <w:rPr>
          <w:rFonts w:hint="eastAsia" w:ascii="仿宋_GB2312" w:hAnsi="仿宋"/>
          <w:szCs w:val="32"/>
        </w:rPr>
        <w:t>。项目建设内容主要包括：核心机房、网络设备和政务外网专线租赁及电子政务外网核心平台和动力环境部分维护。电子政务外网核心平台维护对象包括路由器、核心交换机、汇聚交换机、单位接入出口设备、负载均衡、防火墙、入侵防御等设备。机房动力环境维护对象包括UPS系统、空调系统、消防系统、防雷系统、门禁系统等。</w:t>
      </w:r>
    </w:p>
    <w:p>
      <w:pPr>
        <w:numPr>
          <w:ilvl w:val="0"/>
          <w:numId w:val="1"/>
        </w:numPr>
        <w:adjustRightInd w:val="0"/>
        <w:snapToGrid w:val="0"/>
        <w:spacing w:line="600" w:lineRule="exact"/>
        <w:ind w:firstLine="632" w:firstLineChars="200"/>
        <w:rPr>
          <w:rFonts w:ascii="黑体" w:hAnsi="黑体" w:eastAsia="黑体"/>
          <w:szCs w:val="32"/>
        </w:rPr>
      </w:pPr>
      <w:r>
        <w:rPr>
          <w:rFonts w:hint="eastAsia" w:ascii="黑体" w:hAnsi="黑体" w:eastAsia="黑体"/>
          <w:szCs w:val="32"/>
        </w:rPr>
        <w:t>绩效自评工作开展情况</w:t>
      </w:r>
    </w:p>
    <w:p>
      <w:pPr>
        <w:spacing w:line="580" w:lineRule="exact"/>
        <w:ind w:firstLine="632" w:firstLineChars="200"/>
        <w:rPr>
          <w:rFonts w:ascii="方正仿宋简体" w:hAnsi="方正仿宋简体" w:eastAsia="方正仿宋简体" w:cs="方正仿宋简体"/>
          <w:szCs w:val="32"/>
        </w:rPr>
      </w:pPr>
      <w:r>
        <w:rPr>
          <w:rFonts w:hint="eastAsia" w:ascii="楷体" w:hAnsi="楷体" w:eastAsia="楷体" w:cs="楷体"/>
          <w:szCs w:val="32"/>
        </w:rPr>
        <w:t>（一）绩效评价目的。</w:t>
      </w:r>
      <w:r>
        <w:rPr>
          <w:rFonts w:hint="eastAsia" w:ascii="方正仿宋简体" w:hAnsi="方正仿宋简体" w:eastAsia="方正仿宋简体" w:cs="方正仿宋简体"/>
          <w:szCs w:val="32"/>
        </w:rPr>
        <w:t>通过开展绩效评价，全面了解、分析项目实施程序是否规范，后期维护是否完善，资金使用、管理是否合规，项目绩效目标是否实现，进一步健全相关制度，规范资金使用、管理，加强项目后期运行维护，确保项目正常运行，提高财政资金使用效益。</w:t>
      </w:r>
    </w:p>
    <w:p>
      <w:pPr>
        <w:spacing w:line="580" w:lineRule="exact"/>
        <w:ind w:firstLine="632" w:firstLineChars="200"/>
        <w:rPr>
          <w:rFonts w:ascii="方正仿宋简体" w:hAnsi="方正仿宋简体" w:cs="方正仿宋简体"/>
          <w:szCs w:val="32"/>
        </w:rPr>
      </w:pPr>
      <w:r>
        <w:rPr>
          <w:rFonts w:hint="eastAsia" w:ascii="楷体" w:hAnsi="楷体" w:eastAsia="楷体" w:cs="楷体"/>
          <w:szCs w:val="32"/>
        </w:rPr>
        <w:t>（二）绩效评价过程。</w:t>
      </w:r>
      <w:r>
        <w:rPr>
          <w:rFonts w:hint="eastAsia" w:ascii="仿宋_GB2312" w:hAnsi="仿宋"/>
          <w:szCs w:val="32"/>
        </w:rPr>
        <w:t>根据《益阳市财政局关于开展2020年度部门绩效自评工作的通知》文件要求，我单位成立了绩效评价小组，对2020年度智慧益阳管理中心电费项目开展了绩效自评工作：</w:t>
      </w:r>
    </w:p>
    <w:p>
      <w:pPr>
        <w:spacing w:line="580" w:lineRule="exact"/>
        <w:ind w:firstLine="632" w:firstLineChars="200"/>
        <w:rPr>
          <w:rFonts w:ascii="方正仿宋简体" w:hAnsi="方正仿宋简体" w:eastAsia="方正仿宋简体" w:cs="方正仿宋简体"/>
          <w:szCs w:val="32"/>
        </w:rPr>
      </w:pPr>
      <w:r>
        <w:rPr>
          <w:rFonts w:hint="eastAsia" w:ascii="方正仿宋简体" w:hAnsi="方正仿宋简体" w:eastAsia="方正仿宋简体" w:cs="方正仿宋简体"/>
          <w:b/>
          <w:bCs/>
          <w:szCs w:val="32"/>
        </w:rPr>
        <w:t>1、做好前期准备。</w:t>
      </w:r>
      <w:r>
        <w:rPr>
          <w:rFonts w:hint="eastAsia" w:ascii="方正仿宋简体" w:hAnsi="方正仿宋简体" w:eastAsia="方正仿宋简体" w:cs="方正仿宋简体"/>
          <w:szCs w:val="32"/>
        </w:rPr>
        <w:t>抽调专人成立绩效评价工作小组，明确了工作职责，制定了现场评价方案，联系相关部门单位，确定工作安排。</w:t>
      </w:r>
    </w:p>
    <w:p>
      <w:pPr>
        <w:adjustRightInd w:val="0"/>
        <w:snapToGrid w:val="0"/>
        <w:spacing w:line="600" w:lineRule="exact"/>
        <w:ind w:firstLine="632" w:firstLineChars="200"/>
        <w:rPr>
          <w:rFonts w:ascii="方正仿宋简体" w:hAnsi="方正仿宋简体" w:eastAsia="方正仿宋简体" w:cs="方正仿宋简体"/>
          <w:szCs w:val="32"/>
        </w:rPr>
      </w:pPr>
      <w:r>
        <w:rPr>
          <w:rFonts w:hint="eastAsia" w:ascii="方正仿宋简体" w:hAnsi="方正仿宋简体" w:eastAsia="方正仿宋简体" w:cs="方正仿宋简体"/>
          <w:b/>
          <w:bCs/>
          <w:szCs w:val="32"/>
        </w:rPr>
        <w:t>2、明确实施步骤。</w:t>
      </w:r>
      <w:r>
        <w:rPr>
          <w:rFonts w:hint="eastAsia" w:ascii="方正仿宋简体" w:hAnsi="方正仿宋简体" w:eastAsia="方正仿宋简体" w:cs="方正仿宋简体"/>
          <w:szCs w:val="32"/>
        </w:rPr>
        <w:t>（1）召开座谈会。组织分管领导、财务及项目负责人等召开座谈会，听取项目资金使用有关情况介绍；（2）收集核查资料。收集相关制度建设文件，查验项目运行、管理和维护情况等，核查相关制度是否完善，检查财务会计凭证，资金拨付手续是否齐全，是否存在截留、挪用等情况。（3）现场查看。到租赁的移动数据机房现场查看，走访移动公司，了解设备运行情况及优化建议等。（4）形成结论，撰写评价报告。</w:t>
      </w:r>
    </w:p>
    <w:p>
      <w:pPr>
        <w:adjustRightInd w:val="0"/>
        <w:snapToGrid w:val="0"/>
        <w:spacing w:line="600" w:lineRule="exact"/>
        <w:ind w:firstLine="632" w:firstLineChars="200"/>
        <w:rPr>
          <w:rFonts w:ascii="黑体" w:hAnsi="黑体" w:eastAsia="黑体"/>
          <w:szCs w:val="32"/>
        </w:rPr>
      </w:pPr>
      <w:r>
        <w:rPr>
          <w:rFonts w:ascii="黑体" w:hAnsi="黑体" w:eastAsia="黑体"/>
          <w:szCs w:val="32"/>
        </w:rPr>
        <w:t>三、</w:t>
      </w:r>
      <w:r>
        <w:rPr>
          <w:rFonts w:hint="eastAsia" w:ascii="黑体" w:hAnsi="黑体" w:eastAsia="黑体"/>
          <w:szCs w:val="32"/>
        </w:rPr>
        <w:t>综合评价结论</w:t>
      </w:r>
    </w:p>
    <w:p>
      <w:pPr>
        <w:adjustRightInd w:val="0"/>
        <w:snapToGrid w:val="0"/>
        <w:spacing w:line="600" w:lineRule="exact"/>
        <w:ind w:firstLine="632" w:firstLineChars="200"/>
        <w:rPr>
          <w:rFonts w:ascii="仿宋_GB2312" w:hAnsi="仿宋"/>
          <w:szCs w:val="32"/>
        </w:rPr>
      </w:pPr>
      <w:r>
        <w:rPr>
          <w:rFonts w:hint="eastAsia" w:ascii="仿宋_GB2312" w:hAnsi="仿宋"/>
          <w:szCs w:val="32"/>
        </w:rPr>
        <w:t>该项目资金管理规范、项目的组织和管理基本有效，项目效果良好，项目的预期绩效基本实现，确保了各项工作的正常运转。根据《2020年度项目支出绩效自评表》该项目自评分为85分，评价等级为“良好”。</w:t>
      </w:r>
    </w:p>
    <w:p>
      <w:pPr>
        <w:adjustRightInd w:val="0"/>
        <w:snapToGrid w:val="0"/>
        <w:spacing w:line="600" w:lineRule="exact"/>
        <w:ind w:left="420" w:firstLine="420"/>
        <w:rPr>
          <w:rFonts w:ascii="黑体" w:hAnsi="黑体" w:eastAsia="黑体"/>
          <w:szCs w:val="32"/>
        </w:rPr>
      </w:pPr>
      <w:r>
        <w:rPr>
          <w:rFonts w:hint="eastAsia" w:ascii="仿宋_GB2312" w:hAnsi="仿宋" w:eastAsia="黑体"/>
          <w:szCs w:val="32"/>
        </w:rPr>
        <w:t>四、</w:t>
      </w:r>
      <w:r>
        <w:rPr>
          <w:rFonts w:hint="eastAsia" w:ascii="黑体" w:hAnsi="黑体" w:eastAsia="黑体"/>
          <w:szCs w:val="32"/>
        </w:rPr>
        <w:t>绩效目标实现情况分析</w:t>
      </w:r>
    </w:p>
    <w:p>
      <w:pPr>
        <w:widowControl/>
        <w:spacing w:line="600" w:lineRule="exact"/>
        <w:ind w:firstLine="632" w:firstLineChars="200"/>
        <w:rPr>
          <w:rFonts w:ascii="楷体_GB2312" w:hAnsi="仿宋" w:eastAsia="楷体_GB2312"/>
          <w:szCs w:val="32"/>
        </w:rPr>
      </w:pPr>
      <w:r>
        <w:rPr>
          <w:rFonts w:hint="eastAsia" w:ascii="楷体_GB2312" w:hAnsi="仿宋" w:eastAsia="楷体_GB2312"/>
          <w:szCs w:val="32"/>
        </w:rPr>
        <w:t>（一）项目资金使用及管理情况</w:t>
      </w:r>
    </w:p>
    <w:p>
      <w:pPr>
        <w:ind w:firstLine="632" w:firstLineChars="200"/>
        <w:rPr>
          <w:rFonts w:ascii="方正仿宋简体" w:hAnsi="方正仿宋简体" w:eastAsia="方正仿宋简体" w:cs="方正仿宋简体"/>
          <w:szCs w:val="32"/>
        </w:rPr>
      </w:pPr>
      <w:r>
        <w:rPr>
          <w:rFonts w:hint="eastAsia" w:ascii="方正仿宋简体" w:hAnsi="方正仿宋简体" w:eastAsia="方正仿宋简体" w:cs="方正仿宋简体"/>
          <w:szCs w:val="32"/>
        </w:rPr>
        <w:t>2020年安排外网平台机房租赁及运行维护费180万，已支付82万，结余98万，待系统升级改造项目完成后于2021年年初完成剩余资金支付</w:t>
      </w:r>
      <w:r>
        <w:rPr>
          <w:rFonts w:hint="eastAsia" w:ascii="方正仿宋_GBK" w:hAnsi="方正仿宋_GBK" w:eastAsia="方正仿宋_GBK" w:cs="方正仿宋_GBK"/>
          <w:sz w:val="30"/>
          <w:szCs w:val="30"/>
        </w:rPr>
        <w:t>。</w:t>
      </w:r>
    </w:p>
    <w:p>
      <w:pPr>
        <w:ind w:firstLine="592" w:firstLineChars="200"/>
        <w:rPr>
          <w:rFonts w:ascii="仿宋_GB2312" w:hAnsi="仿宋"/>
          <w:szCs w:val="32"/>
        </w:rPr>
      </w:pPr>
      <w:r>
        <w:rPr>
          <w:rFonts w:hint="eastAsia" w:ascii="方正仿宋_GBK" w:hAnsi="方正仿宋_GBK" w:eastAsia="方正仿宋_GBK" w:cs="方正仿宋_GBK"/>
          <w:sz w:val="30"/>
          <w:szCs w:val="30"/>
        </w:rPr>
        <w:t>该项目资金支付程序合规，手续齐全，</w:t>
      </w:r>
      <w:r>
        <w:rPr>
          <w:rFonts w:hint="eastAsia" w:ascii="仿宋_GB2312" w:hAnsi="仿宋"/>
          <w:szCs w:val="32"/>
        </w:rPr>
        <w:t>单位切实加强专项经费资金规范管理，提高资金使用效益，专款专用，对支出进行严格审核，厉行节约，充分发挥资金的效益，做到专项经费专款专用，会计核算真实、准确。本次项目绩效评价工作中，通过认真检查、核对会计凭证、会计账簿记录、账证相符，未发现违规、违纪行为。</w:t>
      </w:r>
    </w:p>
    <w:p>
      <w:pPr>
        <w:widowControl/>
        <w:spacing w:line="600" w:lineRule="exact"/>
        <w:ind w:firstLine="632" w:firstLineChars="200"/>
        <w:rPr>
          <w:rFonts w:ascii="楷体_GB2312" w:hAnsi="仿宋" w:eastAsia="楷体_GB2312"/>
          <w:szCs w:val="32"/>
        </w:rPr>
      </w:pPr>
      <w:r>
        <w:rPr>
          <w:rFonts w:hint="eastAsia" w:ascii="楷体_GB2312" w:hAnsi="仿宋" w:eastAsia="楷体_GB2312"/>
          <w:szCs w:val="32"/>
        </w:rPr>
        <w:t>（二）总体绩效目标完成情况分析</w:t>
      </w:r>
    </w:p>
    <w:p>
      <w:pPr>
        <w:widowControl/>
        <w:spacing w:line="600" w:lineRule="exact"/>
        <w:ind w:firstLine="632" w:firstLineChars="200"/>
        <w:rPr>
          <w:rFonts w:ascii="楷体_GB2312" w:hAnsi="仿宋" w:eastAsia="楷体_GB2312"/>
          <w:szCs w:val="32"/>
        </w:rPr>
      </w:pPr>
      <w:r>
        <w:rPr>
          <w:rFonts w:hint="eastAsia" w:ascii="方正仿宋简体" w:hAnsi="方正仿宋简体" w:eastAsia="方正仿宋简体" w:cs="方正仿宋简体"/>
          <w:szCs w:val="32"/>
        </w:rPr>
        <w:t>该项目保障了电子政务外网的整体运行稳定，提供了7*24小时的保障服务。</w:t>
      </w:r>
      <w:r>
        <w:rPr>
          <w:rFonts w:hint="eastAsia" w:cs="Arial"/>
        </w:rPr>
        <w:t>租赁机房动环情况稳定，租赁网络设备及线路达到网络组网需求并且运行稳定。保障市电子政务外网平台网络运行稳定、应用系统使用正常。</w:t>
      </w:r>
      <w:r>
        <w:rPr>
          <w:rFonts w:hint="eastAsia" w:ascii="方正仿宋简体" w:hAnsi="方正仿宋简体" w:eastAsia="方正仿宋简体" w:cs="方正仿宋简体"/>
          <w:szCs w:val="32"/>
        </w:rPr>
        <w:t>通过对信息系统基础资源进行监控和管理，及时掌握了网络信息系统资源现状和配置信息，反映信息系统资源的可用性和健康状况，保证了用户信息系统与各类业务应用系统的安全、高效、持续运行。</w:t>
      </w:r>
    </w:p>
    <w:p>
      <w:pPr>
        <w:widowControl/>
        <w:numPr>
          <w:ilvl w:val="0"/>
          <w:numId w:val="2"/>
        </w:numPr>
        <w:spacing w:line="600" w:lineRule="exact"/>
        <w:ind w:firstLine="632" w:firstLineChars="200"/>
        <w:rPr>
          <w:rFonts w:ascii="楷体_GB2312" w:hAnsi="仿宋" w:eastAsia="楷体_GB2312"/>
          <w:szCs w:val="32"/>
        </w:rPr>
      </w:pPr>
      <w:r>
        <w:rPr>
          <w:rFonts w:hint="eastAsia" w:ascii="楷体_GB2312" w:hAnsi="仿宋" w:eastAsia="楷体_GB2312"/>
          <w:szCs w:val="32"/>
        </w:rPr>
        <w:t>绩效指标完成情况分析</w:t>
      </w:r>
    </w:p>
    <w:p>
      <w:pPr>
        <w:widowControl/>
        <w:spacing w:line="600" w:lineRule="exact"/>
        <w:ind w:firstLine="632" w:firstLineChars="200"/>
        <w:rPr>
          <w:rFonts w:ascii="楷体_GB2312" w:hAnsi="仿宋" w:eastAsia="楷体_GB2312"/>
          <w:szCs w:val="32"/>
        </w:rPr>
      </w:pPr>
      <w:r>
        <w:rPr>
          <w:rFonts w:hint="eastAsia" w:ascii="仿宋_GB2312" w:hAnsi="仿宋"/>
          <w:szCs w:val="32"/>
        </w:rPr>
        <w:t>1、数量指标完成情况。完成租赁核心机房1个、租赁核心及汇聚机房网络设备17台、租赁接入单位出口网络设备150台、租赁政务外网专线150条、完成了机房动环、网络设备、电子政务外网专线运行维护工作；2、质量指标完成情况。市电子政务外网平台网络运行情况及应用系统使用情况各项故障及投诉处理满意度评级为满意；3、时效指标完成情况。全年不间断维护工作，</w:t>
      </w:r>
      <w:r>
        <w:rPr>
          <w:rFonts w:hint="eastAsia" w:ascii="方正仿宋简体" w:hAnsi="方正仿宋简体" w:eastAsia="方正仿宋简体" w:cs="方正仿宋简体"/>
          <w:szCs w:val="32"/>
        </w:rPr>
        <w:t>提供了7*24小时的保障服务</w:t>
      </w:r>
      <w:r>
        <w:rPr>
          <w:rFonts w:hint="eastAsia" w:ascii="仿宋_GB2312" w:hAnsi="仿宋"/>
          <w:szCs w:val="32"/>
        </w:rPr>
        <w:t>；4、经济效益指标完成情况。</w:t>
      </w:r>
      <w:r>
        <w:rPr>
          <w:rFonts w:hint="eastAsia" w:cs="Arial"/>
          <w:kern w:val="0"/>
        </w:rPr>
        <w:t>电子政务外网平台</w:t>
      </w:r>
      <w:r>
        <w:rPr>
          <w:rFonts w:cs="Arial"/>
        </w:rPr>
        <w:t>互联互通的通信网络有助于各级管理部门全面履行职责</w:t>
      </w:r>
      <w:r>
        <w:rPr>
          <w:rFonts w:hint="eastAsia" w:cs="Arial"/>
        </w:rPr>
        <w:t>，降低行政管理成本费用</w:t>
      </w:r>
      <w:r>
        <w:rPr>
          <w:rFonts w:hint="eastAsia" w:cs="Arial"/>
          <w:kern w:val="0"/>
        </w:rPr>
        <w:t>；5、社会效益指标</w:t>
      </w:r>
      <w:r>
        <w:rPr>
          <w:rFonts w:hint="eastAsia" w:ascii="仿宋_GB2312" w:hAnsi="仿宋"/>
          <w:szCs w:val="32"/>
        </w:rPr>
        <w:t>完成情况。</w:t>
      </w:r>
      <w:r>
        <w:rPr>
          <w:rFonts w:hint="eastAsia" w:cs="Arial"/>
          <w:kern w:val="0"/>
        </w:rPr>
        <w:t>电子政务外网平台上联省电子政务网络平台、下联区县电子政务网络平台、横向连接各市直单位，形成一个纵横互通的信息高速通道，实现政府各部门横向互连互通，同时为纵向业务系统运行提供安全、快捷、方便、经济的统一网络通道，从根本上解决我市部门信息资源封闭、数据不能共享和重复建设等问题；6、服务对象满意度指标</w:t>
      </w:r>
      <w:r>
        <w:rPr>
          <w:rFonts w:hint="eastAsia" w:ascii="仿宋_GB2312" w:hAnsi="仿宋"/>
          <w:szCs w:val="32"/>
        </w:rPr>
        <w:t>完成情况。</w:t>
      </w:r>
      <w:r>
        <w:rPr>
          <w:rFonts w:hint="eastAsia" w:cs="Arial"/>
          <w:kern w:val="0"/>
        </w:rPr>
        <w:t>接入单位满意度达到95%以上。</w:t>
      </w:r>
    </w:p>
    <w:p>
      <w:pPr>
        <w:numPr>
          <w:numId w:val="0"/>
        </w:numPr>
        <w:adjustRightInd w:val="0"/>
        <w:snapToGrid w:val="0"/>
        <w:spacing w:line="600" w:lineRule="exact"/>
        <w:ind w:firstLine="632" w:firstLineChars="200"/>
        <w:rPr>
          <w:rFonts w:ascii="黑体" w:hAnsi="黑体" w:eastAsia="黑体"/>
          <w:szCs w:val="32"/>
        </w:rPr>
      </w:pPr>
      <w:r>
        <w:rPr>
          <w:rFonts w:hint="eastAsia" w:ascii="黑体" w:hAnsi="黑体" w:eastAsia="黑体"/>
          <w:szCs w:val="32"/>
          <w:lang w:eastAsia="zh-CN"/>
        </w:rPr>
        <w:t>五、</w:t>
      </w:r>
      <w:r>
        <w:rPr>
          <w:rFonts w:hint="eastAsia" w:ascii="黑体" w:hAnsi="黑体" w:eastAsia="黑体"/>
          <w:szCs w:val="32"/>
        </w:rPr>
        <w:t>存在的问题和改进措施</w:t>
      </w:r>
    </w:p>
    <w:p>
      <w:pPr>
        <w:numPr>
          <w:ilvl w:val="0"/>
          <w:numId w:val="3"/>
        </w:numPr>
        <w:spacing w:line="520" w:lineRule="exact"/>
        <w:ind w:firstLine="640"/>
        <w:rPr>
          <w:rFonts w:ascii="仿宋" w:hAnsi="仿宋" w:eastAsia="仿宋"/>
        </w:rPr>
      </w:pPr>
      <w:r>
        <w:rPr>
          <w:rFonts w:hint="eastAsia" w:ascii="仿宋" w:hAnsi="仿宋" w:eastAsia="仿宋"/>
        </w:rPr>
        <w:t>预算执行效率有待提高。对项目升级改造整体规划力度不足，导致项目资金累计结转结余费用偏高，资金使用效率有待进一步提高。</w:t>
      </w:r>
    </w:p>
    <w:p>
      <w:pPr>
        <w:numPr>
          <w:ilvl w:val="0"/>
          <w:numId w:val="3"/>
        </w:numPr>
        <w:spacing w:line="520" w:lineRule="exact"/>
        <w:ind w:firstLine="640"/>
        <w:rPr>
          <w:rFonts w:ascii="仿宋" w:hAnsi="仿宋" w:eastAsia="仿宋"/>
        </w:rPr>
      </w:pPr>
      <w:r>
        <w:rPr>
          <w:rFonts w:hint="eastAsia" w:cs="Arial"/>
        </w:rPr>
        <w:t>故障响应时效有待提升。下一步将继续完善故障处理机制，更及时处理故障情况，保障市电子政务外网平台网络运行稳定、应用系统使用正常。</w:t>
      </w:r>
    </w:p>
    <w:p>
      <w:pPr>
        <w:spacing w:line="520" w:lineRule="exact"/>
        <w:ind w:firstLine="640"/>
        <w:rPr>
          <w:rFonts w:cs="Arial"/>
        </w:rPr>
      </w:pPr>
      <w:r>
        <w:rPr>
          <w:rFonts w:hint="eastAsia" w:ascii="仿宋" w:hAnsi="仿宋" w:eastAsia="仿宋"/>
        </w:rPr>
        <w:t>（三）项目后期维护管理有待加强。对后期运维考核不足，下一步将加强后期运维考核管理，建立健全项目运维考核管理办法，将运营维护服务考核结果与年度服务费用支付挂钩，定期对机房进行巡检，跟踪设备运行情况，进一步提高设备运行效率。</w:t>
      </w:r>
    </w:p>
    <w:p>
      <w:pPr>
        <w:numPr>
          <w:numId w:val="0"/>
        </w:numPr>
        <w:adjustRightInd w:val="0"/>
        <w:snapToGrid w:val="0"/>
        <w:spacing w:line="600" w:lineRule="exact"/>
        <w:ind w:firstLine="632" w:firstLineChars="200"/>
        <w:rPr>
          <w:rFonts w:ascii="黑体" w:hAnsi="黑体" w:eastAsia="黑体"/>
          <w:szCs w:val="32"/>
        </w:rPr>
      </w:pPr>
      <w:bookmarkStart w:id="0" w:name="_GoBack"/>
      <w:bookmarkEnd w:id="0"/>
      <w:r>
        <w:rPr>
          <w:rFonts w:hint="eastAsia" w:ascii="黑体" w:hAnsi="黑体" w:eastAsia="黑体"/>
          <w:szCs w:val="32"/>
          <w:lang w:eastAsia="zh-CN"/>
        </w:rPr>
        <w:t>六、</w:t>
      </w:r>
      <w:r>
        <w:rPr>
          <w:rFonts w:hint="eastAsia" w:ascii="黑体" w:hAnsi="黑体" w:eastAsia="黑体"/>
          <w:szCs w:val="32"/>
        </w:rPr>
        <w:t>绩效自评结果拟应用和公开情况</w:t>
      </w:r>
    </w:p>
    <w:p>
      <w:pPr>
        <w:adjustRightInd w:val="0"/>
        <w:snapToGrid w:val="0"/>
        <w:spacing w:line="600" w:lineRule="exact"/>
        <w:ind w:firstLine="632" w:firstLineChars="200"/>
        <w:rPr>
          <w:rFonts w:hint="eastAsia" w:ascii="仿宋_GB2312" w:hAnsi="仿宋"/>
          <w:szCs w:val="32"/>
        </w:rPr>
      </w:pPr>
      <w:r>
        <w:rPr>
          <w:rFonts w:hint="eastAsia" w:ascii="仿宋_GB2312" w:hAnsi="仿宋"/>
          <w:szCs w:val="32"/>
        </w:rPr>
        <w:t>我单位将继续认真履职，完成项目经费支出信息公开、项目专项资金监审等相关工作。按市财政局及相关部门的要求完成绩效自评工作，将自评结果运用于实际工作，并将绩效自评结果在我单位进行公开。</w:t>
      </w:r>
    </w:p>
    <w:p>
      <w:pPr>
        <w:adjustRightInd w:val="0"/>
        <w:snapToGrid w:val="0"/>
        <w:spacing w:line="600" w:lineRule="exact"/>
        <w:ind w:firstLine="632" w:firstLineChars="200"/>
        <w:rPr>
          <w:rFonts w:hint="eastAsia" w:ascii="仿宋_GB2312" w:hAnsi="仿宋"/>
          <w:szCs w:val="32"/>
        </w:rPr>
      </w:pPr>
    </w:p>
    <w:p>
      <w:pPr>
        <w:adjustRightInd w:val="0"/>
        <w:snapToGrid w:val="0"/>
        <w:spacing w:line="600" w:lineRule="exact"/>
        <w:ind w:firstLine="632" w:firstLineChars="200"/>
        <w:rPr>
          <w:rFonts w:hint="eastAsia" w:ascii="仿宋_GB2312" w:hAnsi="仿宋"/>
          <w:szCs w:val="32"/>
        </w:rPr>
      </w:pPr>
      <w:r>
        <w:rPr>
          <w:rFonts w:hint="eastAsia" w:ascii="仿宋_GB2312" w:hAnsi="仿宋"/>
          <w:szCs w:val="32"/>
        </w:rPr>
        <w:t>附件</w:t>
      </w:r>
      <w:r>
        <w:rPr>
          <w:rFonts w:hint="eastAsia" w:ascii="仿宋_GB2312" w:hAnsi="仿宋"/>
          <w:szCs w:val="32"/>
          <w:lang w:eastAsia="zh-CN"/>
        </w:rPr>
        <w:t>：</w:t>
      </w:r>
      <w:r>
        <w:rPr>
          <w:rFonts w:hint="eastAsia" w:ascii="仿宋_GB2312" w:hAnsi="仿宋"/>
          <w:szCs w:val="32"/>
        </w:rPr>
        <w:t>2020年度项目支出绩效自评表</w:t>
      </w:r>
    </w:p>
    <w:p>
      <w:pPr>
        <w:adjustRightInd w:val="0"/>
        <w:snapToGrid w:val="0"/>
        <w:spacing w:line="600" w:lineRule="exact"/>
        <w:ind w:firstLine="632" w:firstLineChars="200"/>
        <w:rPr>
          <w:rFonts w:ascii="仿宋_GB2312" w:hAnsi="仿宋"/>
          <w:szCs w:val="32"/>
        </w:rPr>
      </w:pPr>
    </w:p>
    <w:p>
      <w:pPr>
        <w:adjustRightInd w:val="0"/>
        <w:snapToGrid w:val="0"/>
        <w:spacing w:line="600" w:lineRule="exact"/>
        <w:ind w:firstLine="632" w:firstLineChars="200"/>
        <w:rPr>
          <w:rFonts w:ascii="仿宋_GB2312" w:hAnsi="仿宋"/>
          <w:szCs w:val="32"/>
        </w:rPr>
      </w:pPr>
    </w:p>
    <w:p>
      <w:pPr>
        <w:adjustRightInd w:val="0"/>
        <w:snapToGrid w:val="0"/>
        <w:spacing w:line="600" w:lineRule="exact"/>
        <w:ind w:firstLine="632" w:firstLineChars="200"/>
        <w:rPr>
          <w:rFonts w:ascii="仿宋_GB2312" w:hAnsi="仿宋"/>
          <w:szCs w:val="32"/>
        </w:rPr>
      </w:pPr>
    </w:p>
    <w:p>
      <w:pPr>
        <w:adjustRightInd w:val="0"/>
        <w:snapToGrid w:val="0"/>
        <w:spacing w:line="600" w:lineRule="exact"/>
        <w:ind w:firstLine="632" w:firstLineChars="200"/>
        <w:rPr>
          <w:rFonts w:ascii="仿宋_GB2312" w:hAnsi="仿宋"/>
          <w:szCs w:val="32"/>
        </w:rPr>
      </w:pPr>
    </w:p>
    <w:p>
      <w:pPr>
        <w:adjustRightInd w:val="0"/>
        <w:snapToGrid w:val="0"/>
        <w:spacing w:line="600" w:lineRule="exact"/>
        <w:ind w:firstLine="632" w:firstLineChars="200"/>
        <w:rPr>
          <w:rFonts w:ascii="仿宋_GB2312" w:hAnsi="仿宋"/>
          <w:szCs w:val="32"/>
        </w:rPr>
      </w:pPr>
    </w:p>
    <w:p>
      <w:pPr>
        <w:adjustRightInd w:val="0"/>
        <w:snapToGrid w:val="0"/>
        <w:spacing w:line="600" w:lineRule="exact"/>
        <w:ind w:firstLine="632" w:firstLineChars="200"/>
        <w:rPr>
          <w:rFonts w:ascii="仿宋_GB2312" w:hAnsi="仿宋"/>
          <w:szCs w:val="32"/>
        </w:rPr>
      </w:pPr>
    </w:p>
    <w:p>
      <w:pPr>
        <w:adjustRightInd w:val="0"/>
        <w:snapToGrid w:val="0"/>
        <w:spacing w:line="600" w:lineRule="exact"/>
        <w:ind w:firstLine="632" w:firstLineChars="200"/>
        <w:rPr>
          <w:rFonts w:ascii="仿宋_GB2312" w:hAnsi="仿宋"/>
          <w:szCs w:val="32"/>
        </w:rPr>
      </w:pPr>
    </w:p>
    <w:p>
      <w:pPr>
        <w:adjustRightInd w:val="0"/>
        <w:snapToGrid w:val="0"/>
        <w:spacing w:line="600" w:lineRule="exact"/>
        <w:ind w:firstLine="632" w:firstLineChars="200"/>
        <w:rPr>
          <w:rFonts w:ascii="仿宋_GB2312" w:hAnsi="仿宋"/>
          <w:szCs w:val="32"/>
        </w:rPr>
      </w:pPr>
    </w:p>
    <w:p>
      <w:pPr>
        <w:adjustRightInd w:val="0"/>
        <w:snapToGrid w:val="0"/>
        <w:spacing w:line="600" w:lineRule="exact"/>
        <w:ind w:firstLine="632" w:firstLineChars="200"/>
        <w:rPr>
          <w:rFonts w:ascii="仿宋_GB2312" w:hAnsi="仿宋"/>
          <w:szCs w:val="32"/>
        </w:rPr>
      </w:pPr>
    </w:p>
    <w:p>
      <w:pPr>
        <w:adjustRightInd w:val="0"/>
        <w:snapToGrid w:val="0"/>
        <w:spacing w:line="600" w:lineRule="exact"/>
        <w:ind w:firstLine="632" w:firstLineChars="200"/>
        <w:rPr>
          <w:rFonts w:ascii="仿宋_GB2312" w:hAnsi="仿宋"/>
          <w:szCs w:val="32"/>
        </w:rPr>
      </w:pPr>
    </w:p>
    <w:p>
      <w:pPr>
        <w:adjustRightInd w:val="0"/>
        <w:snapToGrid w:val="0"/>
        <w:spacing w:line="600" w:lineRule="exact"/>
        <w:ind w:firstLine="632" w:firstLineChars="200"/>
        <w:rPr>
          <w:rFonts w:ascii="仿宋_GB2312" w:hAnsi="仿宋"/>
          <w:szCs w:val="32"/>
        </w:rPr>
      </w:pPr>
    </w:p>
    <w:p>
      <w:pPr>
        <w:adjustRightInd w:val="0"/>
        <w:snapToGrid w:val="0"/>
        <w:spacing w:line="600" w:lineRule="exact"/>
        <w:rPr>
          <w:rFonts w:ascii="黑体" w:hAnsi="黑体" w:eastAsia="黑体"/>
          <w:sz w:val="30"/>
          <w:szCs w:val="30"/>
        </w:rPr>
      </w:pPr>
    </w:p>
    <w:p>
      <w:pPr>
        <w:adjustRightInd w:val="0"/>
        <w:snapToGrid w:val="0"/>
        <w:spacing w:line="600" w:lineRule="exact"/>
        <w:rPr>
          <w:rFonts w:ascii="黑体" w:hAnsi="黑体" w:eastAsia="黑体"/>
          <w:sz w:val="30"/>
          <w:szCs w:val="30"/>
        </w:rPr>
      </w:pPr>
    </w:p>
    <w:p>
      <w:pPr>
        <w:adjustRightInd w:val="0"/>
        <w:snapToGrid w:val="0"/>
        <w:spacing w:line="600" w:lineRule="exact"/>
        <w:rPr>
          <w:rFonts w:ascii="黑体" w:hAnsi="黑体" w:eastAsia="黑体"/>
          <w:sz w:val="30"/>
          <w:szCs w:val="30"/>
        </w:rPr>
      </w:pPr>
    </w:p>
    <w:p>
      <w:pPr>
        <w:adjustRightInd w:val="0"/>
        <w:snapToGrid w:val="0"/>
        <w:spacing w:line="600" w:lineRule="exact"/>
        <w:rPr>
          <w:rFonts w:ascii="黑体" w:hAnsi="黑体" w:eastAsia="黑体"/>
          <w:sz w:val="30"/>
          <w:szCs w:val="30"/>
        </w:rPr>
      </w:pPr>
      <w:r>
        <w:rPr>
          <w:rFonts w:ascii="黑体" w:hAnsi="黑体" w:eastAsia="黑体"/>
          <w:sz w:val="30"/>
          <w:szCs w:val="30"/>
        </w:rPr>
        <w:t>附件</w:t>
      </w:r>
    </w:p>
    <w:p>
      <w:pPr>
        <w:spacing w:line="400" w:lineRule="exact"/>
        <w:jc w:val="center"/>
        <w:rPr>
          <w:rFonts w:ascii="仿宋_GB2312" w:hAnsi="仿宋"/>
          <w:szCs w:val="32"/>
        </w:rPr>
      </w:pPr>
      <w:r>
        <w:rPr>
          <w:rFonts w:ascii="方正小标宋简体" w:eastAsia="方正小标宋简体"/>
          <w:kern w:val="0"/>
          <w:sz w:val="30"/>
          <w:szCs w:val="30"/>
        </w:rPr>
        <w:t>2020年度项目支出绩效自评表</w:t>
      </w:r>
    </w:p>
    <w:tbl>
      <w:tblPr>
        <w:tblStyle w:val="5"/>
        <w:tblW w:w="10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1135"/>
        <w:gridCol w:w="1135"/>
        <w:gridCol w:w="1287"/>
        <w:gridCol w:w="1192"/>
        <w:gridCol w:w="1192"/>
        <w:gridCol w:w="870"/>
        <w:gridCol w:w="918"/>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34" w:type="dxa"/>
            <w:tcBorders>
              <w:tl2br w:val="nil"/>
              <w:tr2bl w:val="nil"/>
            </w:tcBorders>
            <w:noWrap/>
            <w:vAlign w:val="center"/>
          </w:tcPr>
          <w:p>
            <w:pPr>
              <w:widowControl/>
              <w:spacing w:line="260" w:lineRule="exact"/>
              <w:jc w:val="center"/>
              <w:rPr>
                <w:rFonts w:ascii="Times New Roman" w:hAnsi="Times New Roman"/>
                <w:color w:val="000000"/>
                <w:kern w:val="0"/>
                <w:sz w:val="21"/>
                <w:szCs w:val="21"/>
              </w:rPr>
            </w:pPr>
            <w:r>
              <w:rPr>
                <w:rFonts w:ascii="Times New Roman" w:hAnsi="Times New Roman"/>
                <w:color w:val="000000"/>
                <w:kern w:val="0"/>
                <w:sz w:val="21"/>
                <w:szCs w:val="21"/>
              </w:rPr>
              <w:t>项目名称</w:t>
            </w:r>
          </w:p>
        </w:tc>
        <w:tc>
          <w:tcPr>
            <w:tcW w:w="9378" w:type="dxa"/>
            <w:gridSpan w:val="8"/>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市电子政务外网平台中心机房租赁费及运行维护费</w:t>
            </w:r>
            <w:r>
              <w:rPr>
                <w:rFonts w:ascii="Times New Roman" w:hAnsi="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34"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主管部门</w:t>
            </w:r>
          </w:p>
        </w:tc>
        <w:tc>
          <w:tcPr>
            <w:tcW w:w="4749" w:type="dxa"/>
            <w:gridSpan w:val="4"/>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益阳市行政审批服务局</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实施单位</w:t>
            </w:r>
          </w:p>
        </w:tc>
        <w:tc>
          <w:tcPr>
            <w:tcW w:w="3437" w:type="dxa"/>
            <w:gridSpan w:val="3"/>
            <w:tcBorders>
              <w:tl2br w:val="nil"/>
              <w:tr2bl w:val="nil"/>
            </w:tcBorders>
            <w:noWrap/>
            <w:vAlign w:val="center"/>
          </w:tcPr>
          <w:p>
            <w:pPr>
              <w:widowControl/>
              <w:textAlignment w:val="center"/>
              <w:rPr>
                <w:rFonts w:ascii="宋体" w:hAnsi="宋体" w:eastAsia="宋体" w:cs="宋体"/>
                <w:color w:val="000000"/>
                <w:sz w:val="18"/>
                <w:szCs w:val="18"/>
              </w:rPr>
            </w:pPr>
            <w:r>
              <w:rPr>
                <w:rFonts w:hint="eastAsia" w:ascii="Times New Roman" w:hAnsi="Times New Roman"/>
                <w:color w:val="000000"/>
                <w:kern w:val="0"/>
                <w:sz w:val="21"/>
                <w:szCs w:val="21"/>
              </w:rPr>
              <w:t>益阳市智慧城市和大数据中心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34" w:type="dxa"/>
            <w:vMerge w:val="restart"/>
            <w:tcBorders>
              <w:tl2br w:val="nil"/>
              <w:tr2bl w:val="nil"/>
            </w:tcBorders>
            <w:noWrap/>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项目资金</w:t>
            </w:r>
            <w:r>
              <w:rPr>
                <w:rFonts w:ascii="Times New Roman" w:hAnsi="Times New Roman"/>
                <w:color w:val="000000"/>
                <w:kern w:val="0"/>
                <w:sz w:val="21"/>
                <w:szCs w:val="21"/>
              </w:rPr>
              <w:br w:type="textWrapping"/>
            </w:r>
            <w:r>
              <w:rPr>
                <w:rFonts w:ascii="Times New Roman" w:hAnsi="Times New Roman"/>
                <w:color w:val="000000"/>
                <w:kern w:val="0"/>
                <w:sz w:val="21"/>
                <w:szCs w:val="21"/>
              </w:rPr>
              <w:t>（万元）</w:t>
            </w:r>
          </w:p>
        </w:tc>
        <w:tc>
          <w:tcPr>
            <w:tcW w:w="2270" w:type="dxa"/>
            <w:gridSpan w:val="2"/>
            <w:tcBorders>
              <w:tl2br w:val="nil"/>
              <w:tr2bl w:val="nil"/>
            </w:tcBorders>
            <w:noWrap/>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287" w:type="dxa"/>
            <w:tcBorders>
              <w:tl2br w:val="nil"/>
              <w:tr2bl w:val="nil"/>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年初</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预算数</w:t>
            </w:r>
          </w:p>
        </w:tc>
        <w:tc>
          <w:tcPr>
            <w:tcW w:w="1192" w:type="dxa"/>
            <w:tcBorders>
              <w:tl2br w:val="nil"/>
              <w:tr2bl w:val="nil"/>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全年</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预算数</w:t>
            </w:r>
          </w:p>
        </w:tc>
        <w:tc>
          <w:tcPr>
            <w:tcW w:w="1192" w:type="dxa"/>
            <w:tcBorders>
              <w:tl2br w:val="nil"/>
              <w:tr2bl w:val="nil"/>
            </w:tcBorders>
            <w:noWrap/>
            <w:vAlign w:val="center"/>
          </w:tcPr>
          <w:p>
            <w:pPr>
              <w:spacing w:line="240" w:lineRule="exact"/>
              <w:jc w:val="center"/>
              <w:rPr>
                <w:rFonts w:ascii="Times New Roman" w:hAnsi="Times New Roman"/>
                <w:sz w:val="21"/>
                <w:szCs w:val="21"/>
              </w:rPr>
            </w:pPr>
            <w:r>
              <w:rPr>
                <w:rFonts w:ascii="Times New Roman" w:hAnsi="Times New Roman"/>
                <w:sz w:val="21"/>
                <w:szCs w:val="21"/>
              </w:rPr>
              <w:t>全年</w:t>
            </w:r>
          </w:p>
          <w:p>
            <w:pPr>
              <w:spacing w:line="240" w:lineRule="exact"/>
              <w:jc w:val="center"/>
              <w:rPr>
                <w:rFonts w:ascii="Times New Roman" w:hAnsi="Times New Roman"/>
                <w:sz w:val="21"/>
                <w:szCs w:val="21"/>
              </w:rPr>
            </w:pPr>
            <w:r>
              <w:rPr>
                <w:rFonts w:ascii="Times New Roman" w:hAnsi="Times New Roman"/>
                <w:sz w:val="21"/>
                <w:szCs w:val="21"/>
              </w:rPr>
              <w:t>执行数</w:t>
            </w:r>
          </w:p>
        </w:tc>
        <w:tc>
          <w:tcPr>
            <w:tcW w:w="870" w:type="dxa"/>
            <w:tcBorders>
              <w:tl2br w:val="nil"/>
              <w:tr2bl w:val="nil"/>
            </w:tcBorders>
            <w:noWrap/>
            <w:vAlign w:val="center"/>
          </w:tcPr>
          <w:p>
            <w:pPr>
              <w:jc w:val="center"/>
              <w:rPr>
                <w:rFonts w:ascii="Times New Roman" w:hAnsi="Times New Roman"/>
                <w:sz w:val="21"/>
                <w:szCs w:val="21"/>
              </w:rPr>
            </w:pPr>
            <w:r>
              <w:rPr>
                <w:rFonts w:ascii="Times New Roman" w:hAnsi="Times New Roman"/>
                <w:sz w:val="21"/>
                <w:szCs w:val="21"/>
              </w:rPr>
              <w:t>分值</w:t>
            </w:r>
          </w:p>
        </w:tc>
        <w:tc>
          <w:tcPr>
            <w:tcW w:w="918" w:type="dxa"/>
            <w:tcBorders>
              <w:tl2br w:val="nil"/>
              <w:tr2bl w:val="nil"/>
            </w:tcBorders>
            <w:noWrap/>
            <w:vAlign w:val="center"/>
          </w:tcPr>
          <w:p>
            <w:pPr>
              <w:jc w:val="center"/>
              <w:rPr>
                <w:rFonts w:ascii="Times New Roman" w:hAnsi="Times New Roman"/>
                <w:sz w:val="21"/>
                <w:szCs w:val="21"/>
              </w:rPr>
            </w:pPr>
            <w:r>
              <w:rPr>
                <w:rFonts w:ascii="Times New Roman" w:hAnsi="Times New Roman"/>
                <w:sz w:val="21"/>
                <w:szCs w:val="21"/>
              </w:rPr>
              <w:t>执行率</w:t>
            </w:r>
          </w:p>
        </w:tc>
        <w:tc>
          <w:tcPr>
            <w:tcW w:w="1649" w:type="dxa"/>
            <w:tcBorders>
              <w:tl2br w:val="nil"/>
              <w:tr2bl w:val="nil"/>
            </w:tcBorders>
            <w:noWrap/>
            <w:vAlign w:val="center"/>
          </w:tcPr>
          <w:p>
            <w:pPr>
              <w:jc w:val="center"/>
              <w:rPr>
                <w:rFonts w:ascii="Times New Roman" w:hAnsi="Times New Roman"/>
                <w:sz w:val="21"/>
                <w:szCs w:val="21"/>
              </w:rPr>
            </w:pPr>
            <w:r>
              <w:rPr>
                <w:rFonts w:ascii="Times New Roman" w:hAnsi="Times New Roman"/>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Merge w:val="continue"/>
            <w:tcBorders>
              <w:tl2br w:val="nil"/>
              <w:tr2bl w:val="nil"/>
            </w:tcBorders>
            <w:noWrap/>
            <w:vAlign w:val="center"/>
          </w:tcPr>
          <w:p>
            <w:pPr>
              <w:widowControl/>
              <w:jc w:val="left"/>
              <w:rPr>
                <w:rFonts w:ascii="Times New Roman" w:hAnsi="Times New Roman"/>
                <w:color w:val="000000"/>
                <w:kern w:val="0"/>
                <w:sz w:val="21"/>
                <w:szCs w:val="21"/>
              </w:rPr>
            </w:pPr>
          </w:p>
        </w:tc>
        <w:tc>
          <w:tcPr>
            <w:tcW w:w="2270" w:type="dxa"/>
            <w:gridSpan w:val="2"/>
            <w:tcBorders>
              <w:tl2br w:val="nil"/>
              <w:tr2bl w:val="nil"/>
            </w:tcBorders>
            <w:noWrap/>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年度资金总额　</w:t>
            </w:r>
          </w:p>
        </w:tc>
        <w:tc>
          <w:tcPr>
            <w:tcW w:w="1287"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180</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180</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82</w:t>
            </w:r>
          </w:p>
        </w:tc>
        <w:tc>
          <w:tcPr>
            <w:tcW w:w="870" w:type="dxa"/>
            <w:tcBorders>
              <w:tl2br w:val="nil"/>
              <w:tr2bl w:val="nil"/>
            </w:tcBorders>
            <w:noWrap/>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10</w:t>
            </w:r>
          </w:p>
        </w:tc>
        <w:tc>
          <w:tcPr>
            <w:tcW w:w="918"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46%</w:t>
            </w:r>
          </w:p>
        </w:tc>
        <w:tc>
          <w:tcPr>
            <w:tcW w:w="1649"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Merge w:val="continue"/>
            <w:tcBorders>
              <w:tl2br w:val="nil"/>
              <w:tr2bl w:val="nil"/>
            </w:tcBorders>
            <w:noWrap/>
            <w:vAlign w:val="center"/>
          </w:tcPr>
          <w:p>
            <w:pPr>
              <w:widowControl/>
              <w:jc w:val="left"/>
              <w:rPr>
                <w:rFonts w:ascii="Times New Roman" w:hAnsi="Times New Roman"/>
                <w:color w:val="000000"/>
                <w:kern w:val="0"/>
                <w:sz w:val="21"/>
                <w:szCs w:val="21"/>
              </w:rPr>
            </w:pPr>
          </w:p>
        </w:tc>
        <w:tc>
          <w:tcPr>
            <w:tcW w:w="2270" w:type="dxa"/>
            <w:gridSpan w:val="2"/>
            <w:tcBorders>
              <w:tl2br w:val="nil"/>
              <w:tr2bl w:val="nil"/>
            </w:tcBorders>
            <w:noWrap/>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其中：当年财政拨款　</w:t>
            </w:r>
          </w:p>
        </w:tc>
        <w:tc>
          <w:tcPr>
            <w:tcW w:w="1287"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180</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180</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82</w:t>
            </w:r>
          </w:p>
        </w:tc>
        <w:tc>
          <w:tcPr>
            <w:tcW w:w="870" w:type="dxa"/>
            <w:tcBorders>
              <w:tl2br w:val="nil"/>
              <w:tr2bl w:val="nil"/>
            </w:tcBorders>
            <w:noWrap/>
            <w:vAlign w:val="center"/>
          </w:tcPr>
          <w:p>
            <w:pPr>
              <w:widowControl/>
              <w:jc w:val="center"/>
              <w:rPr>
                <w:rFonts w:ascii="Times New Roman" w:hAnsi="Times New Roman"/>
                <w:color w:val="000000"/>
                <w:kern w:val="0"/>
                <w:sz w:val="21"/>
                <w:szCs w:val="21"/>
              </w:rPr>
            </w:pPr>
          </w:p>
        </w:tc>
        <w:tc>
          <w:tcPr>
            <w:tcW w:w="918" w:type="dxa"/>
            <w:tcBorders>
              <w:tl2br w:val="nil"/>
              <w:tr2bl w:val="nil"/>
            </w:tcBorders>
            <w:noWrap/>
            <w:vAlign w:val="center"/>
          </w:tcPr>
          <w:p>
            <w:pPr>
              <w:widowControl/>
              <w:jc w:val="center"/>
              <w:rPr>
                <w:rFonts w:ascii="Times New Roman" w:hAnsi="Times New Roman"/>
                <w:color w:val="000000"/>
                <w:kern w:val="0"/>
                <w:sz w:val="21"/>
                <w:szCs w:val="21"/>
              </w:rPr>
            </w:pPr>
          </w:p>
        </w:tc>
        <w:tc>
          <w:tcPr>
            <w:tcW w:w="1649" w:type="dxa"/>
            <w:tcBorders>
              <w:tl2br w:val="nil"/>
              <w:tr2bl w:val="nil"/>
            </w:tcBorders>
            <w:noWrap/>
            <w:vAlign w:val="center"/>
          </w:tcPr>
          <w:p>
            <w:pPr>
              <w:widowControl/>
              <w:jc w:val="center"/>
              <w:rPr>
                <w:rFonts w:ascii="Times New Roman" w:hAnsi="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Merge w:val="continue"/>
            <w:tcBorders>
              <w:tl2br w:val="nil"/>
              <w:tr2bl w:val="nil"/>
            </w:tcBorders>
            <w:noWrap/>
            <w:vAlign w:val="center"/>
          </w:tcPr>
          <w:p>
            <w:pPr>
              <w:widowControl/>
              <w:jc w:val="left"/>
              <w:rPr>
                <w:rFonts w:ascii="Times New Roman" w:hAnsi="Times New Roman"/>
                <w:color w:val="000000"/>
                <w:kern w:val="0"/>
                <w:sz w:val="21"/>
                <w:szCs w:val="21"/>
              </w:rPr>
            </w:pPr>
          </w:p>
        </w:tc>
        <w:tc>
          <w:tcPr>
            <w:tcW w:w="2270" w:type="dxa"/>
            <w:gridSpan w:val="2"/>
            <w:tcBorders>
              <w:tl2br w:val="nil"/>
              <w:tr2bl w:val="nil"/>
            </w:tcBorders>
            <w:noWrap/>
            <w:vAlign w:val="center"/>
          </w:tcPr>
          <w:p>
            <w:pPr>
              <w:widowControl/>
              <w:ind w:firstLine="618" w:firstLineChars="300"/>
              <w:jc w:val="left"/>
              <w:rPr>
                <w:rFonts w:ascii="Times New Roman" w:hAnsi="Times New Roman"/>
                <w:color w:val="000000"/>
                <w:kern w:val="0"/>
                <w:sz w:val="21"/>
                <w:szCs w:val="21"/>
              </w:rPr>
            </w:pPr>
            <w:r>
              <w:rPr>
                <w:rFonts w:ascii="Times New Roman" w:hAnsi="Times New Roman"/>
                <w:color w:val="000000"/>
                <w:kern w:val="0"/>
                <w:sz w:val="21"/>
                <w:szCs w:val="21"/>
              </w:rPr>
              <w:t>上年结转资金　</w:t>
            </w:r>
          </w:p>
        </w:tc>
        <w:tc>
          <w:tcPr>
            <w:tcW w:w="1287" w:type="dxa"/>
            <w:tcBorders>
              <w:tl2br w:val="nil"/>
              <w:tr2bl w:val="nil"/>
            </w:tcBorders>
            <w:noWrap/>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92" w:type="dxa"/>
            <w:tcBorders>
              <w:tl2br w:val="nil"/>
              <w:tr2bl w:val="nil"/>
            </w:tcBorders>
            <w:noWrap/>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92" w:type="dxa"/>
            <w:tcBorders>
              <w:tl2br w:val="nil"/>
              <w:tr2bl w:val="nil"/>
            </w:tcBorders>
            <w:noWrap/>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70" w:type="dxa"/>
            <w:tcBorders>
              <w:tl2br w:val="nil"/>
              <w:tr2bl w:val="nil"/>
            </w:tcBorders>
            <w:noWrap/>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8" w:type="dxa"/>
            <w:tcBorders>
              <w:tl2br w:val="nil"/>
              <w:tr2bl w:val="nil"/>
            </w:tcBorders>
            <w:noWrap/>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649" w:type="dxa"/>
            <w:tcBorders>
              <w:tl2br w:val="nil"/>
              <w:tr2bl w:val="nil"/>
            </w:tcBorders>
            <w:noWrap/>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Merge w:val="continue"/>
            <w:tcBorders>
              <w:tl2br w:val="nil"/>
              <w:tr2bl w:val="nil"/>
            </w:tcBorders>
            <w:noWrap/>
            <w:vAlign w:val="center"/>
          </w:tcPr>
          <w:p>
            <w:pPr>
              <w:widowControl/>
              <w:jc w:val="left"/>
              <w:rPr>
                <w:rFonts w:ascii="Times New Roman" w:hAnsi="Times New Roman"/>
                <w:color w:val="000000"/>
                <w:kern w:val="0"/>
                <w:sz w:val="21"/>
                <w:szCs w:val="21"/>
              </w:rPr>
            </w:pPr>
          </w:p>
        </w:tc>
        <w:tc>
          <w:tcPr>
            <w:tcW w:w="2270" w:type="dxa"/>
            <w:gridSpan w:val="2"/>
            <w:tcBorders>
              <w:tl2br w:val="nil"/>
              <w:tr2bl w:val="nil"/>
            </w:tcBorders>
            <w:noWrap/>
            <w:vAlign w:val="center"/>
          </w:tcPr>
          <w:p>
            <w:pPr>
              <w:widowControl/>
              <w:ind w:firstLine="618" w:firstLineChars="300"/>
              <w:jc w:val="left"/>
              <w:rPr>
                <w:rFonts w:ascii="Times New Roman" w:hAnsi="Times New Roman"/>
                <w:color w:val="000000"/>
                <w:kern w:val="0"/>
                <w:sz w:val="21"/>
                <w:szCs w:val="21"/>
              </w:rPr>
            </w:pPr>
            <w:r>
              <w:rPr>
                <w:rFonts w:ascii="Times New Roman" w:hAnsi="Times New Roman"/>
                <w:color w:val="000000"/>
                <w:kern w:val="0"/>
                <w:sz w:val="21"/>
                <w:szCs w:val="21"/>
              </w:rPr>
              <w:t>其他资金</w:t>
            </w:r>
          </w:p>
        </w:tc>
        <w:tc>
          <w:tcPr>
            <w:tcW w:w="1287" w:type="dxa"/>
            <w:tcBorders>
              <w:tl2br w:val="nil"/>
              <w:tr2bl w:val="nil"/>
            </w:tcBorders>
            <w:noWrap/>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92" w:type="dxa"/>
            <w:tcBorders>
              <w:tl2br w:val="nil"/>
              <w:tr2bl w:val="nil"/>
            </w:tcBorders>
            <w:noWrap/>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92" w:type="dxa"/>
            <w:tcBorders>
              <w:tl2br w:val="nil"/>
              <w:tr2bl w:val="nil"/>
            </w:tcBorders>
            <w:noWrap/>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70" w:type="dxa"/>
            <w:tcBorders>
              <w:tl2br w:val="nil"/>
              <w:tr2bl w:val="nil"/>
            </w:tcBorders>
            <w:noWrap/>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8" w:type="dxa"/>
            <w:tcBorders>
              <w:tl2br w:val="nil"/>
              <w:tr2bl w:val="nil"/>
            </w:tcBorders>
            <w:noWrap/>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649" w:type="dxa"/>
            <w:tcBorders>
              <w:tl2br w:val="nil"/>
              <w:tr2bl w:val="nil"/>
            </w:tcBorders>
            <w:noWrap/>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Merge w:val="restart"/>
            <w:tcBorders>
              <w:tl2br w:val="nil"/>
              <w:tr2bl w:val="nil"/>
            </w:tcBorders>
            <w:noWrap/>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年度总体目标</w:t>
            </w:r>
          </w:p>
        </w:tc>
        <w:tc>
          <w:tcPr>
            <w:tcW w:w="4749" w:type="dxa"/>
            <w:gridSpan w:val="4"/>
            <w:tcBorders>
              <w:tl2br w:val="nil"/>
              <w:tr2bl w:val="nil"/>
            </w:tcBorders>
            <w:noWrap/>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预期目标</w:t>
            </w:r>
          </w:p>
        </w:tc>
        <w:tc>
          <w:tcPr>
            <w:tcW w:w="4629" w:type="dxa"/>
            <w:gridSpan w:val="4"/>
            <w:tcBorders>
              <w:tl2br w:val="nil"/>
              <w:tr2bl w:val="nil"/>
            </w:tcBorders>
            <w:noWrap/>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Merge w:val="continue"/>
            <w:tcBorders>
              <w:tl2br w:val="nil"/>
              <w:tr2bl w:val="nil"/>
            </w:tcBorders>
            <w:noWrap/>
            <w:vAlign w:val="center"/>
          </w:tcPr>
          <w:p>
            <w:pPr>
              <w:widowControl/>
              <w:jc w:val="left"/>
              <w:rPr>
                <w:rFonts w:ascii="Times New Roman" w:hAnsi="Times New Roman"/>
                <w:color w:val="000000"/>
                <w:kern w:val="0"/>
                <w:sz w:val="21"/>
                <w:szCs w:val="21"/>
              </w:rPr>
            </w:pPr>
          </w:p>
        </w:tc>
        <w:tc>
          <w:tcPr>
            <w:tcW w:w="4749" w:type="dxa"/>
            <w:gridSpan w:val="4"/>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租赁机房动环情况稳定，租赁网络设备及线路达到网络组网需求并且运行稳定。保障市电子政务外网平台网络运行稳定、应用系统使用正常。</w:t>
            </w:r>
            <w:r>
              <w:rPr>
                <w:rFonts w:ascii="Times New Roman" w:hAnsi="Times New Roman"/>
                <w:color w:val="000000"/>
                <w:kern w:val="0"/>
                <w:sz w:val="21"/>
                <w:szCs w:val="21"/>
              </w:rPr>
              <w:t>　　</w:t>
            </w:r>
          </w:p>
        </w:tc>
        <w:tc>
          <w:tcPr>
            <w:tcW w:w="4629" w:type="dxa"/>
            <w:gridSpan w:val="4"/>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租赁机房动环情况稳定，租赁网络设备及线路达到网络组网需求并且运行稳定。保障市电子政务外网平台网络运行稳定、应用系统使用正常。</w:t>
            </w:r>
            <w:r>
              <w:rPr>
                <w:rFonts w:ascii="Times New Roman" w:hAnsi="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34" w:type="dxa"/>
            <w:vMerge w:val="restart"/>
            <w:tcBorders>
              <w:tl2br w:val="nil"/>
              <w:tr2bl w:val="nil"/>
            </w:tcBorders>
            <w:noWrap/>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绩</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指</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标</w:t>
            </w:r>
          </w:p>
        </w:tc>
        <w:tc>
          <w:tcPr>
            <w:tcW w:w="1135" w:type="dxa"/>
            <w:tcBorders>
              <w:tl2br w:val="nil"/>
              <w:tr2bl w:val="nil"/>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一级指标</w:t>
            </w:r>
          </w:p>
        </w:tc>
        <w:tc>
          <w:tcPr>
            <w:tcW w:w="1135" w:type="dxa"/>
            <w:tcBorders>
              <w:tl2br w:val="nil"/>
              <w:tr2bl w:val="nil"/>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二级指标</w:t>
            </w:r>
          </w:p>
        </w:tc>
        <w:tc>
          <w:tcPr>
            <w:tcW w:w="1287" w:type="dxa"/>
            <w:tcBorders>
              <w:tl2br w:val="nil"/>
              <w:tr2bl w:val="nil"/>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三级指标</w:t>
            </w:r>
          </w:p>
        </w:tc>
        <w:tc>
          <w:tcPr>
            <w:tcW w:w="1192" w:type="dxa"/>
            <w:tcBorders>
              <w:tl2br w:val="nil"/>
              <w:tr2bl w:val="nil"/>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年度</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指标值</w:t>
            </w:r>
          </w:p>
        </w:tc>
        <w:tc>
          <w:tcPr>
            <w:tcW w:w="1192" w:type="dxa"/>
            <w:tcBorders>
              <w:tl2br w:val="nil"/>
              <w:tr2bl w:val="nil"/>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实际</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完成值</w:t>
            </w:r>
          </w:p>
        </w:tc>
        <w:tc>
          <w:tcPr>
            <w:tcW w:w="870" w:type="dxa"/>
            <w:tcBorders>
              <w:tl2br w:val="nil"/>
              <w:tr2bl w:val="nil"/>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分值</w:t>
            </w:r>
          </w:p>
        </w:tc>
        <w:tc>
          <w:tcPr>
            <w:tcW w:w="918" w:type="dxa"/>
            <w:tcBorders>
              <w:tl2br w:val="nil"/>
              <w:tr2bl w:val="nil"/>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得分</w:t>
            </w:r>
          </w:p>
        </w:tc>
        <w:tc>
          <w:tcPr>
            <w:tcW w:w="1649" w:type="dxa"/>
            <w:tcBorders>
              <w:tl2br w:val="nil"/>
              <w:tr2bl w:val="nil"/>
            </w:tcBorders>
            <w:noWrap/>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Merge w:val="continue"/>
            <w:tcBorders>
              <w:tl2br w:val="nil"/>
              <w:tr2bl w:val="nil"/>
            </w:tcBorders>
            <w:noWrap/>
            <w:vAlign w:val="center"/>
          </w:tcPr>
          <w:p>
            <w:pPr>
              <w:jc w:val="left"/>
              <w:rPr>
                <w:rFonts w:ascii="Times New Roman" w:hAnsi="Times New Roman"/>
                <w:color w:val="000000"/>
                <w:kern w:val="0"/>
                <w:sz w:val="21"/>
                <w:szCs w:val="21"/>
              </w:rPr>
            </w:pPr>
          </w:p>
        </w:tc>
        <w:tc>
          <w:tcPr>
            <w:tcW w:w="1135" w:type="dxa"/>
            <w:vMerge w:val="restart"/>
            <w:tcBorders>
              <w:tl2br w:val="nil"/>
              <w:tr2bl w:val="nil"/>
            </w:tcBorders>
            <w:noWrap/>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产出指标</w:t>
            </w:r>
          </w:p>
          <w:p>
            <w:pPr>
              <w:widowControl/>
              <w:jc w:val="center"/>
              <w:rPr>
                <w:rFonts w:ascii="Times New Roman" w:hAnsi="Times New Roman"/>
                <w:color w:val="000000"/>
                <w:kern w:val="0"/>
                <w:sz w:val="21"/>
                <w:szCs w:val="21"/>
              </w:rPr>
            </w:pP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(50分)</w:t>
            </w:r>
          </w:p>
        </w:tc>
        <w:tc>
          <w:tcPr>
            <w:tcW w:w="1135" w:type="dxa"/>
            <w:vMerge w:val="restart"/>
            <w:tcBorders>
              <w:tl2br w:val="nil"/>
              <w:tr2bl w:val="nil"/>
            </w:tcBorders>
            <w:noWrap/>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数量指标</w:t>
            </w:r>
          </w:p>
        </w:tc>
        <w:tc>
          <w:tcPr>
            <w:tcW w:w="1287" w:type="dxa"/>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租赁核心机房</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1个</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1个</w:t>
            </w:r>
          </w:p>
        </w:tc>
        <w:tc>
          <w:tcPr>
            <w:tcW w:w="870"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918"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1649" w:type="dxa"/>
            <w:tcBorders>
              <w:tl2br w:val="nil"/>
              <w:tr2bl w:val="nil"/>
            </w:tcBorders>
            <w:noWrap/>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Merge w:val="continue"/>
            <w:tcBorders>
              <w:tl2br w:val="nil"/>
              <w:tr2bl w:val="nil"/>
            </w:tcBorders>
            <w:noWrap/>
            <w:vAlign w:val="center"/>
          </w:tcPr>
          <w:p>
            <w:pPr>
              <w:jc w:val="left"/>
              <w:rPr>
                <w:rFonts w:ascii="Times New Roman" w:hAnsi="Times New Roman"/>
                <w:color w:val="000000"/>
                <w:kern w:val="0"/>
                <w:sz w:val="21"/>
                <w:szCs w:val="21"/>
              </w:rPr>
            </w:pPr>
          </w:p>
        </w:tc>
        <w:tc>
          <w:tcPr>
            <w:tcW w:w="1135" w:type="dxa"/>
            <w:vMerge w:val="continue"/>
            <w:tcBorders>
              <w:tl2br w:val="nil"/>
              <w:tr2bl w:val="nil"/>
            </w:tcBorders>
            <w:noWrap/>
            <w:vAlign w:val="center"/>
          </w:tcPr>
          <w:p>
            <w:pPr>
              <w:jc w:val="left"/>
              <w:rPr>
                <w:rFonts w:ascii="Times New Roman" w:hAnsi="Times New Roman"/>
                <w:color w:val="000000"/>
                <w:kern w:val="0"/>
                <w:sz w:val="21"/>
                <w:szCs w:val="21"/>
              </w:rPr>
            </w:pPr>
          </w:p>
        </w:tc>
        <w:tc>
          <w:tcPr>
            <w:tcW w:w="1135" w:type="dxa"/>
            <w:vMerge w:val="continue"/>
            <w:tcBorders>
              <w:tl2br w:val="nil"/>
              <w:tr2bl w:val="nil"/>
            </w:tcBorders>
            <w:noWrap/>
            <w:vAlign w:val="center"/>
          </w:tcPr>
          <w:p>
            <w:pPr>
              <w:widowControl/>
              <w:jc w:val="center"/>
              <w:rPr>
                <w:rFonts w:ascii="Times New Roman" w:hAnsi="Times New Roman"/>
                <w:color w:val="000000"/>
                <w:kern w:val="0"/>
                <w:sz w:val="21"/>
                <w:szCs w:val="21"/>
              </w:rPr>
            </w:pPr>
          </w:p>
        </w:tc>
        <w:tc>
          <w:tcPr>
            <w:tcW w:w="1287" w:type="dxa"/>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租赁核心及汇聚机房网络设备</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17台</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17台</w:t>
            </w:r>
          </w:p>
        </w:tc>
        <w:tc>
          <w:tcPr>
            <w:tcW w:w="870"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918"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1649" w:type="dxa"/>
            <w:tcBorders>
              <w:tl2br w:val="nil"/>
              <w:tr2bl w:val="nil"/>
            </w:tcBorders>
            <w:noWrap/>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Merge w:val="continue"/>
            <w:tcBorders>
              <w:tl2br w:val="nil"/>
              <w:tr2bl w:val="nil"/>
            </w:tcBorders>
            <w:noWrap/>
            <w:vAlign w:val="center"/>
          </w:tcPr>
          <w:p>
            <w:pPr>
              <w:jc w:val="left"/>
              <w:rPr>
                <w:rFonts w:ascii="Times New Roman" w:hAnsi="Times New Roman"/>
                <w:color w:val="000000"/>
                <w:kern w:val="0"/>
                <w:sz w:val="21"/>
                <w:szCs w:val="21"/>
              </w:rPr>
            </w:pPr>
          </w:p>
        </w:tc>
        <w:tc>
          <w:tcPr>
            <w:tcW w:w="1135" w:type="dxa"/>
            <w:vMerge w:val="continue"/>
            <w:tcBorders>
              <w:tl2br w:val="nil"/>
              <w:tr2bl w:val="nil"/>
            </w:tcBorders>
            <w:noWrap/>
            <w:vAlign w:val="center"/>
          </w:tcPr>
          <w:p>
            <w:pPr>
              <w:jc w:val="left"/>
              <w:rPr>
                <w:rFonts w:ascii="Times New Roman" w:hAnsi="Times New Roman"/>
                <w:color w:val="000000"/>
                <w:kern w:val="0"/>
                <w:sz w:val="21"/>
                <w:szCs w:val="21"/>
              </w:rPr>
            </w:pPr>
          </w:p>
        </w:tc>
        <w:tc>
          <w:tcPr>
            <w:tcW w:w="1135" w:type="dxa"/>
            <w:vMerge w:val="continue"/>
            <w:tcBorders>
              <w:tl2br w:val="nil"/>
              <w:tr2bl w:val="nil"/>
            </w:tcBorders>
            <w:noWrap/>
            <w:vAlign w:val="center"/>
          </w:tcPr>
          <w:p>
            <w:pPr>
              <w:widowControl/>
              <w:jc w:val="center"/>
              <w:rPr>
                <w:rFonts w:ascii="Times New Roman" w:hAnsi="Times New Roman"/>
                <w:color w:val="000000"/>
                <w:kern w:val="0"/>
                <w:sz w:val="21"/>
                <w:szCs w:val="21"/>
              </w:rPr>
            </w:pPr>
          </w:p>
        </w:tc>
        <w:tc>
          <w:tcPr>
            <w:tcW w:w="1287" w:type="dxa"/>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租赁接入单位出口网络设备</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150台</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150台</w:t>
            </w:r>
          </w:p>
        </w:tc>
        <w:tc>
          <w:tcPr>
            <w:tcW w:w="870"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918"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1649" w:type="dxa"/>
            <w:tcBorders>
              <w:tl2br w:val="nil"/>
              <w:tr2bl w:val="nil"/>
            </w:tcBorders>
            <w:noWrap/>
            <w:vAlign w:val="center"/>
          </w:tcPr>
          <w:p>
            <w:pPr>
              <w:widowControl/>
              <w:jc w:val="left"/>
              <w:rPr>
                <w:rFonts w:ascii="Times New Roman" w:hAnsi="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Merge w:val="continue"/>
            <w:tcBorders>
              <w:tl2br w:val="nil"/>
              <w:tr2bl w:val="nil"/>
            </w:tcBorders>
            <w:noWrap/>
            <w:vAlign w:val="center"/>
          </w:tcPr>
          <w:p>
            <w:pPr>
              <w:jc w:val="left"/>
              <w:rPr>
                <w:rFonts w:ascii="Times New Roman" w:hAnsi="Times New Roman"/>
                <w:color w:val="000000"/>
                <w:kern w:val="0"/>
                <w:sz w:val="21"/>
                <w:szCs w:val="21"/>
              </w:rPr>
            </w:pPr>
          </w:p>
        </w:tc>
        <w:tc>
          <w:tcPr>
            <w:tcW w:w="1135" w:type="dxa"/>
            <w:vMerge w:val="continue"/>
            <w:tcBorders>
              <w:tl2br w:val="nil"/>
              <w:tr2bl w:val="nil"/>
            </w:tcBorders>
            <w:noWrap/>
            <w:vAlign w:val="center"/>
          </w:tcPr>
          <w:p>
            <w:pPr>
              <w:jc w:val="left"/>
              <w:rPr>
                <w:rFonts w:ascii="Times New Roman" w:hAnsi="Times New Roman"/>
                <w:color w:val="000000"/>
                <w:kern w:val="0"/>
                <w:sz w:val="21"/>
                <w:szCs w:val="21"/>
              </w:rPr>
            </w:pPr>
          </w:p>
        </w:tc>
        <w:tc>
          <w:tcPr>
            <w:tcW w:w="1135" w:type="dxa"/>
            <w:vMerge w:val="continue"/>
            <w:tcBorders>
              <w:tl2br w:val="nil"/>
              <w:tr2bl w:val="nil"/>
            </w:tcBorders>
            <w:noWrap/>
            <w:vAlign w:val="center"/>
          </w:tcPr>
          <w:p>
            <w:pPr>
              <w:widowControl/>
              <w:jc w:val="center"/>
              <w:rPr>
                <w:rFonts w:ascii="Times New Roman" w:hAnsi="Times New Roman"/>
                <w:color w:val="000000"/>
                <w:kern w:val="0"/>
                <w:sz w:val="21"/>
                <w:szCs w:val="21"/>
              </w:rPr>
            </w:pPr>
          </w:p>
        </w:tc>
        <w:tc>
          <w:tcPr>
            <w:tcW w:w="1287" w:type="dxa"/>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租赁政务外网专线</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150条</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150条</w:t>
            </w:r>
          </w:p>
        </w:tc>
        <w:tc>
          <w:tcPr>
            <w:tcW w:w="870"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918"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1649" w:type="dxa"/>
            <w:tcBorders>
              <w:tl2br w:val="nil"/>
              <w:tr2bl w:val="nil"/>
            </w:tcBorders>
            <w:noWrap/>
            <w:vAlign w:val="center"/>
          </w:tcPr>
          <w:p>
            <w:pPr>
              <w:widowControl/>
              <w:jc w:val="left"/>
              <w:rPr>
                <w:rFonts w:ascii="Times New Roman" w:hAnsi="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Merge w:val="continue"/>
            <w:tcBorders>
              <w:tl2br w:val="nil"/>
              <w:tr2bl w:val="nil"/>
            </w:tcBorders>
            <w:noWrap/>
            <w:vAlign w:val="center"/>
          </w:tcPr>
          <w:p>
            <w:pPr>
              <w:jc w:val="left"/>
              <w:rPr>
                <w:rFonts w:ascii="Times New Roman" w:hAnsi="Times New Roman"/>
                <w:color w:val="000000"/>
                <w:kern w:val="0"/>
                <w:sz w:val="21"/>
                <w:szCs w:val="21"/>
              </w:rPr>
            </w:pPr>
          </w:p>
        </w:tc>
        <w:tc>
          <w:tcPr>
            <w:tcW w:w="1135" w:type="dxa"/>
            <w:vMerge w:val="continue"/>
            <w:tcBorders>
              <w:tl2br w:val="nil"/>
              <w:tr2bl w:val="nil"/>
            </w:tcBorders>
            <w:noWrap/>
            <w:vAlign w:val="center"/>
          </w:tcPr>
          <w:p>
            <w:pPr>
              <w:jc w:val="left"/>
              <w:rPr>
                <w:rFonts w:ascii="Times New Roman" w:hAnsi="Times New Roman"/>
                <w:color w:val="000000"/>
                <w:kern w:val="0"/>
                <w:sz w:val="21"/>
                <w:szCs w:val="21"/>
              </w:rPr>
            </w:pPr>
          </w:p>
        </w:tc>
        <w:tc>
          <w:tcPr>
            <w:tcW w:w="1135" w:type="dxa"/>
            <w:vMerge w:val="continue"/>
            <w:tcBorders>
              <w:tl2br w:val="nil"/>
              <w:tr2bl w:val="nil"/>
            </w:tcBorders>
            <w:noWrap/>
            <w:vAlign w:val="center"/>
          </w:tcPr>
          <w:p>
            <w:pPr>
              <w:widowControl/>
              <w:jc w:val="center"/>
              <w:rPr>
                <w:rFonts w:ascii="Times New Roman" w:hAnsi="Times New Roman"/>
                <w:color w:val="000000"/>
                <w:kern w:val="0"/>
                <w:sz w:val="21"/>
                <w:szCs w:val="21"/>
              </w:rPr>
            </w:pPr>
          </w:p>
        </w:tc>
        <w:tc>
          <w:tcPr>
            <w:tcW w:w="1287" w:type="dxa"/>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运行维护</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机房动环、网络设备、电子政务外网专线运行维护</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机房动环、网络设备、电子政务外网专线运行维护</w:t>
            </w:r>
          </w:p>
        </w:tc>
        <w:tc>
          <w:tcPr>
            <w:tcW w:w="870"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w:t>
            </w:r>
          </w:p>
        </w:tc>
        <w:tc>
          <w:tcPr>
            <w:tcW w:w="918"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8</w:t>
            </w:r>
          </w:p>
        </w:tc>
        <w:tc>
          <w:tcPr>
            <w:tcW w:w="1649" w:type="dxa"/>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后期维护管理有待加强。下一步将加强后期运维考核管理，建立健全项目运维考核管理办法，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Merge w:val="continue"/>
            <w:tcBorders>
              <w:tl2br w:val="nil"/>
              <w:tr2bl w:val="nil"/>
            </w:tcBorders>
            <w:noWrap/>
            <w:vAlign w:val="center"/>
          </w:tcPr>
          <w:p>
            <w:pPr>
              <w:jc w:val="left"/>
              <w:rPr>
                <w:rFonts w:ascii="Times New Roman" w:hAnsi="Times New Roman"/>
                <w:color w:val="000000"/>
                <w:kern w:val="0"/>
                <w:sz w:val="21"/>
                <w:szCs w:val="21"/>
              </w:rPr>
            </w:pPr>
          </w:p>
        </w:tc>
        <w:tc>
          <w:tcPr>
            <w:tcW w:w="1135" w:type="dxa"/>
            <w:vMerge w:val="continue"/>
            <w:tcBorders>
              <w:tl2br w:val="nil"/>
              <w:tr2bl w:val="nil"/>
            </w:tcBorders>
            <w:noWrap/>
            <w:vAlign w:val="center"/>
          </w:tcPr>
          <w:p>
            <w:pPr>
              <w:jc w:val="left"/>
              <w:rPr>
                <w:rFonts w:ascii="Times New Roman" w:hAnsi="Times New Roman"/>
                <w:color w:val="000000"/>
                <w:kern w:val="0"/>
                <w:sz w:val="21"/>
                <w:szCs w:val="21"/>
              </w:rPr>
            </w:pPr>
          </w:p>
        </w:tc>
        <w:tc>
          <w:tcPr>
            <w:tcW w:w="1135" w:type="dxa"/>
            <w:vMerge w:val="restart"/>
            <w:tcBorders>
              <w:tl2br w:val="nil"/>
              <w:tr2bl w:val="nil"/>
            </w:tcBorders>
            <w:noWrap/>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质量指标</w:t>
            </w:r>
          </w:p>
        </w:tc>
        <w:tc>
          <w:tcPr>
            <w:tcW w:w="1287" w:type="dxa"/>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市电子政务外网平台网络运行情况</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各项故障及投诉处理满意度评级为满意。</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各项故障及投诉处理满意度评级为满意。</w:t>
            </w:r>
          </w:p>
        </w:tc>
        <w:tc>
          <w:tcPr>
            <w:tcW w:w="870"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918"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3</w:t>
            </w:r>
          </w:p>
        </w:tc>
        <w:tc>
          <w:tcPr>
            <w:tcW w:w="1649" w:type="dxa"/>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故障响应时效有待提升。下一步将继续完善故障处理机制，更及时处理故障情况，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Merge w:val="continue"/>
            <w:tcBorders>
              <w:tl2br w:val="nil"/>
              <w:tr2bl w:val="nil"/>
            </w:tcBorders>
            <w:noWrap/>
            <w:vAlign w:val="center"/>
          </w:tcPr>
          <w:p>
            <w:pPr>
              <w:jc w:val="left"/>
              <w:rPr>
                <w:rFonts w:ascii="Times New Roman" w:hAnsi="Times New Roman"/>
                <w:color w:val="000000"/>
                <w:kern w:val="0"/>
                <w:sz w:val="21"/>
                <w:szCs w:val="21"/>
              </w:rPr>
            </w:pPr>
          </w:p>
        </w:tc>
        <w:tc>
          <w:tcPr>
            <w:tcW w:w="1135" w:type="dxa"/>
            <w:vMerge w:val="continue"/>
            <w:tcBorders>
              <w:tl2br w:val="nil"/>
              <w:tr2bl w:val="nil"/>
            </w:tcBorders>
            <w:noWrap/>
            <w:vAlign w:val="center"/>
          </w:tcPr>
          <w:p>
            <w:pPr>
              <w:jc w:val="left"/>
              <w:rPr>
                <w:rFonts w:ascii="Times New Roman" w:hAnsi="Times New Roman"/>
                <w:color w:val="000000"/>
                <w:kern w:val="0"/>
                <w:sz w:val="21"/>
                <w:szCs w:val="21"/>
              </w:rPr>
            </w:pPr>
          </w:p>
        </w:tc>
        <w:tc>
          <w:tcPr>
            <w:tcW w:w="1135" w:type="dxa"/>
            <w:vMerge w:val="continue"/>
            <w:tcBorders>
              <w:tl2br w:val="nil"/>
              <w:tr2bl w:val="nil"/>
            </w:tcBorders>
            <w:noWrap/>
            <w:vAlign w:val="center"/>
          </w:tcPr>
          <w:p>
            <w:pPr>
              <w:jc w:val="center"/>
              <w:rPr>
                <w:rFonts w:ascii="Times New Roman" w:hAnsi="Times New Roman"/>
                <w:color w:val="000000"/>
                <w:kern w:val="0"/>
                <w:sz w:val="21"/>
                <w:szCs w:val="21"/>
              </w:rPr>
            </w:pPr>
          </w:p>
        </w:tc>
        <w:tc>
          <w:tcPr>
            <w:tcW w:w="1287" w:type="dxa"/>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应用系统使用情况</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及时排查安全隐患，确保设备不断电，系统运行稳定</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通过优化系统和监管及时排除安全隐患，系统运行稳定</w:t>
            </w:r>
          </w:p>
        </w:tc>
        <w:tc>
          <w:tcPr>
            <w:tcW w:w="870"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918"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1649" w:type="dxa"/>
            <w:tcBorders>
              <w:tl2br w:val="nil"/>
              <w:tr2bl w:val="nil"/>
            </w:tcBorders>
            <w:noWrap/>
            <w:vAlign w:val="center"/>
          </w:tcPr>
          <w:p>
            <w:pPr>
              <w:widowControl/>
              <w:jc w:val="left"/>
              <w:rPr>
                <w:rFonts w:ascii="Times New Roman" w:hAnsi="Times New Roman"/>
                <w:color w:val="000000"/>
                <w:kern w:val="0"/>
                <w:sz w:val="21"/>
                <w:szCs w:val="21"/>
              </w:rPr>
            </w:pPr>
          </w:p>
        </w:tc>
      </w:tr>
    </w:tbl>
    <w:tbl>
      <w:tblPr>
        <w:tblStyle w:val="5"/>
        <w:tblpPr w:leftFromText="180" w:rightFromText="180" w:vertAnchor="text" w:horzAnchor="page" w:tblpX="750" w:tblpY="93"/>
        <w:tblOverlap w:val="never"/>
        <w:tblW w:w="10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1135"/>
        <w:gridCol w:w="1135"/>
        <w:gridCol w:w="1287"/>
        <w:gridCol w:w="1192"/>
        <w:gridCol w:w="1192"/>
        <w:gridCol w:w="870"/>
        <w:gridCol w:w="918"/>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Borders>
              <w:tl2br w:val="nil"/>
              <w:tr2bl w:val="nil"/>
            </w:tcBorders>
            <w:noWrap/>
            <w:vAlign w:val="center"/>
          </w:tcPr>
          <w:p>
            <w:pPr>
              <w:jc w:val="left"/>
              <w:rPr>
                <w:rFonts w:ascii="Times New Roman" w:hAnsi="Times New Roman"/>
                <w:color w:val="000000"/>
                <w:kern w:val="0"/>
                <w:sz w:val="21"/>
                <w:szCs w:val="21"/>
              </w:rPr>
            </w:pPr>
          </w:p>
        </w:tc>
        <w:tc>
          <w:tcPr>
            <w:tcW w:w="1135" w:type="dxa"/>
            <w:tcBorders>
              <w:tl2br w:val="nil"/>
              <w:tr2bl w:val="nil"/>
            </w:tcBorders>
            <w:noWrap/>
            <w:vAlign w:val="center"/>
          </w:tcPr>
          <w:p>
            <w:pPr>
              <w:jc w:val="left"/>
              <w:rPr>
                <w:rFonts w:ascii="Times New Roman" w:hAnsi="Times New Roman"/>
                <w:color w:val="000000"/>
                <w:kern w:val="0"/>
                <w:sz w:val="21"/>
                <w:szCs w:val="21"/>
              </w:rPr>
            </w:pPr>
          </w:p>
        </w:tc>
        <w:tc>
          <w:tcPr>
            <w:tcW w:w="1135" w:type="dxa"/>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时效指标</w:t>
            </w:r>
          </w:p>
        </w:tc>
        <w:tc>
          <w:tcPr>
            <w:tcW w:w="1287" w:type="dxa"/>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保证系统系统的安全、高效、持续运行</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持续稳定运行</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持续稳定运行</w:t>
            </w:r>
          </w:p>
        </w:tc>
        <w:tc>
          <w:tcPr>
            <w:tcW w:w="870"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918"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1649" w:type="dxa"/>
            <w:tcBorders>
              <w:tl2br w:val="nil"/>
              <w:tr2bl w:val="nil"/>
            </w:tcBorders>
            <w:noWrap/>
            <w:vAlign w:val="center"/>
          </w:tcPr>
          <w:p>
            <w:pPr>
              <w:widowControl/>
              <w:jc w:val="left"/>
              <w:rPr>
                <w:rFonts w:ascii="Times New Roman" w:hAnsi="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Merge w:val="restart"/>
            <w:tcBorders>
              <w:tl2br w:val="nil"/>
              <w:tr2bl w:val="nil"/>
            </w:tcBorders>
            <w:noWrap/>
            <w:vAlign w:val="center"/>
          </w:tcPr>
          <w:p>
            <w:pPr>
              <w:jc w:val="left"/>
              <w:rPr>
                <w:rFonts w:ascii="Times New Roman" w:hAnsi="Times New Roman"/>
                <w:color w:val="000000"/>
                <w:kern w:val="0"/>
                <w:sz w:val="21"/>
                <w:szCs w:val="21"/>
              </w:rPr>
            </w:pPr>
          </w:p>
        </w:tc>
        <w:tc>
          <w:tcPr>
            <w:tcW w:w="1135" w:type="dxa"/>
            <w:tcBorders>
              <w:tl2br w:val="nil"/>
              <w:tr2bl w:val="nil"/>
            </w:tcBorders>
            <w:noWrap/>
            <w:vAlign w:val="center"/>
          </w:tcPr>
          <w:p>
            <w:pPr>
              <w:jc w:val="left"/>
              <w:rPr>
                <w:rFonts w:ascii="Times New Roman" w:hAnsi="Times New Roman"/>
                <w:color w:val="000000"/>
                <w:kern w:val="0"/>
                <w:sz w:val="21"/>
                <w:szCs w:val="21"/>
              </w:rPr>
            </w:pPr>
          </w:p>
        </w:tc>
        <w:tc>
          <w:tcPr>
            <w:tcW w:w="1135" w:type="dxa"/>
            <w:tcBorders>
              <w:tl2br w:val="nil"/>
              <w:tr2bl w:val="nil"/>
            </w:tcBorders>
            <w:noWrap/>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成本指标</w:t>
            </w:r>
          </w:p>
        </w:tc>
        <w:tc>
          <w:tcPr>
            <w:tcW w:w="1287" w:type="dxa"/>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降低政府行政管理成本费用。</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节约成本显著</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节约成本显著</w:t>
            </w:r>
          </w:p>
        </w:tc>
        <w:tc>
          <w:tcPr>
            <w:tcW w:w="870"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918"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3</w:t>
            </w:r>
          </w:p>
        </w:tc>
        <w:tc>
          <w:tcPr>
            <w:tcW w:w="1649" w:type="dxa"/>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进一步扩大资源整合降低成本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Merge w:val="continue"/>
            <w:tcBorders>
              <w:tl2br w:val="nil"/>
              <w:tr2bl w:val="nil"/>
            </w:tcBorders>
            <w:noWrap/>
            <w:vAlign w:val="center"/>
          </w:tcPr>
          <w:p>
            <w:pPr>
              <w:jc w:val="left"/>
              <w:rPr>
                <w:rFonts w:ascii="Times New Roman" w:hAnsi="Times New Roman"/>
                <w:color w:val="000000"/>
                <w:kern w:val="0"/>
                <w:sz w:val="21"/>
                <w:szCs w:val="21"/>
              </w:rPr>
            </w:pPr>
          </w:p>
        </w:tc>
        <w:tc>
          <w:tcPr>
            <w:tcW w:w="1135" w:type="dxa"/>
            <w:vMerge w:val="restart"/>
            <w:tcBorders>
              <w:tl2br w:val="nil"/>
              <w:tr2bl w:val="nil"/>
            </w:tcBorders>
            <w:noWrap/>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效益指标</w:t>
            </w:r>
          </w:p>
          <w:p>
            <w:pPr>
              <w:widowControl/>
              <w:jc w:val="left"/>
              <w:rPr>
                <w:rFonts w:ascii="Times New Roman" w:hAnsi="Times New Roman"/>
                <w:color w:val="000000"/>
                <w:kern w:val="0"/>
                <w:sz w:val="21"/>
                <w:szCs w:val="21"/>
              </w:rPr>
            </w:pPr>
          </w:p>
          <w:p>
            <w:pPr>
              <w:widowControl/>
              <w:jc w:val="left"/>
              <w:rPr>
                <w:rFonts w:ascii="Times New Roman" w:hAnsi="Times New Roman"/>
                <w:color w:val="000000"/>
                <w:kern w:val="0"/>
                <w:sz w:val="21"/>
                <w:szCs w:val="21"/>
              </w:rPr>
            </w:pPr>
            <w:r>
              <w:rPr>
                <w:rFonts w:ascii="Times New Roman" w:hAnsi="Times New Roman"/>
                <w:color w:val="000000"/>
                <w:kern w:val="0"/>
                <w:sz w:val="21"/>
                <w:szCs w:val="21"/>
              </w:rPr>
              <w:t>（30分）</w:t>
            </w:r>
          </w:p>
        </w:tc>
        <w:tc>
          <w:tcPr>
            <w:tcW w:w="1135" w:type="dxa"/>
            <w:tcBorders>
              <w:tl2br w:val="nil"/>
              <w:tr2bl w:val="nil"/>
            </w:tcBorders>
            <w:noWrap/>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经济效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1287" w:type="dxa"/>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资源整合共享</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优化网络配置</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部分完成优化</w:t>
            </w:r>
          </w:p>
        </w:tc>
        <w:tc>
          <w:tcPr>
            <w:tcW w:w="870"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w:t>
            </w:r>
          </w:p>
        </w:tc>
        <w:tc>
          <w:tcPr>
            <w:tcW w:w="918"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6</w:t>
            </w:r>
          </w:p>
        </w:tc>
        <w:tc>
          <w:tcPr>
            <w:tcW w:w="1649" w:type="dxa"/>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进一步扩大经济效益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Merge w:val="continue"/>
            <w:tcBorders>
              <w:tl2br w:val="nil"/>
              <w:tr2bl w:val="nil"/>
            </w:tcBorders>
            <w:noWrap/>
            <w:vAlign w:val="center"/>
          </w:tcPr>
          <w:p>
            <w:pPr>
              <w:jc w:val="left"/>
              <w:rPr>
                <w:rFonts w:ascii="Times New Roman" w:hAnsi="Times New Roman"/>
                <w:color w:val="000000"/>
                <w:kern w:val="0"/>
                <w:sz w:val="21"/>
                <w:szCs w:val="21"/>
              </w:rPr>
            </w:pPr>
          </w:p>
        </w:tc>
        <w:tc>
          <w:tcPr>
            <w:tcW w:w="1135" w:type="dxa"/>
            <w:vMerge w:val="continue"/>
            <w:tcBorders>
              <w:tl2br w:val="nil"/>
              <w:tr2bl w:val="nil"/>
            </w:tcBorders>
            <w:noWrap/>
            <w:vAlign w:val="center"/>
          </w:tcPr>
          <w:p>
            <w:pPr>
              <w:jc w:val="left"/>
              <w:rPr>
                <w:rFonts w:ascii="Times New Roman" w:hAnsi="Times New Roman"/>
                <w:color w:val="000000"/>
                <w:kern w:val="0"/>
                <w:sz w:val="21"/>
                <w:szCs w:val="21"/>
              </w:rPr>
            </w:pPr>
          </w:p>
        </w:tc>
        <w:tc>
          <w:tcPr>
            <w:tcW w:w="1135" w:type="dxa"/>
            <w:tcBorders>
              <w:tl2br w:val="nil"/>
              <w:tr2bl w:val="nil"/>
            </w:tcBorders>
            <w:noWrap/>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社会效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1287" w:type="dxa"/>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提高政府办公效率</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显著</w:t>
            </w:r>
            <w:r>
              <w:rPr>
                <w:rFonts w:hint="eastAsia" w:ascii="Times New Roman" w:hAnsi="Times New Roman"/>
                <w:color w:val="000000"/>
                <w:kern w:val="0"/>
                <w:sz w:val="21"/>
                <w:szCs w:val="21"/>
              </w:rPr>
              <w:t>提高</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显著</w:t>
            </w:r>
            <w:r>
              <w:rPr>
                <w:rFonts w:hint="eastAsia" w:ascii="Times New Roman" w:hAnsi="Times New Roman"/>
                <w:color w:val="000000"/>
                <w:kern w:val="0"/>
                <w:sz w:val="21"/>
                <w:szCs w:val="21"/>
              </w:rPr>
              <w:t>提高</w:t>
            </w:r>
          </w:p>
        </w:tc>
        <w:tc>
          <w:tcPr>
            <w:tcW w:w="870"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w:t>
            </w:r>
          </w:p>
        </w:tc>
        <w:tc>
          <w:tcPr>
            <w:tcW w:w="918"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8</w:t>
            </w:r>
          </w:p>
        </w:tc>
        <w:tc>
          <w:tcPr>
            <w:tcW w:w="1649" w:type="dxa"/>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继续提高办公效率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Merge w:val="continue"/>
            <w:tcBorders>
              <w:tl2br w:val="nil"/>
              <w:tr2bl w:val="nil"/>
            </w:tcBorders>
            <w:noWrap/>
            <w:vAlign w:val="center"/>
          </w:tcPr>
          <w:p>
            <w:pPr>
              <w:jc w:val="left"/>
              <w:rPr>
                <w:rFonts w:ascii="Times New Roman" w:hAnsi="Times New Roman"/>
                <w:color w:val="000000"/>
                <w:kern w:val="0"/>
                <w:sz w:val="21"/>
                <w:szCs w:val="21"/>
              </w:rPr>
            </w:pPr>
          </w:p>
        </w:tc>
        <w:tc>
          <w:tcPr>
            <w:tcW w:w="1135" w:type="dxa"/>
            <w:vMerge w:val="continue"/>
            <w:tcBorders>
              <w:tl2br w:val="nil"/>
              <w:tr2bl w:val="nil"/>
            </w:tcBorders>
            <w:noWrap/>
            <w:vAlign w:val="center"/>
          </w:tcPr>
          <w:p>
            <w:pPr>
              <w:jc w:val="left"/>
              <w:rPr>
                <w:rFonts w:ascii="Times New Roman" w:hAnsi="Times New Roman"/>
                <w:color w:val="000000"/>
                <w:kern w:val="0"/>
                <w:sz w:val="21"/>
                <w:szCs w:val="21"/>
              </w:rPr>
            </w:pPr>
          </w:p>
        </w:tc>
        <w:tc>
          <w:tcPr>
            <w:tcW w:w="1135" w:type="dxa"/>
            <w:tcBorders>
              <w:tl2br w:val="nil"/>
              <w:tr2bl w:val="nil"/>
            </w:tcBorders>
            <w:noWrap/>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生态效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1287" w:type="dxa"/>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达到节能要求</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100%</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99%</w:t>
            </w:r>
          </w:p>
        </w:tc>
        <w:tc>
          <w:tcPr>
            <w:tcW w:w="870"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w:t>
            </w:r>
          </w:p>
        </w:tc>
        <w:tc>
          <w:tcPr>
            <w:tcW w:w="918"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9</w:t>
            </w:r>
          </w:p>
        </w:tc>
        <w:tc>
          <w:tcPr>
            <w:tcW w:w="1649" w:type="dxa"/>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加强节能宣传，提高节能意识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234" w:type="dxa"/>
            <w:vMerge w:val="restart"/>
            <w:tcBorders>
              <w:tl2br w:val="nil"/>
              <w:tr2bl w:val="nil"/>
            </w:tcBorders>
            <w:noWrap/>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绩</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指</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标</w:t>
            </w:r>
          </w:p>
        </w:tc>
        <w:tc>
          <w:tcPr>
            <w:tcW w:w="1135" w:type="dxa"/>
            <w:tcBorders>
              <w:tl2br w:val="nil"/>
              <w:tr2bl w:val="nil"/>
            </w:tcBorders>
            <w:noWrap/>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可持续影响指标</w:t>
            </w:r>
            <w:r>
              <w:rPr>
                <w:rFonts w:hint="eastAsia" w:ascii="Times New Roman" w:hAnsi="Times New Roman"/>
                <w:color w:val="000000"/>
                <w:kern w:val="0"/>
                <w:sz w:val="21"/>
                <w:szCs w:val="21"/>
              </w:rPr>
              <w:t>（10分）</w:t>
            </w:r>
          </w:p>
        </w:tc>
        <w:tc>
          <w:tcPr>
            <w:tcW w:w="1135" w:type="dxa"/>
            <w:tcBorders>
              <w:tl2br w:val="nil"/>
              <w:tr2bl w:val="nil"/>
            </w:tcBorders>
            <w:noWrap/>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可持续影响指标</w:t>
            </w:r>
          </w:p>
        </w:tc>
        <w:tc>
          <w:tcPr>
            <w:tcW w:w="1287" w:type="dxa"/>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全市市直单位外网全部联通到位</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100%</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98%</w:t>
            </w:r>
          </w:p>
        </w:tc>
        <w:tc>
          <w:tcPr>
            <w:tcW w:w="870"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w:t>
            </w:r>
          </w:p>
        </w:tc>
        <w:tc>
          <w:tcPr>
            <w:tcW w:w="918"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9</w:t>
            </w:r>
          </w:p>
        </w:tc>
        <w:tc>
          <w:tcPr>
            <w:tcW w:w="1649" w:type="dxa"/>
            <w:tcBorders>
              <w:tl2br w:val="nil"/>
              <w:tr2bl w:val="nil"/>
            </w:tcBorders>
            <w:noWrap/>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vMerge w:val="continue"/>
            <w:tcBorders>
              <w:tl2br w:val="nil"/>
              <w:tr2bl w:val="nil"/>
            </w:tcBorders>
            <w:noWrap/>
            <w:vAlign w:val="center"/>
          </w:tcPr>
          <w:p>
            <w:pPr>
              <w:jc w:val="left"/>
              <w:rPr>
                <w:rFonts w:ascii="Times New Roman" w:hAnsi="Times New Roman"/>
                <w:color w:val="000000"/>
                <w:kern w:val="0"/>
                <w:sz w:val="21"/>
                <w:szCs w:val="21"/>
              </w:rPr>
            </w:pPr>
          </w:p>
        </w:tc>
        <w:tc>
          <w:tcPr>
            <w:tcW w:w="1135" w:type="dxa"/>
            <w:tcBorders>
              <w:tl2br w:val="nil"/>
              <w:tr2bl w:val="nil"/>
            </w:tcBorders>
            <w:noWrap/>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满意度</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指标</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（10分）</w:t>
            </w:r>
          </w:p>
        </w:tc>
        <w:tc>
          <w:tcPr>
            <w:tcW w:w="1135" w:type="dxa"/>
            <w:tcBorders>
              <w:tl2br w:val="nil"/>
              <w:tr2bl w:val="nil"/>
            </w:tcBorders>
            <w:noWrap/>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服务对象满意度指标</w:t>
            </w:r>
          </w:p>
        </w:tc>
        <w:tc>
          <w:tcPr>
            <w:tcW w:w="1287" w:type="dxa"/>
            <w:tcBorders>
              <w:tl2br w:val="nil"/>
              <w:tr2bl w:val="nil"/>
            </w:tcBorders>
            <w:noWrap/>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接入行政单位满意度</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95%以上</w:t>
            </w:r>
          </w:p>
        </w:tc>
        <w:tc>
          <w:tcPr>
            <w:tcW w:w="1192"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98%</w:t>
            </w:r>
          </w:p>
        </w:tc>
        <w:tc>
          <w:tcPr>
            <w:tcW w:w="870" w:type="dxa"/>
            <w:tcBorders>
              <w:tl2br w:val="nil"/>
              <w:tr2bl w:val="nil"/>
            </w:tcBorders>
            <w:noWrap/>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w:t>
            </w:r>
          </w:p>
        </w:tc>
        <w:tc>
          <w:tcPr>
            <w:tcW w:w="918" w:type="dxa"/>
            <w:tcBorders>
              <w:tl2br w:val="nil"/>
              <w:tr2bl w:val="nil"/>
            </w:tcBorders>
            <w:noWrap/>
            <w:vAlign w:val="center"/>
          </w:tcPr>
          <w:p>
            <w:pPr>
              <w:widowControl/>
              <w:ind w:firstLine="206" w:firstLineChars="100"/>
              <w:rPr>
                <w:rFonts w:ascii="Times New Roman" w:hAnsi="Times New Roman"/>
                <w:color w:val="000000"/>
                <w:kern w:val="0"/>
                <w:sz w:val="21"/>
                <w:szCs w:val="21"/>
              </w:rPr>
            </w:pPr>
            <w:r>
              <w:rPr>
                <w:rFonts w:hint="eastAsia" w:ascii="Times New Roman" w:hAnsi="Times New Roman"/>
                <w:color w:val="000000"/>
                <w:kern w:val="0"/>
                <w:sz w:val="21"/>
                <w:szCs w:val="21"/>
              </w:rPr>
              <w:t>9</w:t>
            </w:r>
          </w:p>
        </w:tc>
        <w:tc>
          <w:tcPr>
            <w:tcW w:w="1649" w:type="dxa"/>
            <w:tcBorders>
              <w:tl2br w:val="nil"/>
              <w:tr2bl w:val="nil"/>
            </w:tcBorders>
            <w:noWrap/>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提高服务水平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175" w:type="dxa"/>
            <w:gridSpan w:val="6"/>
            <w:tcBorders>
              <w:tl2br w:val="nil"/>
              <w:tr2bl w:val="nil"/>
            </w:tcBorders>
            <w:noWrap/>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总分</w:t>
            </w:r>
          </w:p>
        </w:tc>
        <w:tc>
          <w:tcPr>
            <w:tcW w:w="870" w:type="dxa"/>
            <w:tcBorders>
              <w:tl2br w:val="nil"/>
              <w:tr2bl w:val="nil"/>
            </w:tcBorders>
            <w:noWrap/>
            <w:vAlign w:val="center"/>
          </w:tcPr>
          <w:p>
            <w:pPr>
              <w:widowControl/>
              <w:jc w:val="center"/>
              <w:rPr>
                <w:rFonts w:ascii="Times New Roman" w:hAnsi="Times New Roman"/>
                <w:color w:val="FF0000"/>
                <w:kern w:val="0"/>
                <w:sz w:val="21"/>
                <w:szCs w:val="21"/>
              </w:rPr>
            </w:pPr>
            <w:r>
              <w:rPr>
                <w:rFonts w:hint="eastAsia" w:ascii="Times New Roman" w:hAnsi="Times New Roman"/>
                <w:color w:val="000000"/>
                <w:kern w:val="0"/>
                <w:sz w:val="21"/>
                <w:szCs w:val="21"/>
              </w:rPr>
              <w:t>100</w:t>
            </w:r>
          </w:p>
        </w:tc>
        <w:tc>
          <w:tcPr>
            <w:tcW w:w="918" w:type="dxa"/>
            <w:tcBorders>
              <w:tl2br w:val="nil"/>
              <w:tr2bl w:val="nil"/>
            </w:tcBorders>
            <w:noWrap/>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85</w:t>
            </w:r>
          </w:p>
        </w:tc>
        <w:tc>
          <w:tcPr>
            <w:tcW w:w="1649" w:type="dxa"/>
            <w:tcBorders>
              <w:tl2br w:val="nil"/>
              <w:tr2bl w:val="nil"/>
            </w:tcBorders>
            <w:noWrap/>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bl>
    <w:p>
      <w:r>
        <w:rPr>
          <w:rFonts w:ascii="Times New Roman" w:hAnsi="Times New Roman"/>
          <w:kern w:val="0"/>
          <w:sz w:val="22"/>
          <w:szCs w:val="22"/>
        </w:rPr>
        <w:t>填表人：</w:t>
      </w:r>
      <w:r>
        <w:rPr>
          <w:rFonts w:hint="eastAsia" w:ascii="Times New Roman" w:hAnsi="Times New Roman"/>
          <w:kern w:val="0"/>
          <w:sz w:val="22"/>
          <w:szCs w:val="22"/>
        </w:rPr>
        <w:t xml:space="preserve">黄锦锦    </w:t>
      </w:r>
      <w:r>
        <w:rPr>
          <w:rFonts w:ascii="Times New Roman" w:hAnsi="Times New Roman"/>
          <w:kern w:val="0"/>
          <w:sz w:val="22"/>
          <w:szCs w:val="22"/>
        </w:rPr>
        <w:t>填报日期：</w:t>
      </w:r>
      <w:r>
        <w:rPr>
          <w:rFonts w:hint="eastAsia" w:ascii="Times New Roman" w:hAnsi="Times New Roman"/>
          <w:kern w:val="0"/>
          <w:sz w:val="22"/>
          <w:szCs w:val="22"/>
        </w:rPr>
        <w:t>4月12日</w:t>
      </w:r>
      <w:r>
        <w:rPr>
          <w:rFonts w:ascii="Times New Roman" w:hAnsi="Times New Roman"/>
          <w:kern w:val="0"/>
          <w:sz w:val="22"/>
          <w:szCs w:val="22"/>
        </w:rPr>
        <w:t xml:space="preserve">  联系电话：</w:t>
      </w:r>
      <w:r>
        <w:rPr>
          <w:rFonts w:hint="eastAsia" w:ascii="Times New Roman" w:hAnsi="Times New Roman"/>
          <w:kern w:val="0"/>
          <w:sz w:val="22"/>
          <w:szCs w:val="22"/>
        </w:rPr>
        <w:t>0737-6206182</w:t>
      </w:r>
      <w:r>
        <w:rPr>
          <w:rFonts w:ascii="Times New Roman" w:hAnsi="Times New Roman"/>
          <w:kern w:val="0"/>
          <w:sz w:val="22"/>
          <w:szCs w:val="22"/>
        </w:rPr>
        <w:t xml:space="preserve">   单位负责人签字：</w:t>
      </w: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sz w:val="2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ind w:right="335"/>
                  <w:rPr>
                    <w:rStyle w:val="7"/>
                    <w:rFonts w:ascii="宋体" w:hAnsi="宋体" w:eastAsia="宋体"/>
                    <w:sz w:val="28"/>
                  </w:rPr>
                </w:pPr>
                <w:r>
                  <w:rPr>
                    <w:rStyle w:val="7"/>
                    <w:rFonts w:hint="eastAsia" w:ascii="宋体" w:hAnsi="宋体" w:eastAsia="宋体"/>
                    <w:sz w:val="28"/>
                  </w:rPr>
                  <w:t>—</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7</w:t>
                </w:r>
                <w:r>
                  <w:rPr>
                    <w:rFonts w:ascii="宋体" w:hAnsi="宋体" w:eastAsia="宋体"/>
                    <w:sz w:val="28"/>
                  </w:rPr>
                  <w:fldChar w:fldCharType="end"/>
                </w:r>
                <w:r>
                  <w:rPr>
                    <w:rStyle w:val="7"/>
                    <w:rFonts w:hint="eastAsia" w:ascii="宋体" w:hAnsi="宋体" w:eastAsia="宋体"/>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35"/>
      <w:rPr>
        <w:rStyle w:val="7"/>
        <w:rFonts w:ascii="宋体" w:hAnsi="宋体" w:eastAsia="宋体"/>
        <w:sz w:val="28"/>
      </w:rPr>
    </w:pPr>
    <w:r>
      <w:rPr>
        <w:rStyle w:val="7"/>
        <w:rFonts w:hint="eastAsia" w:ascii="宋体" w:hAnsi="宋体" w:eastAsia="宋体"/>
        <w:sz w:val="28"/>
      </w:rPr>
      <w:t>—</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8</w:t>
    </w:r>
    <w:r>
      <w:rPr>
        <w:rFonts w:ascii="宋体" w:hAnsi="宋体" w:eastAsia="宋体"/>
        <w:sz w:val="28"/>
      </w:rPr>
      <w:fldChar w:fldCharType="end"/>
    </w:r>
    <w:r>
      <w:rPr>
        <w:rStyle w:val="7"/>
        <w:rFonts w:hint="eastAsia" w:ascii="宋体" w:hAnsi="宋体" w:eastAsia="宋体"/>
        <w:sz w:val="28"/>
      </w:rPr>
      <w:t>—</w:t>
    </w:r>
  </w:p>
  <w:p>
    <w:pPr>
      <w:pStyle w:val="2"/>
      <w:ind w:left="300"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C0683"/>
    <w:multiLevelType w:val="singleLevel"/>
    <w:tmpl w:val="BF0C0683"/>
    <w:lvl w:ilvl="0" w:tentative="0">
      <w:start w:val="1"/>
      <w:numFmt w:val="chineseCounting"/>
      <w:suff w:val="nothing"/>
      <w:lvlText w:val="（%1）"/>
      <w:lvlJc w:val="left"/>
      <w:pPr>
        <w:ind w:left="-10"/>
      </w:pPr>
      <w:rPr>
        <w:rFonts w:hint="eastAsia"/>
      </w:rPr>
    </w:lvl>
  </w:abstractNum>
  <w:abstractNum w:abstractNumId="1">
    <w:nsid w:val="E4D4D2BA"/>
    <w:multiLevelType w:val="singleLevel"/>
    <w:tmpl w:val="E4D4D2BA"/>
    <w:lvl w:ilvl="0" w:tentative="0">
      <w:start w:val="2"/>
      <w:numFmt w:val="chineseCounting"/>
      <w:suff w:val="nothing"/>
      <w:lvlText w:val="%1、"/>
      <w:lvlJc w:val="left"/>
      <w:rPr>
        <w:rFonts w:hint="eastAsia"/>
      </w:rPr>
    </w:lvl>
  </w:abstractNum>
  <w:abstractNum w:abstractNumId="2">
    <w:nsid w:val="FC04085B"/>
    <w:multiLevelType w:val="singleLevel"/>
    <w:tmpl w:val="FC04085B"/>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5371EC"/>
    <w:rsid w:val="0007216C"/>
    <w:rsid w:val="001F3F6B"/>
    <w:rsid w:val="0042100B"/>
    <w:rsid w:val="00454605"/>
    <w:rsid w:val="00700185"/>
    <w:rsid w:val="00AC64C8"/>
    <w:rsid w:val="00AF2A3E"/>
    <w:rsid w:val="00C55C06"/>
    <w:rsid w:val="00CF37E4"/>
    <w:rsid w:val="00DA60A7"/>
    <w:rsid w:val="00F66F2B"/>
    <w:rsid w:val="00F84206"/>
    <w:rsid w:val="01A03DE8"/>
    <w:rsid w:val="03DC46E6"/>
    <w:rsid w:val="08D161FD"/>
    <w:rsid w:val="0A615A9E"/>
    <w:rsid w:val="0C081169"/>
    <w:rsid w:val="0D07717D"/>
    <w:rsid w:val="0D474995"/>
    <w:rsid w:val="0DE87090"/>
    <w:rsid w:val="1522690A"/>
    <w:rsid w:val="15335563"/>
    <w:rsid w:val="16131D46"/>
    <w:rsid w:val="16B54C89"/>
    <w:rsid w:val="19EF39AF"/>
    <w:rsid w:val="1B055973"/>
    <w:rsid w:val="1CDD295B"/>
    <w:rsid w:val="1ED96033"/>
    <w:rsid w:val="20040D55"/>
    <w:rsid w:val="222A0308"/>
    <w:rsid w:val="22885165"/>
    <w:rsid w:val="25663E09"/>
    <w:rsid w:val="25FA10C6"/>
    <w:rsid w:val="2A7B7404"/>
    <w:rsid w:val="2BF121F7"/>
    <w:rsid w:val="2DB64785"/>
    <w:rsid w:val="30EB500E"/>
    <w:rsid w:val="3A5371EC"/>
    <w:rsid w:val="3B092295"/>
    <w:rsid w:val="3B3B3099"/>
    <w:rsid w:val="3E4B5378"/>
    <w:rsid w:val="45624C49"/>
    <w:rsid w:val="45F17F7E"/>
    <w:rsid w:val="4D700D69"/>
    <w:rsid w:val="582232DD"/>
    <w:rsid w:val="593578A6"/>
    <w:rsid w:val="62AC4635"/>
    <w:rsid w:val="63E44552"/>
    <w:rsid w:val="6B682B10"/>
    <w:rsid w:val="6DD93D0B"/>
    <w:rsid w:val="70782760"/>
    <w:rsid w:val="76CB5188"/>
    <w:rsid w:val="79067631"/>
    <w:rsid w:val="7B8C6D02"/>
    <w:rsid w:val="7BF423E2"/>
    <w:rsid w:val="7D606114"/>
    <w:rsid w:val="7EEA3A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page number"/>
    <w:basedOn w:val="6"/>
    <w:qFormat/>
    <w:uiPriority w:val="0"/>
  </w:style>
  <w:style w:type="character" w:customStyle="1" w:styleId="8">
    <w:name w:val="页眉 Char"/>
    <w:basedOn w:val="6"/>
    <w:link w:val="3"/>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2995</Words>
  <Characters>411</Characters>
  <Lines>3</Lines>
  <Paragraphs>6</Paragraphs>
  <TotalTime>0</TotalTime>
  <ScaleCrop>false</ScaleCrop>
  <LinksUpToDate>false</LinksUpToDate>
  <CharactersWithSpaces>3400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2021-03-30T03:11:00Z</dcterms:created>
  <dc:creator>Administrator</dc:creator>
  <cp:lastModifiedBy>Administrator</cp:lastModifiedBy>
  <dcterms:modified xsi:type="dcterms:W3CDTF">2021-04-14T02:54:37Z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BFE05E4FA3BB45D7A806B2EBDD4FE202</vt:lpwstr>
  </property>
</Properties>
</file>