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2020年度益阳智慧大脑+政务服务项目绩效自评报告</w:t>
      </w:r>
    </w:p>
    <w:p>
      <w:pPr>
        <w:adjustRightInd w:val="0"/>
        <w:spacing w:line="600" w:lineRule="exact"/>
        <w:ind w:right="641"/>
        <w:rPr>
          <w:rFonts w:ascii="Times New Roman" w:hAnsi="Times New Roman"/>
          <w:szCs w:val="32"/>
        </w:rPr>
      </w:pPr>
    </w:p>
    <w:p>
      <w:pPr>
        <w:adjustRightInd w:val="0"/>
        <w:snapToGrid w:val="0"/>
        <w:spacing w:line="600" w:lineRule="exact"/>
        <w:ind w:firstLine="632" w:firstLineChars="200"/>
        <w:rPr>
          <w:rFonts w:ascii="黑体" w:hAnsi="黑体" w:eastAsia="黑体"/>
          <w:szCs w:val="32"/>
        </w:rPr>
      </w:pPr>
      <w:r>
        <w:rPr>
          <w:rFonts w:ascii="黑体" w:hAnsi="黑体" w:eastAsia="黑体"/>
          <w:szCs w:val="32"/>
        </w:rPr>
        <w:t>一、项目概况</w:t>
      </w:r>
    </w:p>
    <w:p>
      <w:pPr>
        <w:adjustRightInd w:val="0"/>
        <w:snapToGrid w:val="0"/>
        <w:spacing w:line="600" w:lineRule="exact"/>
        <w:ind w:firstLine="632" w:firstLineChars="200"/>
        <w:rPr>
          <w:rFonts w:ascii="仿宋_GB2312" w:hAnsi="仿宋"/>
          <w:szCs w:val="32"/>
        </w:rPr>
      </w:pPr>
      <w:r>
        <w:rPr>
          <w:rFonts w:hint="eastAsia" w:ascii="仿宋_GB2312" w:hAnsi="仿宋"/>
          <w:szCs w:val="32"/>
        </w:rPr>
        <w:t>2017年8月，市人民政府第9次常务会议决定建设益阳“智慧大脑+政务服务”项目，采取竞争性磋商采购方式，中国电信集团系统集成有限责任公司（以下简称中国电信）为中标单位。项目建设内容主要包括：对智慧益阳管理中心现有机房进行扩容升级，对政务网进行升级改造，建设统一的基础资源服务平台、应用支撑层平台、信息资源平台、运营运维管理支撑平台、服务保障流程体系，建设“互联网+政务服务”创新应用，建设满足国家电子政务安全需要的三级等保安全体系。</w:t>
      </w:r>
    </w:p>
    <w:p>
      <w:pPr>
        <w:numPr>
          <w:ilvl w:val="0"/>
          <w:numId w:val="1"/>
        </w:numPr>
        <w:adjustRightInd w:val="0"/>
        <w:snapToGrid w:val="0"/>
        <w:spacing w:line="600" w:lineRule="exact"/>
        <w:ind w:firstLine="632" w:firstLineChars="200"/>
        <w:rPr>
          <w:rFonts w:ascii="黑体" w:hAnsi="黑体" w:eastAsia="黑体"/>
          <w:szCs w:val="32"/>
        </w:rPr>
      </w:pPr>
      <w:r>
        <w:rPr>
          <w:rFonts w:hint="eastAsia" w:ascii="黑体" w:hAnsi="黑体" w:eastAsia="黑体"/>
          <w:szCs w:val="32"/>
        </w:rPr>
        <w:t>绩效自评工作开展情况</w:t>
      </w:r>
    </w:p>
    <w:p>
      <w:pPr>
        <w:spacing w:line="580" w:lineRule="exact"/>
        <w:ind w:firstLine="632" w:firstLineChars="200"/>
        <w:rPr>
          <w:rFonts w:ascii="方正仿宋简体" w:hAnsi="方正仿宋简体" w:eastAsia="方正仿宋简体" w:cs="方正仿宋简体"/>
          <w:szCs w:val="32"/>
        </w:rPr>
      </w:pPr>
      <w:r>
        <w:rPr>
          <w:rFonts w:hint="eastAsia" w:ascii="楷体" w:hAnsi="楷体" w:eastAsia="楷体" w:cs="楷体"/>
          <w:szCs w:val="32"/>
        </w:rPr>
        <w:t>（一）绩效评价目的。</w:t>
      </w:r>
      <w:r>
        <w:rPr>
          <w:rFonts w:hint="eastAsia" w:ascii="方正仿宋简体" w:hAnsi="方正仿宋简体" w:eastAsia="方正仿宋简体" w:cs="方正仿宋简体"/>
          <w:szCs w:val="32"/>
        </w:rPr>
        <w:t>通过开展绩效评价，全面了解、分析项目实施程序是否规范，后期维护是否完善，资金使用、管理是否合规，项目绩效目标是否实现，进一步健全相关制度，规范资金使用、管理，加强项目后期运行维护，确保项目正常运行，提高财政资金使用效益。</w:t>
      </w:r>
    </w:p>
    <w:p>
      <w:pPr>
        <w:spacing w:line="580" w:lineRule="exact"/>
        <w:ind w:firstLine="632" w:firstLineChars="200"/>
        <w:rPr>
          <w:rFonts w:ascii="方正仿宋简体" w:hAnsi="方正仿宋简体" w:cs="方正仿宋简体"/>
          <w:szCs w:val="32"/>
        </w:rPr>
      </w:pPr>
      <w:r>
        <w:rPr>
          <w:rFonts w:hint="eastAsia" w:ascii="楷体" w:hAnsi="楷体" w:eastAsia="楷体" w:cs="楷体"/>
          <w:szCs w:val="32"/>
        </w:rPr>
        <w:t>（二）绩效评价过程。</w:t>
      </w:r>
      <w:r>
        <w:rPr>
          <w:rFonts w:hint="eastAsia" w:ascii="仿宋_GB2312" w:hAnsi="仿宋"/>
          <w:szCs w:val="32"/>
        </w:rPr>
        <w:t>根据《益阳市财政局关于开展2020年度部门绩效自评工作的通知》文件要求，我单位成立了绩效评价小组，对2020年度“智慧大脑+政务服务”项目开展了绩效自评工作：</w:t>
      </w:r>
    </w:p>
    <w:p>
      <w:pPr>
        <w:spacing w:line="580" w:lineRule="exact"/>
        <w:ind w:firstLine="632" w:firstLineChars="200"/>
        <w:rPr>
          <w:rFonts w:ascii="方正仿宋简体" w:hAnsi="方正仿宋简体" w:eastAsia="方正仿宋简体" w:cs="方正仿宋简体"/>
          <w:szCs w:val="32"/>
        </w:rPr>
      </w:pPr>
      <w:r>
        <w:rPr>
          <w:rFonts w:hint="eastAsia" w:ascii="方正仿宋简体" w:hAnsi="方正仿宋简体" w:eastAsia="方正仿宋简体" w:cs="方正仿宋简体"/>
          <w:b/>
          <w:bCs/>
          <w:szCs w:val="32"/>
        </w:rPr>
        <w:t>1、做好前期准备。</w:t>
      </w:r>
      <w:r>
        <w:rPr>
          <w:rFonts w:hint="eastAsia" w:ascii="方正仿宋简体" w:hAnsi="方正仿宋简体" w:eastAsia="方正仿宋简体" w:cs="方正仿宋简体"/>
          <w:szCs w:val="32"/>
        </w:rPr>
        <w:t>抽调专人成立绩效评价工作小组，明确了工作职责，制定了现场评价方案，联系相关部门单位，确定工作安排。</w:t>
      </w:r>
    </w:p>
    <w:p>
      <w:pPr>
        <w:adjustRightInd w:val="0"/>
        <w:snapToGrid w:val="0"/>
        <w:spacing w:line="600" w:lineRule="exact"/>
        <w:ind w:firstLine="632" w:firstLineChars="200"/>
        <w:rPr>
          <w:rFonts w:ascii="方正仿宋简体" w:hAnsi="方正仿宋简体" w:eastAsia="方正仿宋简体" w:cs="方正仿宋简体"/>
          <w:szCs w:val="32"/>
        </w:rPr>
      </w:pPr>
      <w:r>
        <w:rPr>
          <w:rFonts w:hint="eastAsia" w:ascii="方正仿宋简体" w:hAnsi="方正仿宋简体" w:eastAsia="方正仿宋简体" w:cs="方正仿宋简体"/>
          <w:b/>
          <w:bCs/>
          <w:szCs w:val="32"/>
        </w:rPr>
        <w:t>2、明确实施步骤。</w:t>
      </w:r>
      <w:r>
        <w:rPr>
          <w:rFonts w:hint="eastAsia" w:ascii="方正仿宋简体" w:hAnsi="方正仿宋简体" w:eastAsia="方正仿宋简体" w:cs="方正仿宋简体"/>
          <w:szCs w:val="32"/>
        </w:rPr>
        <w:t>（1）召开座谈会。组织分管领导、财务及项目负责人等召开座谈会，听取项目建设有关情况介绍；（2）收集核查资料。收集项目建设相关政策文件和项目单位相关制度，查验项目运行、管理和维护情况等，核查相关制度是否完善，项目建设程序是否规范，资金拨付手续是否齐全，是否存在截留、挪用等情况。（3）现场查看。到该项目现场查看，相关单位调查走访，了解政务云平台运行情况、相关市直单位数据共享交换相关情况以及数据管理中心机房运行情况等。（4）形成结论，撰写评价报告。</w:t>
      </w:r>
    </w:p>
    <w:p>
      <w:pPr>
        <w:adjustRightInd w:val="0"/>
        <w:snapToGrid w:val="0"/>
        <w:spacing w:line="600" w:lineRule="exact"/>
        <w:ind w:firstLine="632" w:firstLineChars="200"/>
        <w:rPr>
          <w:rFonts w:ascii="黑体" w:hAnsi="黑体" w:eastAsia="黑体"/>
          <w:szCs w:val="32"/>
        </w:rPr>
      </w:pPr>
      <w:r>
        <w:rPr>
          <w:rFonts w:ascii="黑体" w:hAnsi="黑体" w:eastAsia="黑体"/>
          <w:szCs w:val="32"/>
        </w:rPr>
        <w:t>三、</w:t>
      </w:r>
      <w:r>
        <w:rPr>
          <w:rFonts w:hint="eastAsia" w:ascii="黑体" w:hAnsi="黑体" w:eastAsia="黑体"/>
          <w:szCs w:val="32"/>
        </w:rPr>
        <w:t>综合评价结论</w:t>
      </w:r>
    </w:p>
    <w:p>
      <w:pPr>
        <w:adjustRightInd w:val="0"/>
        <w:snapToGrid w:val="0"/>
        <w:spacing w:line="600" w:lineRule="exact"/>
        <w:ind w:firstLine="632" w:firstLineChars="200"/>
        <w:rPr>
          <w:rFonts w:ascii="仿宋_GB2312" w:hAnsi="仿宋"/>
          <w:szCs w:val="32"/>
        </w:rPr>
      </w:pPr>
      <w:r>
        <w:rPr>
          <w:rFonts w:hint="eastAsia" w:ascii="仿宋_GB2312" w:hAnsi="仿宋"/>
          <w:szCs w:val="32"/>
        </w:rPr>
        <w:t>项目依照中央、省、市的要求决策，依据充分、目标明确、程序合理，与政策高度相关；项目资金到位及时，资金使用按预算执行，项目的组织和管理基本有效，项目的产出达到目标，项目效果良好，项目的预期绩效基本实现，绩效自评得分</w:t>
      </w:r>
      <w:r>
        <w:rPr>
          <w:rFonts w:ascii="仿宋_GB2312" w:hAnsi="仿宋"/>
          <w:szCs w:val="32"/>
        </w:rPr>
        <w:t>9</w:t>
      </w:r>
      <w:r>
        <w:rPr>
          <w:rFonts w:hint="eastAsia" w:ascii="仿宋_GB2312" w:hAnsi="仿宋"/>
          <w:szCs w:val="32"/>
        </w:rPr>
        <w:t>2分，绩效评价等级为“优秀”。</w:t>
      </w:r>
    </w:p>
    <w:p>
      <w:pPr>
        <w:adjustRightInd w:val="0"/>
        <w:snapToGrid w:val="0"/>
        <w:spacing w:line="600" w:lineRule="exact"/>
        <w:ind w:left="420" w:firstLine="420"/>
        <w:rPr>
          <w:rFonts w:ascii="黑体" w:hAnsi="黑体" w:eastAsia="黑体"/>
          <w:szCs w:val="32"/>
        </w:rPr>
      </w:pPr>
      <w:r>
        <w:rPr>
          <w:rFonts w:hint="eastAsia" w:ascii="仿宋_GB2312" w:hAnsi="仿宋" w:eastAsia="黑体"/>
          <w:szCs w:val="32"/>
        </w:rPr>
        <w:t>四、</w:t>
      </w:r>
      <w:r>
        <w:rPr>
          <w:rFonts w:hint="eastAsia" w:ascii="黑体" w:hAnsi="黑体" w:eastAsia="黑体"/>
          <w:szCs w:val="32"/>
        </w:rPr>
        <w:t>绩效目标实现情况分析</w:t>
      </w:r>
    </w:p>
    <w:p>
      <w:pPr>
        <w:widowControl/>
        <w:spacing w:line="600" w:lineRule="exact"/>
        <w:ind w:firstLine="632" w:firstLineChars="200"/>
        <w:rPr>
          <w:rFonts w:ascii="楷体_GB2312" w:hAnsi="仿宋" w:eastAsia="楷体_GB2312"/>
          <w:szCs w:val="32"/>
        </w:rPr>
      </w:pPr>
      <w:r>
        <w:rPr>
          <w:rFonts w:hint="eastAsia" w:ascii="楷体_GB2312" w:hAnsi="仿宋" w:eastAsia="楷体_GB2312"/>
          <w:szCs w:val="32"/>
        </w:rPr>
        <w:t>（一）项目资金使用及管理情况</w:t>
      </w:r>
    </w:p>
    <w:p>
      <w:pPr>
        <w:ind w:firstLine="592"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按照合同约定，自</w:t>
      </w:r>
      <w:r>
        <w:rPr>
          <w:rFonts w:ascii="方正仿宋_GBK" w:hAnsi="方正仿宋_GBK" w:eastAsia="方正仿宋_GBK" w:cs="方正仿宋_GBK"/>
          <w:sz w:val="30"/>
          <w:szCs w:val="30"/>
        </w:rPr>
        <w:t>2019</w:t>
      </w:r>
      <w:r>
        <w:rPr>
          <w:rFonts w:hint="eastAsia" w:ascii="方正仿宋_GBK" w:hAnsi="方正仿宋_GBK" w:eastAsia="方正仿宋_GBK" w:cs="方正仿宋_GBK"/>
          <w:sz w:val="30"/>
          <w:szCs w:val="30"/>
        </w:rPr>
        <w:t>年起每年应支付中国电信“软硬件建设费”</w:t>
      </w:r>
      <w:r>
        <w:rPr>
          <w:rFonts w:ascii="方正仿宋_GBK" w:hAnsi="方正仿宋_GBK" w:eastAsia="方正仿宋_GBK" w:cs="方正仿宋_GBK"/>
          <w:sz w:val="30"/>
          <w:szCs w:val="30"/>
        </w:rPr>
        <w:t>1835</w:t>
      </w:r>
      <w:r>
        <w:rPr>
          <w:rFonts w:hint="eastAsia" w:ascii="方正仿宋_GBK" w:hAnsi="方正仿宋_GBK" w:eastAsia="方正仿宋_GBK" w:cs="方正仿宋_GBK"/>
          <w:sz w:val="30"/>
          <w:szCs w:val="30"/>
        </w:rPr>
        <w:t>万元，分8年支付完成，上半年和下半年分别支付当年合同金额的50%（</w:t>
      </w:r>
      <w:r>
        <w:rPr>
          <w:rFonts w:ascii="方正仿宋_GBK" w:hAnsi="方正仿宋_GBK" w:eastAsia="方正仿宋_GBK" w:cs="方正仿宋_GBK"/>
          <w:sz w:val="30"/>
          <w:szCs w:val="30"/>
        </w:rPr>
        <w:t>917.5</w:t>
      </w:r>
      <w:r>
        <w:rPr>
          <w:rFonts w:hint="eastAsia" w:ascii="方正仿宋_GBK" w:hAnsi="方正仿宋_GBK" w:eastAsia="方正仿宋_GBK" w:cs="方正仿宋_GBK"/>
          <w:sz w:val="30"/>
          <w:szCs w:val="30"/>
        </w:rPr>
        <w:t>万元）。2020年上半年项目合同款已于2019年提前下达并完成支付，</w:t>
      </w:r>
      <w:r>
        <w:rPr>
          <w:rFonts w:hint="eastAsia" w:ascii="仿宋_GB2312" w:hAnsi="仿宋"/>
          <w:szCs w:val="32"/>
        </w:rPr>
        <w:t>益阳市财政局于2020年实际下达我单位“智慧大脑+政务服务”项目资金918万元，资金到位率100%，2020年度“智慧大脑+政务服务”项目支出918万元，预算执行率100%</w:t>
      </w:r>
      <w:r>
        <w:rPr>
          <w:rFonts w:hint="eastAsia" w:ascii="方正仿宋_GBK" w:hAnsi="方正仿宋_GBK" w:eastAsia="方正仿宋_GBK" w:cs="方正仿宋_GBK"/>
          <w:sz w:val="30"/>
          <w:szCs w:val="30"/>
        </w:rPr>
        <w:t>。</w:t>
      </w:r>
    </w:p>
    <w:p>
      <w:pPr>
        <w:ind w:firstLine="592" w:firstLineChars="200"/>
        <w:rPr>
          <w:rFonts w:ascii="仿宋_GB2312" w:hAnsi="仿宋"/>
          <w:szCs w:val="32"/>
        </w:rPr>
      </w:pPr>
      <w:r>
        <w:rPr>
          <w:rFonts w:hint="eastAsia" w:ascii="方正仿宋_GBK" w:hAnsi="方正仿宋_GBK" w:eastAsia="方正仿宋_GBK" w:cs="方正仿宋_GBK"/>
          <w:sz w:val="30"/>
          <w:szCs w:val="30"/>
        </w:rPr>
        <w:t>该项目资金支付严格按照合同要求，程序合规，手续齐全，不存在挤占、截留、挪用资金现象。</w:t>
      </w:r>
      <w:r>
        <w:rPr>
          <w:rFonts w:hint="eastAsia" w:ascii="仿宋_GB2312" w:hAnsi="仿宋"/>
          <w:szCs w:val="32"/>
        </w:rPr>
        <w:t>单位切实加强专项经费资金规范管理，提高资金使用效益，专款专用，项目资金严格执行从申请—复核—审核—领导批准支付的操作程序，手续齐全，程序到位，对支出进行严格审核，厉行节约，充分发挥资金的效益，做到专项经费专款专用，资金使用规范，会计核算真实、准确。本次项目绩效评价工作中，通过认真检查、核对会计凭证、会计账簿记录、账证相符，未发现违规、违纪行为。</w:t>
      </w:r>
    </w:p>
    <w:p>
      <w:pPr>
        <w:widowControl/>
        <w:spacing w:line="600" w:lineRule="exact"/>
        <w:ind w:firstLine="632" w:firstLineChars="200"/>
        <w:rPr>
          <w:rFonts w:ascii="楷体_GB2312" w:hAnsi="仿宋" w:eastAsia="楷体_GB2312"/>
          <w:szCs w:val="32"/>
        </w:rPr>
      </w:pPr>
      <w:r>
        <w:rPr>
          <w:rFonts w:hint="eastAsia" w:ascii="楷体_GB2312" w:hAnsi="仿宋" w:eastAsia="楷体_GB2312"/>
          <w:szCs w:val="32"/>
        </w:rPr>
        <w:t>（二）总体绩效目标完成情况分析</w:t>
      </w:r>
    </w:p>
    <w:p>
      <w:pPr>
        <w:widowControl/>
        <w:spacing w:line="600" w:lineRule="exact"/>
        <w:ind w:firstLine="632" w:firstLineChars="200"/>
        <w:rPr>
          <w:rFonts w:ascii="楷体_GB2312" w:hAnsi="仿宋" w:eastAsia="楷体_GB2312"/>
          <w:szCs w:val="32"/>
        </w:rPr>
      </w:pPr>
      <w:r>
        <w:rPr>
          <w:rFonts w:hint="eastAsia" w:cs="Arial"/>
        </w:rPr>
        <w:t>建成了以益阳新型智慧城市“智慧大脑+政务服务”的云计算基础技术框架，为益阳新型智慧城市的整体建设奠定基础，为“互联网+政务服务”提供基础资源、数据共享开放、应用支撑的服务能力，提高政府服务能力，为后续政府治理、普惠民生、产业升级等智慧化应用的建设提供可扩展的环境。</w:t>
      </w:r>
    </w:p>
    <w:p>
      <w:pPr>
        <w:widowControl/>
        <w:numPr>
          <w:ilvl w:val="0"/>
          <w:numId w:val="2"/>
        </w:numPr>
        <w:spacing w:line="600" w:lineRule="exact"/>
        <w:ind w:firstLine="632" w:firstLineChars="200"/>
        <w:rPr>
          <w:rFonts w:ascii="楷体_GB2312" w:hAnsi="仿宋" w:eastAsia="楷体_GB2312"/>
          <w:szCs w:val="32"/>
        </w:rPr>
      </w:pPr>
      <w:r>
        <w:rPr>
          <w:rFonts w:hint="eastAsia" w:ascii="楷体_GB2312" w:hAnsi="仿宋" w:eastAsia="楷体_GB2312"/>
          <w:szCs w:val="32"/>
        </w:rPr>
        <w:t>绩效指标完成情况分析</w:t>
      </w:r>
    </w:p>
    <w:p>
      <w:pPr>
        <w:widowControl/>
        <w:spacing w:line="600" w:lineRule="exact"/>
        <w:ind w:firstLine="632" w:firstLineChars="200"/>
        <w:rPr>
          <w:rFonts w:cs="Arial"/>
          <w:kern w:val="0"/>
        </w:rPr>
      </w:pPr>
      <w:r>
        <w:rPr>
          <w:rFonts w:hint="eastAsia" w:ascii="仿宋_GB2312" w:hAnsi="仿宋"/>
          <w:szCs w:val="32"/>
        </w:rPr>
        <w:t>1.经济性分析情况。通过统筹共建的基础设施，降低了成本投入。</w:t>
      </w:r>
      <w:r>
        <w:rPr>
          <w:rFonts w:cs="Arial"/>
          <w:kern w:val="0"/>
        </w:rPr>
        <w:t>用国际、国内先进通信设备</w:t>
      </w:r>
      <w:r>
        <w:rPr>
          <w:rFonts w:hint="eastAsia" w:cs="Arial"/>
          <w:kern w:val="0"/>
        </w:rPr>
        <w:t>，</w:t>
      </w:r>
      <w:r>
        <w:rPr>
          <w:rFonts w:cs="Arial"/>
          <w:kern w:val="0"/>
        </w:rPr>
        <w:t>从耗电源头对主设备进行节能</w:t>
      </w:r>
      <w:r>
        <w:rPr>
          <w:rFonts w:hint="eastAsia" w:cs="Arial"/>
          <w:kern w:val="0"/>
        </w:rPr>
        <w:t>。机房</w:t>
      </w:r>
      <w:r>
        <w:rPr>
          <w:rFonts w:cs="Arial"/>
          <w:bCs/>
          <w:kern w:val="0"/>
          <w:lang w:val="zh-CN"/>
        </w:rPr>
        <w:t>整体采用模块化方式建设、冷热气流封闭通道方式建设，达到节能的需求</w:t>
      </w:r>
      <w:r>
        <w:rPr>
          <w:rFonts w:hint="eastAsia" w:cs="Arial"/>
          <w:bCs/>
          <w:kern w:val="0"/>
          <w:lang w:val="zh-CN"/>
        </w:rPr>
        <w:t>。</w:t>
      </w:r>
      <w:r>
        <w:rPr>
          <w:rFonts w:cs="Arial"/>
          <w:kern w:val="0"/>
        </w:rPr>
        <w:t>采用微模块封闭冷通道送风形式，形成热通道气流遏</w:t>
      </w:r>
      <w:r>
        <w:rPr>
          <w:rFonts w:hint="eastAsia" w:cs="Arial"/>
          <w:kern w:val="0"/>
        </w:rPr>
        <w:t>，</w:t>
      </w:r>
      <w:r>
        <w:rPr>
          <w:rFonts w:cs="Arial"/>
          <w:kern w:val="0"/>
        </w:rPr>
        <w:t>将冷空气封闭机柜前门区域，避免与机房冷空气混合，全封闭式冷气循环系统环境，提高空调使用率，达到节能降效的效果</w:t>
      </w:r>
      <w:r>
        <w:rPr>
          <w:rFonts w:hint="eastAsia" w:cs="Arial"/>
          <w:kern w:val="0"/>
        </w:rPr>
        <w:t>。</w:t>
      </w:r>
    </w:p>
    <w:p>
      <w:pPr>
        <w:widowControl/>
        <w:spacing w:line="600" w:lineRule="exact"/>
        <w:ind w:firstLine="632" w:firstLineChars="200"/>
        <w:rPr>
          <w:rFonts w:cs="Arial"/>
        </w:rPr>
      </w:pPr>
      <w:r>
        <w:rPr>
          <w:rFonts w:hint="eastAsia" w:cs="Arial"/>
          <w:kern w:val="0"/>
        </w:rPr>
        <w:t>2.效率性分析情况。已按时按要求完年份绩效目标，建成</w:t>
      </w:r>
      <w:r>
        <w:rPr>
          <w:rFonts w:hint="eastAsia" w:cs="Arial"/>
        </w:rPr>
        <w:t>以益阳新型智慧城市“智慧大脑+政务服务”的云计算基础技术框架。为保质保量，建成动环监控管理系统、完成政务网升级改造。</w:t>
      </w:r>
    </w:p>
    <w:p>
      <w:pPr>
        <w:widowControl/>
        <w:spacing w:line="600" w:lineRule="exact"/>
        <w:ind w:firstLine="632" w:firstLineChars="200"/>
        <w:rPr>
          <w:rFonts w:cs="Arial"/>
        </w:rPr>
      </w:pPr>
      <w:r>
        <w:rPr>
          <w:rFonts w:hint="eastAsia" w:cs="Arial"/>
          <w:kern w:val="0"/>
        </w:rPr>
        <w:t>3.有效性分析情况。通过简政放权，建成“一网通办、一窗办理”，提高了老百姓办事效率。通过整合各部门政务数据，完成全市政务资源管理、应用支撑、数据共享，提升了各部门政务服务效能。</w:t>
      </w:r>
      <w:r>
        <w:rPr>
          <w:rFonts w:cs="Arial"/>
        </w:rPr>
        <w:t>互联互通的通信网络可以为各部门特别突发事件提供有力的技术支撑手段，有助于各级管理部门全面履行职责</w:t>
      </w:r>
      <w:r>
        <w:rPr>
          <w:rFonts w:hint="eastAsia" w:cs="Arial"/>
        </w:rPr>
        <w:t>。</w:t>
      </w:r>
    </w:p>
    <w:p>
      <w:pPr>
        <w:widowControl/>
        <w:spacing w:line="600" w:lineRule="exact"/>
        <w:ind w:firstLine="632" w:firstLineChars="200"/>
        <w:rPr>
          <w:rFonts w:ascii="楷体_GB2312" w:hAnsi="仿宋" w:eastAsia="楷体_GB2312"/>
          <w:szCs w:val="32"/>
        </w:rPr>
      </w:pPr>
      <w:r>
        <w:rPr>
          <w:rFonts w:hint="eastAsia" w:cs="Arial"/>
          <w:kern w:val="0"/>
        </w:rPr>
        <w:t>4.</w:t>
      </w:r>
      <w:r>
        <w:rPr>
          <w:rFonts w:ascii="仿宋_GB2312" w:hAnsi="仿宋"/>
          <w:szCs w:val="32"/>
        </w:rPr>
        <w:t>可持续性</w:t>
      </w:r>
      <w:r>
        <w:rPr>
          <w:rFonts w:hint="eastAsia" w:ascii="仿宋_GB2312" w:hAnsi="仿宋"/>
          <w:szCs w:val="32"/>
        </w:rPr>
        <w:t>分析情况。建成的机房的基础设施、数据共享平台，将为即将出台的《益阳市新型智慧城市顶层设计(2021—2025年)》新型智慧城市建设项目提供建设基础。</w:t>
      </w:r>
      <w:r>
        <w:rPr>
          <w:rFonts w:cs="Arial"/>
        </w:rPr>
        <w:t>融合共享的</w:t>
      </w:r>
      <w:r>
        <w:rPr>
          <w:rFonts w:hint="eastAsia" w:cs="Arial"/>
        </w:rPr>
        <w:t>政务</w:t>
      </w:r>
      <w:r>
        <w:rPr>
          <w:rFonts w:cs="Arial"/>
        </w:rPr>
        <w:t>数据资源将源源不断将数据红利分享给政府、企业和个人，将推动信息共享、业务协同和智能应用进一步建设</w:t>
      </w:r>
      <w:r>
        <w:rPr>
          <w:rFonts w:hint="eastAsia" w:cs="Arial"/>
        </w:rPr>
        <w:t>。</w:t>
      </w:r>
    </w:p>
    <w:p>
      <w:pPr>
        <w:numPr>
          <w:numId w:val="0"/>
        </w:numPr>
        <w:adjustRightInd w:val="0"/>
        <w:snapToGrid w:val="0"/>
        <w:spacing w:line="600" w:lineRule="exact"/>
        <w:ind w:firstLine="632" w:firstLineChars="200"/>
        <w:rPr>
          <w:rFonts w:ascii="黑体" w:hAnsi="黑体" w:eastAsia="黑体"/>
          <w:szCs w:val="32"/>
        </w:rPr>
      </w:pPr>
      <w:r>
        <w:rPr>
          <w:rFonts w:hint="eastAsia" w:ascii="黑体" w:hAnsi="黑体" w:eastAsia="黑体"/>
          <w:szCs w:val="32"/>
          <w:lang w:eastAsia="zh-CN"/>
        </w:rPr>
        <w:t>五、</w:t>
      </w:r>
      <w:r>
        <w:rPr>
          <w:rFonts w:hint="eastAsia" w:ascii="黑体" w:hAnsi="黑体" w:eastAsia="黑体"/>
          <w:szCs w:val="32"/>
        </w:rPr>
        <w:t>存在的问题和改进措施</w:t>
      </w:r>
    </w:p>
    <w:p>
      <w:pPr>
        <w:spacing w:line="580" w:lineRule="exact"/>
        <w:ind w:firstLine="632" w:firstLineChars="200"/>
        <w:rPr>
          <w:rFonts w:cs="Arial"/>
        </w:rPr>
      </w:pPr>
      <w:r>
        <w:rPr>
          <w:rFonts w:hint="eastAsia" w:cs="Arial"/>
        </w:rPr>
        <w:t>一是</w:t>
      </w:r>
      <w:r>
        <w:rPr>
          <w:rFonts w:hint="eastAsia" w:ascii="方正仿宋简体" w:hAnsi="方正仿宋简体" w:eastAsia="方正仿宋简体" w:cs="方正仿宋简体"/>
          <w:szCs w:val="32"/>
        </w:rPr>
        <w:t>数据资源共享方面。经过不断努力，数据资源共享工作取得明显成效，但目前仍有部分业务单位数据未进入数据资源共享平台，数据壁垒、数据烟囱现象不同程度存在。下一步，将继续扩大市大数据平台数据资源归集工作，依据政务信息资源目录清单，分批次制定数据归集工作任务，采取群众办事堵点呼声最高的数据需求点优先归集，政务服务高频办理事项的数据需求点优先归集，各单位数据共享需求大的优先归集等手段。坚持“规划一批、对接一批、治理一批、共享一批”的原则，不断的扩大大数据平台的内部共享服务能力。</w:t>
      </w:r>
    </w:p>
    <w:p>
      <w:pPr>
        <w:spacing w:line="580" w:lineRule="exact"/>
        <w:ind w:firstLine="592" w:firstLineChars="200"/>
        <w:rPr>
          <w:rFonts w:cs="Arial"/>
        </w:rPr>
      </w:pPr>
      <w:r>
        <w:rPr>
          <w:rFonts w:hint="eastAsia" w:ascii="Times New Roman" w:hAnsi="Times New Roman" w:eastAsia="方正仿宋简体"/>
          <w:sz w:val="30"/>
          <w:szCs w:val="30"/>
        </w:rPr>
        <w:t>二是运行维护方面。</w:t>
      </w:r>
      <w:r>
        <w:rPr>
          <w:rFonts w:ascii="Times New Roman" w:hAnsi="Times New Roman" w:eastAsia="方正仿宋简体"/>
          <w:sz w:val="30"/>
          <w:szCs w:val="30"/>
        </w:rPr>
        <w:t>根据与中国电信签订的合同第五条“质量保证及责任认定“的规定：乙方按照甲方要求组建不低于20人的专职运维团队进行运维，驻现场维护人员不得少于10人。”目前益阳电信驻场维护人员仅为5名，影响运维工作的正常开展</w:t>
      </w:r>
      <w:r>
        <w:rPr>
          <w:rFonts w:hint="eastAsia" w:ascii="Times New Roman" w:hAnsi="Times New Roman" w:eastAsia="方正仿宋简体"/>
          <w:sz w:val="30"/>
          <w:szCs w:val="30"/>
        </w:rPr>
        <w:t>，</w:t>
      </w:r>
      <w:r>
        <w:rPr>
          <w:rFonts w:hint="eastAsia" w:ascii="方正仿宋简体" w:hAnsi="方正仿宋简体" w:eastAsia="方正仿宋简体" w:cs="方正仿宋简体"/>
          <w:szCs w:val="32"/>
        </w:rPr>
        <w:t>机房管理方面存在薄弱环节，运行管理人员缺乏常态系统的培训机制和考核制度，下一步将建立健全项目后期维护管理和培训考核制度，组建专业维护团队，进一步提高项目管理水平。</w:t>
      </w:r>
    </w:p>
    <w:p>
      <w:pPr>
        <w:numPr>
          <w:numId w:val="0"/>
        </w:numPr>
        <w:adjustRightInd w:val="0"/>
        <w:snapToGrid w:val="0"/>
        <w:spacing w:line="600" w:lineRule="exact"/>
        <w:ind w:firstLine="632" w:firstLineChars="200"/>
        <w:rPr>
          <w:rFonts w:ascii="黑体" w:hAnsi="黑体" w:eastAsia="黑体"/>
          <w:szCs w:val="32"/>
        </w:rPr>
      </w:pPr>
      <w:bookmarkStart w:id="0" w:name="_GoBack"/>
      <w:bookmarkEnd w:id="0"/>
      <w:r>
        <w:rPr>
          <w:rFonts w:hint="eastAsia" w:ascii="黑体" w:hAnsi="黑体" w:eastAsia="黑体"/>
          <w:szCs w:val="32"/>
          <w:lang w:eastAsia="zh-CN"/>
        </w:rPr>
        <w:t>六、</w:t>
      </w:r>
      <w:r>
        <w:rPr>
          <w:rFonts w:hint="eastAsia" w:ascii="黑体" w:hAnsi="黑体" w:eastAsia="黑体"/>
          <w:szCs w:val="32"/>
        </w:rPr>
        <w:t>绩效自评结果拟应用和公开情况</w:t>
      </w:r>
    </w:p>
    <w:p>
      <w:pPr>
        <w:adjustRightInd w:val="0"/>
        <w:snapToGrid w:val="0"/>
        <w:spacing w:line="600" w:lineRule="exact"/>
        <w:ind w:firstLine="632" w:firstLineChars="200"/>
        <w:rPr>
          <w:rFonts w:ascii="仿宋_GB2312" w:hAnsi="仿宋"/>
          <w:szCs w:val="32"/>
        </w:rPr>
      </w:pPr>
      <w:r>
        <w:rPr>
          <w:rFonts w:hint="eastAsia" w:ascii="仿宋_GB2312" w:hAnsi="仿宋"/>
          <w:szCs w:val="32"/>
        </w:rPr>
        <w:t>我单位将继续认真履职，完成项目经费支出信息公开、项目专项资金监审等相关工作。按市财政局及相关部门的要求完成绩效自评工作，将自评结果运用于实际工作，并将绩效自评结果在我单位进行公开。</w:t>
      </w:r>
    </w:p>
    <w:p>
      <w:pPr>
        <w:widowControl/>
        <w:spacing w:line="600" w:lineRule="exact"/>
        <w:rPr>
          <w:rFonts w:ascii="仿宋_GB2312" w:hAnsi="仿宋"/>
          <w:szCs w:val="32"/>
        </w:rPr>
      </w:pPr>
    </w:p>
    <w:p>
      <w:pPr>
        <w:widowControl/>
        <w:spacing w:line="600" w:lineRule="exact"/>
        <w:rPr>
          <w:rFonts w:ascii="黑体" w:hAnsi="黑体" w:eastAsia="黑体"/>
          <w:sz w:val="30"/>
          <w:szCs w:val="30"/>
        </w:rPr>
      </w:pPr>
      <w:r>
        <w:rPr>
          <w:rFonts w:hint="eastAsia" w:ascii="仿宋_GB2312" w:hAnsi="仿宋"/>
          <w:szCs w:val="32"/>
        </w:rPr>
        <w:t>附件</w:t>
      </w:r>
      <w:r>
        <w:rPr>
          <w:rFonts w:ascii="仿宋_GB2312" w:hAnsi="仿宋"/>
          <w:szCs w:val="32"/>
        </w:rPr>
        <w:t>：</w:t>
      </w:r>
      <w:r>
        <w:rPr>
          <w:rFonts w:hint="eastAsia" w:ascii="仿宋_GB2312" w:hAnsi="仿宋"/>
          <w:szCs w:val="32"/>
        </w:rPr>
        <w:t>2020年度</w:t>
      </w:r>
      <w:r>
        <w:rPr>
          <w:rFonts w:ascii="仿宋_GB2312" w:hAnsi="仿宋"/>
          <w:szCs w:val="32"/>
        </w:rPr>
        <w:t>项目支出绩效自评表</w:t>
      </w:r>
    </w:p>
    <w:p>
      <w:pPr>
        <w:widowControl/>
        <w:spacing w:line="400" w:lineRule="exact"/>
        <w:ind w:left="-565" w:leftChars="-179"/>
        <w:jc w:val="left"/>
        <w:rPr>
          <w:rFonts w:ascii="黑体" w:hAnsi="黑体" w:eastAsia="黑体"/>
          <w:sz w:val="30"/>
          <w:szCs w:val="30"/>
        </w:rPr>
      </w:pPr>
    </w:p>
    <w:p>
      <w:pPr>
        <w:spacing w:line="400" w:lineRule="exact"/>
        <w:ind w:firstLine="296" w:firstLineChars="100"/>
        <w:jc w:val="center"/>
        <w:rPr>
          <w:rFonts w:ascii="仿宋_GB2312" w:hAnsi="仿宋"/>
          <w:szCs w:val="32"/>
        </w:rPr>
      </w:pPr>
      <w:r>
        <w:rPr>
          <w:rFonts w:ascii="方正小标宋简体" w:eastAsia="方正小标宋简体"/>
          <w:kern w:val="0"/>
          <w:sz w:val="30"/>
          <w:szCs w:val="30"/>
        </w:rPr>
        <w:t>2020年度项目支出绩效自评表</w:t>
      </w:r>
    </w:p>
    <w:tbl>
      <w:tblPr>
        <w:tblStyle w:val="5"/>
        <w:tblW w:w="10095" w:type="dxa"/>
        <w:jc w:val="center"/>
        <w:tblLayout w:type="autofit"/>
        <w:tblCellMar>
          <w:top w:w="0" w:type="dxa"/>
          <w:left w:w="108" w:type="dxa"/>
          <w:bottom w:w="0" w:type="dxa"/>
          <w:right w:w="108" w:type="dxa"/>
        </w:tblCellMar>
      </w:tblPr>
      <w:tblGrid>
        <w:gridCol w:w="1172"/>
        <w:gridCol w:w="996"/>
        <w:gridCol w:w="990"/>
        <w:gridCol w:w="1558"/>
        <w:gridCol w:w="999"/>
        <w:gridCol w:w="1118"/>
        <w:gridCol w:w="827"/>
        <w:gridCol w:w="871"/>
        <w:gridCol w:w="1564"/>
      </w:tblGrid>
      <w:tr>
        <w:tblPrEx>
          <w:tblCellMar>
            <w:top w:w="0" w:type="dxa"/>
            <w:left w:w="108" w:type="dxa"/>
            <w:bottom w:w="0" w:type="dxa"/>
            <w:right w:w="108" w:type="dxa"/>
          </w:tblCellMar>
        </w:tblPrEx>
        <w:trPr>
          <w:trHeight w:val="318"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color w:val="000000"/>
                <w:kern w:val="0"/>
                <w:sz w:val="21"/>
                <w:szCs w:val="21"/>
              </w:rPr>
            </w:pPr>
            <w:r>
              <w:rPr>
                <w:rFonts w:ascii="Times New Roman" w:hAnsi="Times New Roman"/>
                <w:color w:val="000000"/>
                <w:kern w:val="0"/>
                <w:sz w:val="21"/>
                <w:szCs w:val="21"/>
              </w:rPr>
              <w:t>项目名称</w:t>
            </w:r>
          </w:p>
        </w:tc>
        <w:tc>
          <w:tcPr>
            <w:tcW w:w="8923" w:type="dxa"/>
            <w:gridSpan w:val="8"/>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益阳智慧大脑+政务服务项目</w:t>
            </w:r>
            <w:r>
              <w:rPr>
                <w:rFonts w:ascii="Times New Roman" w:hAnsi="Times New Roman"/>
                <w:color w:val="000000"/>
                <w:kern w:val="0"/>
                <w:sz w:val="21"/>
                <w:szCs w:val="21"/>
              </w:rPr>
              <w:t>　</w:t>
            </w:r>
          </w:p>
        </w:tc>
      </w:tr>
      <w:tr>
        <w:tblPrEx>
          <w:tblCellMar>
            <w:top w:w="0" w:type="dxa"/>
            <w:left w:w="108" w:type="dxa"/>
            <w:bottom w:w="0" w:type="dxa"/>
            <w:right w:w="108" w:type="dxa"/>
          </w:tblCellMar>
        </w:tblPrEx>
        <w:trPr>
          <w:trHeight w:val="407" w:hRule="atLeast"/>
          <w:jc w:val="center"/>
        </w:trPr>
        <w:tc>
          <w:tcPr>
            <w:tcW w:w="117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主管部门</w:t>
            </w:r>
          </w:p>
        </w:tc>
        <w:tc>
          <w:tcPr>
            <w:tcW w:w="4543" w:type="dxa"/>
            <w:gridSpan w:val="4"/>
            <w:tcBorders>
              <w:top w:val="single" w:color="auto" w:sz="4" w:space="0"/>
              <w:left w:val="nil"/>
              <w:bottom w:val="single" w:color="auto" w:sz="4" w:space="0"/>
              <w:right w:val="single" w:color="auto" w:sz="4" w:space="0"/>
            </w:tcBorders>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益阳市行政审批服务局</w:t>
            </w:r>
          </w:p>
        </w:tc>
        <w:tc>
          <w:tcPr>
            <w:tcW w:w="111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实施单位</w:t>
            </w:r>
          </w:p>
        </w:tc>
        <w:tc>
          <w:tcPr>
            <w:tcW w:w="3262" w:type="dxa"/>
            <w:gridSpan w:val="3"/>
            <w:tcBorders>
              <w:top w:val="single" w:color="auto" w:sz="4" w:space="0"/>
              <w:left w:val="nil"/>
              <w:bottom w:val="single" w:color="auto" w:sz="4" w:space="0"/>
              <w:right w:val="single" w:color="auto" w:sz="4" w:space="0"/>
            </w:tcBorders>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益阳市智慧城市和大数据中心</w:t>
            </w:r>
          </w:p>
        </w:tc>
      </w:tr>
      <w:tr>
        <w:tblPrEx>
          <w:tblCellMar>
            <w:top w:w="0" w:type="dxa"/>
            <w:left w:w="108" w:type="dxa"/>
            <w:bottom w:w="0" w:type="dxa"/>
            <w:right w:w="108" w:type="dxa"/>
          </w:tblCellMar>
        </w:tblPrEx>
        <w:trPr>
          <w:trHeight w:val="555" w:hRule="atLeast"/>
          <w:jc w:val="center"/>
        </w:trPr>
        <w:tc>
          <w:tcPr>
            <w:tcW w:w="1172"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项目资金</w:t>
            </w:r>
            <w:r>
              <w:rPr>
                <w:rFonts w:ascii="Times New Roman" w:hAnsi="Times New Roman"/>
                <w:color w:val="000000"/>
                <w:kern w:val="0"/>
                <w:sz w:val="21"/>
                <w:szCs w:val="21"/>
              </w:rPr>
              <w:br w:type="textWrapping"/>
            </w:r>
            <w:r>
              <w:rPr>
                <w:rFonts w:ascii="Times New Roman" w:hAnsi="Times New Roman"/>
                <w:color w:val="000000"/>
                <w:kern w:val="0"/>
                <w:sz w:val="21"/>
                <w:szCs w:val="21"/>
              </w:rPr>
              <w:t>（万元）</w:t>
            </w:r>
          </w:p>
        </w:tc>
        <w:tc>
          <w:tcPr>
            <w:tcW w:w="1986" w:type="dxa"/>
            <w:gridSpan w:val="2"/>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55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年初</w:t>
            </w: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预算数</w:t>
            </w:r>
          </w:p>
        </w:tc>
        <w:tc>
          <w:tcPr>
            <w:tcW w:w="99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全年</w:t>
            </w: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预算数</w:t>
            </w:r>
          </w:p>
        </w:tc>
        <w:tc>
          <w:tcPr>
            <w:tcW w:w="1118"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sz w:val="21"/>
                <w:szCs w:val="21"/>
              </w:rPr>
            </w:pPr>
            <w:r>
              <w:rPr>
                <w:rFonts w:ascii="Times New Roman" w:hAnsi="Times New Roman"/>
                <w:sz w:val="21"/>
                <w:szCs w:val="21"/>
              </w:rPr>
              <w:t>全年</w:t>
            </w:r>
          </w:p>
          <w:p>
            <w:pPr>
              <w:spacing w:line="240" w:lineRule="exact"/>
              <w:jc w:val="center"/>
              <w:rPr>
                <w:rFonts w:ascii="Times New Roman" w:hAnsi="Times New Roman"/>
                <w:sz w:val="21"/>
                <w:szCs w:val="21"/>
              </w:rPr>
            </w:pPr>
            <w:r>
              <w:rPr>
                <w:rFonts w:ascii="Times New Roman" w:hAnsi="Times New Roman"/>
                <w:sz w:val="21"/>
                <w:szCs w:val="21"/>
              </w:rPr>
              <w:t>执行数</w:t>
            </w:r>
          </w:p>
        </w:tc>
        <w:tc>
          <w:tcPr>
            <w:tcW w:w="827" w:type="dxa"/>
            <w:tcBorders>
              <w:top w:val="nil"/>
              <w:left w:val="nil"/>
              <w:bottom w:val="single" w:color="auto" w:sz="4" w:space="0"/>
              <w:right w:val="single" w:color="auto" w:sz="4" w:space="0"/>
            </w:tcBorders>
            <w:vAlign w:val="center"/>
          </w:tcPr>
          <w:p>
            <w:pPr>
              <w:jc w:val="center"/>
              <w:rPr>
                <w:rFonts w:ascii="Times New Roman" w:hAnsi="Times New Roman"/>
                <w:sz w:val="21"/>
                <w:szCs w:val="21"/>
              </w:rPr>
            </w:pPr>
            <w:r>
              <w:rPr>
                <w:rFonts w:ascii="Times New Roman" w:hAnsi="Times New Roman"/>
                <w:sz w:val="21"/>
                <w:szCs w:val="21"/>
              </w:rPr>
              <w:t>分值</w:t>
            </w:r>
          </w:p>
        </w:tc>
        <w:tc>
          <w:tcPr>
            <w:tcW w:w="871" w:type="dxa"/>
            <w:tcBorders>
              <w:top w:val="nil"/>
              <w:left w:val="nil"/>
              <w:bottom w:val="single" w:color="auto" w:sz="4" w:space="0"/>
              <w:right w:val="single" w:color="auto" w:sz="4" w:space="0"/>
            </w:tcBorders>
            <w:vAlign w:val="center"/>
          </w:tcPr>
          <w:p>
            <w:pPr>
              <w:jc w:val="center"/>
              <w:rPr>
                <w:rFonts w:ascii="Times New Roman" w:hAnsi="Times New Roman"/>
                <w:sz w:val="21"/>
                <w:szCs w:val="21"/>
              </w:rPr>
            </w:pPr>
            <w:r>
              <w:rPr>
                <w:rFonts w:ascii="Times New Roman" w:hAnsi="Times New Roman"/>
                <w:sz w:val="21"/>
                <w:szCs w:val="21"/>
              </w:rPr>
              <w:t>执行率</w:t>
            </w:r>
          </w:p>
        </w:tc>
        <w:tc>
          <w:tcPr>
            <w:tcW w:w="1564" w:type="dxa"/>
            <w:tcBorders>
              <w:top w:val="nil"/>
              <w:left w:val="nil"/>
              <w:bottom w:val="single" w:color="auto" w:sz="4" w:space="0"/>
              <w:right w:val="single" w:color="auto" w:sz="4" w:space="0"/>
            </w:tcBorders>
            <w:vAlign w:val="center"/>
          </w:tcPr>
          <w:p>
            <w:pPr>
              <w:jc w:val="center"/>
              <w:rPr>
                <w:rFonts w:ascii="Times New Roman" w:hAnsi="Times New Roman"/>
                <w:sz w:val="21"/>
                <w:szCs w:val="21"/>
              </w:rPr>
            </w:pPr>
            <w:r>
              <w:rPr>
                <w:rFonts w:ascii="Times New Roman" w:hAnsi="Times New Roman"/>
                <w:sz w:val="21"/>
                <w:szCs w:val="21"/>
              </w:rPr>
              <w:t>得分</w:t>
            </w:r>
          </w:p>
        </w:tc>
      </w:tr>
      <w:tr>
        <w:tblPrEx>
          <w:tblCellMar>
            <w:top w:w="0" w:type="dxa"/>
            <w:left w:w="108" w:type="dxa"/>
            <w:bottom w:w="0" w:type="dxa"/>
            <w:right w:w="108" w:type="dxa"/>
          </w:tblCellMar>
        </w:tblPrEx>
        <w:trPr>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1"/>
                <w:szCs w:val="21"/>
              </w:rPr>
            </w:pPr>
          </w:p>
        </w:tc>
        <w:tc>
          <w:tcPr>
            <w:tcW w:w="1986" w:type="dxa"/>
            <w:gridSpan w:val="2"/>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年度资金总额　</w:t>
            </w:r>
          </w:p>
        </w:tc>
        <w:tc>
          <w:tcPr>
            <w:tcW w:w="1558"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918</w:t>
            </w:r>
          </w:p>
        </w:tc>
        <w:tc>
          <w:tcPr>
            <w:tcW w:w="999"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918</w:t>
            </w:r>
          </w:p>
        </w:tc>
        <w:tc>
          <w:tcPr>
            <w:tcW w:w="1118"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918</w:t>
            </w:r>
          </w:p>
        </w:tc>
        <w:tc>
          <w:tcPr>
            <w:tcW w:w="827"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10</w:t>
            </w:r>
          </w:p>
        </w:tc>
        <w:tc>
          <w:tcPr>
            <w:tcW w:w="871"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100%</w:t>
            </w:r>
          </w:p>
        </w:tc>
        <w:tc>
          <w:tcPr>
            <w:tcW w:w="1564"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10</w:t>
            </w:r>
          </w:p>
        </w:tc>
      </w:tr>
      <w:tr>
        <w:tblPrEx>
          <w:tblCellMar>
            <w:top w:w="0" w:type="dxa"/>
            <w:left w:w="108" w:type="dxa"/>
            <w:bottom w:w="0" w:type="dxa"/>
            <w:right w:w="108" w:type="dxa"/>
          </w:tblCellMar>
        </w:tblPrEx>
        <w:trPr>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1"/>
                <w:szCs w:val="21"/>
              </w:rPr>
            </w:pPr>
          </w:p>
        </w:tc>
        <w:tc>
          <w:tcPr>
            <w:tcW w:w="1986" w:type="dxa"/>
            <w:gridSpan w:val="2"/>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其中：当年财政拨款　</w:t>
            </w:r>
          </w:p>
        </w:tc>
        <w:tc>
          <w:tcPr>
            <w:tcW w:w="1558"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918</w:t>
            </w:r>
          </w:p>
        </w:tc>
        <w:tc>
          <w:tcPr>
            <w:tcW w:w="999"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918</w:t>
            </w:r>
          </w:p>
        </w:tc>
        <w:tc>
          <w:tcPr>
            <w:tcW w:w="1118"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918</w:t>
            </w:r>
          </w:p>
        </w:tc>
        <w:tc>
          <w:tcPr>
            <w:tcW w:w="827"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10</w:t>
            </w:r>
          </w:p>
        </w:tc>
        <w:tc>
          <w:tcPr>
            <w:tcW w:w="871"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100%</w:t>
            </w:r>
          </w:p>
        </w:tc>
        <w:tc>
          <w:tcPr>
            <w:tcW w:w="1564"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10</w:t>
            </w:r>
          </w:p>
        </w:tc>
      </w:tr>
      <w:tr>
        <w:tblPrEx>
          <w:tblCellMar>
            <w:top w:w="0" w:type="dxa"/>
            <w:left w:w="108" w:type="dxa"/>
            <w:bottom w:w="0" w:type="dxa"/>
            <w:right w:w="108" w:type="dxa"/>
          </w:tblCellMar>
        </w:tblPrEx>
        <w:trPr>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1"/>
                <w:szCs w:val="21"/>
              </w:rPr>
            </w:pPr>
          </w:p>
        </w:tc>
        <w:tc>
          <w:tcPr>
            <w:tcW w:w="1986" w:type="dxa"/>
            <w:gridSpan w:val="2"/>
            <w:tcBorders>
              <w:top w:val="nil"/>
              <w:left w:val="nil"/>
              <w:bottom w:val="single" w:color="auto" w:sz="4" w:space="0"/>
              <w:right w:val="single" w:color="auto" w:sz="4" w:space="0"/>
            </w:tcBorders>
            <w:vAlign w:val="center"/>
          </w:tcPr>
          <w:p>
            <w:pPr>
              <w:widowControl/>
              <w:ind w:firstLine="618" w:firstLineChars="300"/>
              <w:jc w:val="left"/>
              <w:rPr>
                <w:rFonts w:ascii="Times New Roman" w:hAnsi="Times New Roman"/>
                <w:color w:val="000000"/>
                <w:kern w:val="0"/>
                <w:sz w:val="21"/>
                <w:szCs w:val="21"/>
              </w:rPr>
            </w:pPr>
            <w:r>
              <w:rPr>
                <w:rFonts w:ascii="Times New Roman" w:hAnsi="Times New Roman"/>
                <w:color w:val="000000"/>
                <w:kern w:val="0"/>
                <w:sz w:val="21"/>
                <w:szCs w:val="21"/>
              </w:rPr>
              <w:t>上年结转资金　</w:t>
            </w:r>
          </w:p>
        </w:tc>
        <w:tc>
          <w:tcPr>
            <w:tcW w:w="1558"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999"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118"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827"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871"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5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1"/>
                <w:szCs w:val="21"/>
              </w:rPr>
            </w:pPr>
          </w:p>
        </w:tc>
        <w:tc>
          <w:tcPr>
            <w:tcW w:w="1986" w:type="dxa"/>
            <w:gridSpan w:val="2"/>
            <w:tcBorders>
              <w:top w:val="nil"/>
              <w:left w:val="nil"/>
              <w:bottom w:val="single" w:color="auto" w:sz="4" w:space="0"/>
              <w:right w:val="single" w:color="auto" w:sz="4" w:space="0"/>
            </w:tcBorders>
            <w:vAlign w:val="center"/>
          </w:tcPr>
          <w:p>
            <w:pPr>
              <w:widowControl/>
              <w:ind w:firstLine="618" w:firstLineChars="300"/>
              <w:jc w:val="left"/>
              <w:rPr>
                <w:rFonts w:ascii="Times New Roman" w:hAnsi="Times New Roman"/>
                <w:color w:val="000000"/>
                <w:kern w:val="0"/>
                <w:sz w:val="21"/>
                <w:szCs w:val="21"/>
              </w:rPr>
            </w:pPr>
            <w:r>
              <w:rPr>
                <w:rFonts w:ascii="Times New Roman" w:hAnsi="Times New Roman"/>
                <w:color w:val="000000"/>
                <w:kern w:val="0"/>
                <w:sz w:val="21"/>
                <w:szCs w:val="21"/>
              </w:rPr>
              <w:t>其他资金</w:t>
            </w:r>
          </w:p>
        </w:tc>
        <w:tc>
          <w:tcPr>
            <w:tcW w:w="1558"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999"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118"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827"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871"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5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172"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年度总体目标</w:t>
            </w:r>
          </w:p>
        </w:tc>
        <w:tc>
          <w:tcPr>
            <w:tcW w:w="4543" w:type="dxa"/>
            <w:gridSpan w:val="4"/>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预期目标</w:t>
            </w:r>
          </w:p>
        </w:tc>
        <w:tc>
          <w:tcPr>
            <w:tcW w:w="4380" w:type="dxa"/>
            <w:gridSpan w:val="4"/>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实际完成情况　</w:t>
            </w:r>
          </w:p>
        </w:tc>
      </w:tr>
      <w:tr>
        <w:tblPrEx>
          <w:tblCellMar>
            <w:top w:w="0" w:type="dxa"/>
            <w:left w:w="108" w:type="dxa"/>
            <w:bottom w:w="0" w:type="dxa"/>
            <w:right w:w="108" w:type="dxa"/>
          </w:tblCellMar>
        </w:tblPrEx>
        <w:trPr>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1"/>
                <w:szCs w:val="21"/>
              </w:rPr>
            </w:pPr>
          </w:p>
        </w:tc>
        <w:tc>
          <w:tcPr>
            <w:tcW w:w="4543" w:type="dxa"/>
            <w:gridSpan w:val="4"/>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以益阳新型智慧城市“智慧大脑+政务服务”的云计算基础技术框架，为益阳新型智慧城市的整体建设奠定基础，为“互联网+政务服务”提供基础资源、数据共享开放、应用支撑的服务能力，提高政府服务能力，为后续政府治理、普惠民生、产业升级等智慧化应用的建设提供可扩展的环境。</w:t>
            </w:r>
          </w:p>
        </w:tc>
        <w:tc>
          <w:tcPr>
            <w:tcW w:w="4380" w:type="dxa"/>
            <w:gridSpan w:val="4"/>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建成以益阳新型智慧城市“智慧大脑+政务服务”的云计算基础技术框架，为益阳新型智慧城市的整体建设奠定基础，为“互联网+政务服务”提供基础资源、数据共享开放、应用支撑的服务能力，提高政府服务能力，为后续政府治理、普惠民生、产业升级等智慧化应用的建设提供可扩展的环境。</w:t>
            </w:r>
          </w:p>
        </w:tc>
      </w:tr>
      <w:tr>
        <w:tblPrEx>
          <w:tblCellMar>
            <w:top w:w="0" w:type="dxa"/>
            <w:left w:w="108" w:type="dxa"/>
            <w:bottom w:w="0" w:type="dxa"/>
            <w:right w:w="108" w:type="dxa"/>
          </w:tblCellMar>
        </w:tblPrEx>
        <w:trPr>
          <w:trHeight w:val="572" w:hRule="atLeast"/>
          <w:jc w:val="center"/>
        </w:trPr>
        <w:tc>
          <w:tcPr>
            <w:tcW w:w="1172" w:type="dxa"/>
            <w:vMerge w:val="restart"/>
            <w:tcBorders>
              <w:top w:val="nil"/>
              <w:left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绩</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效</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指</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标</w:t>
            </w: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一级指标</w:t>
            </w:r>
          </w:p>
        </w:tc>
        <w:tc>
          <w:tcPr>
            <w:tcW w:w="99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二级指标</w:t>
            </w:r>
          </w:p>
        </w:tc>
        <w:tc>
          <w:tcPr>
            <w:tcW w:w="155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三级指标</w:t>
            </w:r>
          </w:p>
        </w:tc>
        <w:tc>
          <w:tcPr>
            <w:tcW w:w="99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年度</w:t>
            </w: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指标值</w:t>
            </w:r>
          </w:p>
        </w:tc>
        <w:tc>
          <w:tcPr>
            <w:tcW w:w="111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实际</w:t>
            </w: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完成值</w:t>
            </w:r>
          </w:p>
        </w:tc>
        <w:tc>
          <w:tcPr>
            <w:tcW w:w="82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分值</w:t>
            </w:r>
          </w:p>
        </w:tc>
        <w:tc>
          <w:tcPr>
            <w:tcW w:w="871"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得分</w:t>
            </w:r>
          </w:p>
        </w:tc>
        <w:tc>
          <w:tcPr>
            <w:tcW w:w="1564"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偏差原因分析及改进措施</w:t>
            </w:r>
          </w:p>
        </w:tc>
      </w:tr>
      <w:tr>
        <w:tblPrEx>
          <w:tblCellMar>
            <w:top w:w="0" w:type="dxa"/>
            <w:left w:w="108" w:type="dxa"/>
            <w:bottom w:w="0" w:type="dxa"/>
            <w:right w:w="108" w:type="dxa"/>
          </w:tblCellMar>
        </w:tblPrEx>
        <w:trPr>
          <w:jc w:val="center"/>
        </w:trPr>
        <w:tc>
          <w:tcPr>
            <w:tcW w:w="1172" w:type="dxa"/>
            <w:vMerge w:val="continue"/>
            <w:tcBorders>
              <w:left w:val="single" w:color="auto" w:sz="4" w:space="0"/>
              <w:right w:val="single" w:color="auto" w:sz="4" w:space="0"/>
            </w:tcBorders>
            <w:vAlign w:val="center"/>
          </w:tcPr>
          <w:p>
            <w:pPr>
              <w:jc w:val="left"/>
              <w:rPr>
                <w:rFonts w:ascii="Times New Roman" w:hAnsi="Times New Roman"/>
                <w:color w:val="000000"/>
                <w:kern w:val="0"/>
                <w:sz w:val="21"/>
                <w:szCs w:val="21"/>
              </w:rPr>
            </w:pPr>
          </w:p>
        </w:tc>
        <w:tc>
          <w:tcPr>
            <w:tcW w:w="996" w:type="dxa"/>
            <w:vMerge w:val="restart"/>
            <w:tcBorders>
              <w:top w:val="nil"/>
              <w:left w:val="nil"/>
              <w:right w:val="single" w:color="auto" w:sz="4" w:space="0"/>
            </w:tcBorders>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产出指标</w:t>
            </w:r>
          </w:p>
          <w:p>
            <w:pPr>
              <w:widowControl/>
              <w:jc w:val="center"/>
              <w:rPr>
                <w:rFonts w:ascii="Times New Roman" w:hAnsi="Times New Roman"/>
                <w:color w:val="000000"/>
                <w:kern w:val="0"/>
                <w:sz w:val="21"/>
                <w:szCs w:val="21"/>
              </w:rPr>
            </w:pP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(50分)</w:t>
            </w:r>
          </w:p>
        </w:tc>
        <w:tc>
          <w:tcPr>
            <w:tcW w:w="990" w:type="dxa"/>
            <w:vMerge w:val="restart"/>
            <w:tcBorders>
              <w:top w:val="nil"/>
              <w:left w:val="nil"/>
              <w:right w:val="single" w:color="auto" w:sz="4" w:space="0"/>
            </w:tcBorders>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数量指标</w:t>
            </w:r>
          </w:p>
        </w:tc>
        <w:tc>
          <w:tcPr>
            <w:tcW w:w="1558"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21"/>
                <w:szCs w:val="21"/>
              </w:rPr>
              <w:t>新增模块化机房</w:t>
            </w:r>
          </w:p>
        </w:tc>
        <w:tc>
          <w:tcPr>
            <w:tcW w:w="999"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21"/>
                <w:szCs w:val="21"/>
              </w:rPr>
              <w:t>完成模块化机房建设</w:t>
            </w:r>
          </w:p>
        </w:tc>
        <w:tc>
          <w:tcPr>
            <w:tcW w:w="1118"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已完成</w:t>
            </w:r>
          </w:p>
        </w:tc>
        <w:tc>
          <w:tcPr>
            <w:tcW w:w="827"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5</w:t>
            </w:r>
          </w:p>
        </w:tc>
        <w:tc>
          <w:tcPr>
            <w:tcW w:w="871"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5</w:t>
            </w:r>
          </w:p>
        </w:tc>
        <w:tc>
          <w:tcPr>
            <w:tcW w:w="15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172" w:type="dxa"/>
            <w:vMerge w:val="continue"/>
            <w:tcBorders>
              <w:left w:val="single" w:color="auto" w:sz="4" w:space="0"/>
              <w:right w:val="single" w:color="auto" w:sz="4" w:space="0"/>
            </w:tcBorders>
            <w:vAlign w:val="center"/>
          </w:tcPr>
          <w:p>
            <w:pPr>
              <w:jc w:val="left"/>
              <w:rPr>
                <w:rFonts w:ascii="Times New Roman" w:hAnsi="Times New Roman"/>
                <w:color w:val="000000"/>
                <w:kern w:val="0"/>
                <w:sz w:val="21"/>
                <w:szCs w:val="21"/>
              </w:rPr>
            </w:pPr>
          </w:p>
        </w:tc>
        <w:tc>
          <w:tcPr>
            <w:tcW w:w="996" w:type="dxa"/>
            <w:vMerge w:val="continue"/>
            <w:tcBorders>
              <w:left w:val="nil"/>
              <w:right w:val="single" w:color="auto" w:sz="4" w:space="0"/>
            </w:tcBorders>
            <w:vAlign w:val="center"/>
          </w:tcPr>
          <w:p>
            <w:pPr>
              <w:jc w:val="left"/>
              <w:rPr>
                <w:rFonts w:ascii="Times New Roman" w:hAnsi="Times New Roman"/>
                <w:color w:val="000000"/>
                <w:kern w:val="0"/>
                <w:sz w:val="21"/>
                <w:szCs w:val="21"/>
              </w:rPr>
            </w:pPr>
          </w:p>
        </w:tc>
        <w:tc>
          <w:tcPr>
            <w:tcW w:w="990" w:type="dxa"/>
            <w:vMerge w:val="continue"/>
            <w:tcBorders>
              <w:left w:val="nil"/>
              <w:right w:val="single" w:color="auto" w:sz="4" w:space="0"/>
            </w:tcBorders>
            <w:vAlign w:val="center"/>
          </w:tcPr>
          <w:p>
            <w:pPr>
              <w:jc w:val="center"/>
              <w:rPr>
                <w:rFonts w:ascii="Times New Roman" w:hAnsi="Times New Roman"/>
                <w:color w:val="000000"/>
                <w:kern w:val="0"/>
                <w:sz w:val="21"/>
                <w:szCs w:val="21"/>
              </w:rPr>
            </w:pPr>
          </w:p>
        </w:tc>
        <w:tc>
          <w:tcPr>
            <w:tcW w:w="1558"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21"/>
                <w:szCs w:val="21"/>
              </w:rPr>
              <w:t>新增600KVA模块化UPS</w:t>
            </w:r>
          </w:p>
        </w:tc>
        <w:tc>
          <w:tcPr>
            <w:tcW w:w="999"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21"/>
                <w:szCs w:val="21"/>
              </w:rPr>
              <w:t>完成600KVA模块化UPS电源建设</w:t>
            </w:r>
          </w:p>
        </w:tc>
        <w:tc>
          <w:tcPr>
            <w:tcW w:w="1118"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已完成</w:t>
            </w:r>
          </w:p>
        </w:tc>
        <w:tc>
          <w:tcPr>
            <w:tcW w:w="827"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5</w:t>
            </w:r>
          </w:p>
        </w:tc>
        <w:tc>
          <w:tcPr>
            <w:tcW w:w="871"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5</w:t>
            </w:r>
          </w:p>
        </w:tc>
        <w:tc>
          <w:tcPr>
            <w:tcW w:w="15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172" w:type="dxa"/>
            <w:vMerge w:val="continue"/>
            <w:tcBorders>
              <w:left w:val="single" w:color="auto" w:sz="4" w:space="0"/>
              <w:right w:val="single" w:color="auto" w:sz="4" w:space="0"/>
            </w:tcBorders>
            <w:vAlign w:val="center"/>
          </w:tcPr>
          <w:p>
            <w:pPr>
              <w:jc w:val="left"/>
              <w:rPr>
                <w:rFonts w:ascii="Times New Roman" w:hAnsi="Times New Roman"/>
                <w:color w:val="000000"/>
                <w:kern w:val="0"/>
                <w:sz w:val="21"/>
                <w:szCs w:val="21"/>
              </w:rPr>
            </w:pPr>
          </w:p>
        </w:tc>
        <w:tc>
          <w:tcPr>
            <w:tcW w:w="996" w:type="dxa"/>
            <w:vMerge w:val="continue"/>
            <w:tcBorders>
              <w:left w:val="nil"/>
              <w:right w:val="single" w:color="auto" w:sz="4" w:space="0"/>
            </w:tcBorders>
            <w:vAlign w:val="center"/>
          </w:tcPr>
          <w:p>
            <w:pPr>
              <w:jc w:val="left"/>
              <w:rPr>
                <w:rFonts w:ascii="Times New Roman" w:hAnsi="Times New Roman"/>
                <w:color w:val="000000"/>
                <w:kern w:val="0"/>
                <w:sz w:val="21"/>
                <w:szCs w:val="21"/>
              </w:rPr>
            </w:pPr>
          </w:p>
        </w:tc>
        <w:tc>
          <w:tcPr>
            <w:tcW w:w="990" w:type="dxa"/>
            <w:vMerge w:val="restart"/>
            <w:tcBorders>
              <w:top w:val="nil"/>
              <w:left w:val="nil"/>
              <w:right w:val="single" w:color="auto" w:sz="4" w:space="0"/>
            </w:tcBorders>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质量指标</w:t>
            </w:r>
          </w:p>
        </w:tc>
        <w:tc>
          <w:tcPr>
            <w:tcW w:w="1558"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21"/>
                <w:szCs w:val="21"/>
              </w:rPr>
              <w:t>动环监控管理系统</w:t>
            </w:r>
          </w:p>
        </w:tc>
        <w:tc>
          <w:tcPr>
            <w:tcW w:w="999"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21"/>
                <w:szCs w:val="21"/>
              </w:rPr>
              <w:t>完成动环监控管理系统</w:t>
            </w:r>
          </w:p>
        </w:tc>
        <w:tc>
          <w:tcPr>
            <w:tcW w:w="1118"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已完成</w:t>
            </w:r>
          </w:p>
        </w:tc>
        <w:tc>
          <w:tcPr>
            <w:tcW w:w="827"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5</w:t>
            </w:r>
          </w:p>
        </w:tc>
        <w:tc>
          <w:tcPr>
            <w:tcW w:w="871"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5</w:t>
            </w:r>
          </w:p>
        </w:tc>
        <w:tc>
          <w:tcPr>
            <w:tcW w:w="15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172" w:type="dxa"/>
            <w:vMerge w:val="continue"/>
            <w:tcBorders>
              <w:left w:val="single" w:color="auto" w:sz="4" w:space="0"/>
              <w:right w:val="single" w:color="auto" w:sz="4" w:space="0"/>
            </w:tcBorders>
            <w:vAlign w:val="center"/>
          </w:tcPr>
          <w:p>
            <w:pPr>
              <w:jc w:val="left"/>
              <w:rPr>
                <w:rFonts w:ascii="Times New Roman" w:hAnsi="Times New Roman"/>
                <w:color w:val="000000"/>
                <w:kern w:val="0"/>
                <w:sz w:val="21"/>
                <w:szCs w:val="21"/>
              </w:rPr>
            </w:pPr>
          </w:p>
        </w:tc>
        <w:tc>
          <w:tcPr>
            <w:tcW w:w="996" w:type="dxa"/>
            <w:vMerge w:val="continue"/>
            <w:tcBorders>
              <w:left w:val="nil"/>
              <w:right w:val="single" w:color="auto" w:sz="4" w:space="0"/>
            </w:tcBorders>
            <w:vAlign w:val="center"/>
          </w:tcPr>
          <w:p>
            <w:pPr>
              <w:jc w:val="left"/>
              <w:rPr>
                <w:rFonts w:ascii="Times New Roman" w:hAnsi="Times New Roman"/>
                <w:color w:val="000000"/>
                <w:kern w:val="0"/>
                <w:sz w:val="21"/>
                <w:szCs w:val="21"/>
              </w:rPr>
            </w:pPr>
          </w:p>
        </w:tc>
        <w:tc>
          <w:tcPr>
            <w:tcW w:w="990" w:type="dxa"/>
            <w:vMerge w:val="continue"/>
            <w:tcBorders>
              <w:left w:val="nil"/>
              <w:right w:val="single" w:color="auto" w:sz="4" w:space="0"/>
            </w:tcBorders>
            <w:vAlign w:val="center"/>
          </w:tcPr>
          <w:p>
            <w:pPr>
              <w:jc w:val="center"/>
              <w:rPr>
                <w:rFonts w:ascii="Times New Roman" w:hAnsi="Times New Roman"/>
                <w:color w:val="000000"/>
                <w:kern w:val="0"/>
                <w:sz w:val="21"/>
                <w:szCs w:val="21"/>
              </w:rPr>
            </w:pPr>
          </w:p>
        </w:tc>
        <w:tc>
          <w:tcPr>
            <w:tcW w:w="1558"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21"/>
                <w:szCs w:val="21"/>
              </w:rPr>
              <w:t>政务网升级改造</w:t>
            </w:r>
          </w:p>
        </w:tc>
        <w:tc>
          <w:tcPr>
            <w:tcW w:w="999"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21"/>
                <w:szCs w:val="21"/>
              </w:rPr>
              <w:t>完成政务网升级改造</w:t>
            </w:r>
            <w:r>
              <w:rPr>
                <w:rFonts w:ascii="Times New Roman" w:hAnsi="Times New Roman"/>
                <w:color w:val="000000"/>
                <w:kern w:val="0"/>
                <w:sz w:val="21"/>
                <w:szCs w:val="21"/>
              </w:rPr>
              <w:t>　</w:t>
            </w:r>
          </w:p>
        </w:tc>
        <w:tc>
          <w:tcPr>
            <w:tcW w:w="1118"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已完成</w:t>
            </w:r>
          </w:p>
        </w:tc>
        <w:tc>
          <w:tcPr>
            <w:tcW w:w="827"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5</w:t>
            </w:r>
          </w:p>
        </w:tc>
        <w:tc>
          <w:tcPr>
            <w:tcW w:w="871"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5</w:t>
            </w:r>
          </w:p>
        </w:tc>
        <w:tc>
          <w:tcPr>
            <w:tcW w:w="15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172" w:type="dxa"/>
            <w:vMerge w:val="continue"/>
            <w:tcBorders>
              <w:left w:val="single" w:color="auto" w:sz="4" w:space="0"/>
              <w:right w:val="single" w:color="auto" w:sz="4" w:space="0"/>
            </w:tcBorders>
            <w:vAlign w:val="center"/>
          </w:tcPr>
          <w:p>
            <w:pPr>
              <w:jc w:val="left"/>
              <w:rPr>
                <w:rFonts w:ascii="Times New Roman" w:hAnsi="Times New Roman"/>
                <w:color w:val="000000"/>
                <w:kern w:val="0"/>
                <w:sz w:val="21"/>
                <w:szCs w:val="21"/>
              </w:rPr>
            </w:pPr>
          </w:p>
        </w:tc>
        <w:tc>
          <w:tcPr>
            <w:tcW w:w="996" w:type="dxa"/>
            <w:vMerge w:val="continue"/>
            <w:tcBorders>
              <w:left w:val="nil"/>
              <w:right w:val="single" w:color="auto" w:sz="4" w:space="0"/>
            </w:tcBorders>
            <w:vAlign w:val="center"/>
          </w:tcPr>
          <w:p>
            <w:pPr>
              <w:jc w:val="left"/>
              <w:rPr>
                <w:rFonts w:ascii="Times New Roman" w:hAnsi="Times New Roman"/>
                <w:color w:val="000000"/>
                <w:kern w:val="0"/>
                <w:sz w:val="21"/>
                <w:szCs w:val="21"/>
              </w:rPr>
            </w:pPr>
          </w:p>
        </w:tc>
        <w:tc>
          <w:tcPr>
            <w:tcW w:w="990" w:type="dxa"/>
            <w:tcBorders>
              <w:top w:val="nil"/>
              <w:left w:val="nil"/>
              <w:right w:val="single" w:color="auto" w:sz="4" w:space="0"/>
            </w:tcBorders>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时效指标</w:t>
            </w:r>
          </w:p>
        </w:tc>
        <w:tc>
          <w:tcPr>
            <w:tcW w:w="1558"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21"/>
                <w:szCs w:val="21"/>
              </w:rPr>
              <w:t>全市数据共融共享</w:t>
            </w:r>
          </w:p>
        </w:tc>
        <w:tc>
          <w:tcPr>
            <w:tcW w:w="999"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21"/>
                <w:szCs w:val="21"/>
              </w:rPr>
              <w:t>完成全市数据共融共享</w:t>
            </w:r>
          </w:p>
        </w:tc>
        <w:tc>
          <w:tcPr>
            <w:tcW w:w="1118"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有待完善</w:t>
            </w:r>
          </w:p>
        </w:tc>
        <w:tc>
          <w:tcPr>
            <w:tcW w:w="827"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10</w:t>
            </w:r>
          </w:p>
        </w:tc>
        <w:tc>
          <w:tcPr>
            <w:tcW w:w="871" w:type="dxa"/>
            <w:tcBorders>
              <w:top w:val="nil"/>
              <w:left w:val="nil"/>
              <w:bottom w:val="single" w:color="auto" w:sz="4" w:space="0"/>
              <w:right w:val="single" w:color="auto" w:sz="4" w:space="0"/>
            </w:tcBorders>
            <w:vAlign w:val="center"/>
          </w:tcPr>
          <w:p>
            <w:pPr>
              <w:widowControl/>
              <w:ind w:firstLine="206" w:firstLineChars="100"/>
              <w:rPr>
                <w:rFonts w:ascii="Times New Roman" w:hAnsi="Times New Roman"/>
                <w:color w:val="000000"/>
                <w:kern w:val="0"/>
                <w:sz w:val="21"/>
                <w:szCs w:val="21"/>
              </w:rPr>
            </w:pPr>
            <w:r>
              <w:rPr>
                <w:rFonts w:hint="eastAsia" w:ascii="Times New Roman" w:hAnsi="Times New Roman"/>
                <w:color w:val="000000"/>
                <w:kern w:val="0"/>
                <w:sz w:val="21"/>
                <w:szCs w:val="21"/>
              </w:rPr>
              <w:t>8</w:t>
            </w:r>
          </w:p>
        </w:tc>
        <w:tc>
          <w:tcPr>
            <w:tcW w:w="15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进一步打通各部门政务数据，强化政务数据共享</w:t>
            </w:r>
          </w:p>
        </w:tc>
      </w:tr>
      <w:tr>
        <w:tblPrEx>
          <w:tblCellMar>
            <w:top w:w="0" w:type="dxa"/>
            <w:left w:w="108" w:type="dxa"/>
            <w:bottom w:w="0" w:type="dxa"/>
            <w:right w:w="108" w:type="dxa"/>
          </w:tblCellMar>
        </w:tblPrEx>
        <w:trPr>
          <w:jc w:val="center"/>
        </w:trPr>
        <w:tc>
          <w:tcPr>
            <w:tcW w:w="1172" w:type="dxa"/>
            <w:vMerge w:val="continue"/>
            <w:tcBorders>
              <w:left w:val="single" w:color="auto" w:sz="4" w:space="0"/>
              <w:right w:val="single" w:color="auto" w:sz="4" w:space="0"/>
            </w:tcBorders>
            <w:vAlign w:val="center"/>
          </w:tcPr>
          <w:p>
            <w:pPr>
              <w:jc w:val="left"/>
              <w:rPr>
                <w:rFonts w:ascii="Times New Roman" w:hAnsi="Times New Roman"/>
                <w:color w:val="000000"/>
                <w:kern w:val="0"/>
                <w:sz w:val="21"/>
                <w:szCs w:val="21"/>
              </w:rPr>
            </w:pPr>
          </w:p>
        </w:tc>
        <w:tc>
          <w:tcPr>
            <w:tcW w:w="996" w:type="dxa"/>
            <w:vMerge w:val="continue"/>
            <w:tcBorders>
              <w:left w:val="nil"/>
              <w:right w:val="single" w:color="auto" w:sz="4" w:space="0"/>
            </w:tcBorders>
            <w:vAlign w:val="center"/>
          </w:tcPr>
          <w:p>
            <w:pPr>
              <w:jc w:val="left"/>
              <w:rPr>
                <w:rFonts w:ascii="Times New Roman" w:hAnsi="Times New Roman"/>
                <w:color w:val="000000"/>
                <w:kern w:val="0"/>
                <w:sz w:val="21"/>
                <w:szCs w:val="21"/>
              </w:rPr>
            </w:pPr>
          </w:p>
        </w:tc>
        <w:tc>
          <w:tcPr>
            <w:tcW w:w="990" w:type="dxa"/>
            <w:vMerge w:val="restart"/>
            <w:tcBorders>
              <w:top w:val="nil"/>
              <w:left w:val="nil"/>
              <w:right w:val="single" w:color="auto" w:sz="4" w:space="0"/>
            </w:tcBorders>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成本指标</w:t>
            </w:r>
          </w:p>
        </w:tc>
        <w:tc>
          <w:tcPr>
            <w:tcW w:w="1558"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21"/>
                <w:szCs w:val="21"/>
              </w:rPr>
              <w:t>互联网+政务服务平台建成</w:t>
            </w:r>
          </w:p>
        </w:tc>
        <w:tc>
          <w:tcPr>
            <w:tcW w:w="999"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21"/>
                <w:szCs w:val="21"/>
              </w:rPr>
              <w:t>完成互联网+政务服务平台建设</w:t>
            </w:r>
            <w:r>
              <w:rPr>
                <w:rFonts w:ascii="Times New Roman" w:hAnsi="Times New Roman"/>
                <w:color w:val="000000"/>
                <w:kern w:val="0"/>
                <w:sz w:val="21"/>
                <w:szCs w:val="21"/>
              </w:rPr>
              <w:t>　</w:t>
            </w:r>
          </w:p>
        </w:tc>
        <w:tc>
          <w:tcPr>
            <w:tcW w:w="1118"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已完成</w:t>
            </w:r>
          </w:p>
        </w:tc>
        <w:tc>
          <w:tcPr>
            <w:tcW w:w="827"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10</w:t>
            </w:r>
          </w:p>
        </w:tc>
        <w:tc>
          <w:tcPr>
            <w:tcW w:w="871"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10</w:t>
            </w:r>
          </w:p>
        </w:tc>
        <w:tc>
          <w:tcPr>
            <w:tcW w:w="15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172" w:type="dxa"/>
            <w:vMerge w:val="continue"/>
            <w:tcBorders>
              <w:left w:val="single" w:color="auto" w:sz="4" w:space="0"/>
              <w:right w:val="single" w:color="auto" w:sz="4" w:space="0"/>
            </w:tcBorders>
            <w:vAlign w:val="center"/>
          </w:tcPr>
          <w:p>
            <w:pPr>
              <w:jc w:val="left"/>
              <w:rPr>
                <w:rFonts w:ascii="Times New Roman" w:hAnsi="Times New Roman"/>
                <w:color w:val="000000"/>
                <w:kern w:val="0"/>
                <w:sz w:val="21"/>
                <w:szCs w:val="21"/>
              </w:rPr>
            </w:pPr>
          </w:p>
        </w:tc>
        <w:tc>
          <w:tcPr>
            <w:tcW w:w="996" w:type="dxa"/>
            <w:vMerge w:val="continue"/>
            <w:tcBorders>
              <w:left w:val="nil"/>
              <w:right w:val="single" w:color="auto" w:sz="4" w:space="0"/>
            </w:tcBorders>
            <w:vAlign w:val="center"/>
          </w:tcPr>
          <w:p>
            <w:pPr>
              <w:jc w:val="left"/>
              <w:rPr>
                <w:rFonts w:ascii="Times New Roman" w:hAnsi="Times New Roman"/>
                <w:color w:val="000000"/>
                <w:kern w:val="0"/>
                <w:sz w:val="21"/>
                <w:szCs w:val="21"/>
              </w:rPr>
            </w:pPr>
          </w:p>
        </w:tc>
        <w:tc>
          <w:tcPr>
            <w:tcW w:w="990" w:type="dxa"/>
            <w:vMerge w:val="continue"/>
            <w:tcBorders>
              <w:left w:val="nil"/>
              <w:right w:val="single" w:color="auto" w:sz="4" w:space="0"/>
            </w:tcBorders>
            <w:vAlign w:val="center"/>
          </w:tcPr>
          <w:p>
            <w:pPr>
              <w:jc w:val="left"/>
              <w:rPr>
                <w:rFonts w:ascii="Times New Roman" w:hAnsi="Times New Roman"/>
                <w:color w:val="000000"/>
                <w:kern w:val="0"/>
                <w:sz w:val="21"/>
                <w:szCs w:val="21"/>
              </w:rPr>
            </w:pPr>
          </w:p>
        </w:tc>
        <w:tc>
          <w:tcPr>
            <w:tcW w:w="1558"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21"/>
                <w:szCs w:val="21"/>
              </w:rPr>
              <w:t>建设全市政务资源管理、应用支撑、数据共享、服务保障的总枢纽</w:t>
            </w:r>
          </w:p>
        </w:tc>
        <w:tc>
          <w:tcPr>
            <w:tcW w:w="999"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21"/>
                <w:szCs w:val="21"/>
              </w:rPr>
              <w:t>完成全市政务资源管理、应用支撑、数据共享、服务保障的建设</w:t>
            </w:r>
          </w:p>
        </w:tc>
        <w:tc>
          <w:tcPr>
            <w:tcW w:w="1118"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已完成</w:t>
            </w:r>
          </w:p>
        </w:tc>
        <w:tc>
          <w:tcPr>
            <w:tcW w:w="827"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10</w:t>
            </w:r>
          </w:p>
        </w:tc>
        <w:tc>
          <w:tcPr>
            <w:tcW w:w="871"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8</w:t>
            </w:r>
          </w:p>
        </w:tc>
        <w:tc>
          <w:tcPr>
            <w:tcW w:w="15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数据共享不全面，有待进一步加强数据共享</w:t>
            </w:r>
          </w:p>
        </w:tc>
      </w:tr>
      <w:tr>
        <w:tblPrEx>
          <w:tblCellMar>
            <w:top w:w="0" w:type="dxa"/>
            <w:left w:w="108" w:type="dxa"/>
            <w:bottom w:w="0" w:type="dxa"/>
            <w:right w:w="108" w:type="dxa"/>
          </w:tblCellMar>
        </w:tblPrEx>
        <w:trPr>
          <w:jc w:val="center"/>
        </w:trPr>
        <w:tc>
          <w:tcPr>
            <w:tcW w:w="1172" w:type="dxa"/>
            <w:vMerge w:val="continue"/>
            <w:tcBorders>
              <w:left w:val="single" w:color="auto" w:sz="4" w:space="0"/>
              <w:right w:val="single" w:color="auto" w:sz="4" w:space="0"/>
            </w:tcBorders>
            <w:vAlign w:val="center"/>
          </w:tcPr>
          <w:p>
            <w:pPr>
              <w:jc w:val="left"/>
              <w:rPr>
                <w:rFonts w:ascii="Times New Roman" w:hAnsi="Times New Roman"/>
                <w:color w:val="000000"/>
                <w:kern w:val="0"/>
                <w:sz w:val="21"/>
                <w:szCs w:val="21"/>
              </w:rPr>
            </w:pPr>
          </w:p>
        </w:tc>
        <w:tc>
          <w:tcPr>
            <w:tcW w:w="996" w:type="dxa"/>
            <w:vMerge w:val="restart"/>
            <w:tcBorders>
              <w:top w:val="nil"/>
              <w:left w:val="nil"/>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效益指标</w:t>
            </w:r>
          </w:p>
          <w:p>
            <w:pPr>
              <w:widowControl/>
              <w:jc w:val="left"/>
              <w:rPr>
                <w:rFonts w:ascii="Times New Roman" w:hAnsi="Times New Roman"/>
                <w:color w:val="000000"/>
                <w:kern w:val="0"/>
                <w:sz w:val="21"/>
                <w:szCs w:val="21"/>
              </w:rPr>
            </w:pPr>
          </w:p>
          <w:p>
            <w:pPr>
              <w:widowControl/>
              <w:jc w:val="left"/>
              <w:rPr>
                <w:rFonts w:ascii="Times New Roman" w:hAnsi="Times New Roman"/>
                <w:color w:val="000000"/>
                <w:kern w:val="0"/>
                <w:sz w:val="21"/>
                <w:szCs w:val="21"/>
              </w:rPr>
            </w:pPr>
            <w:r>
              <w:rPr>
                <w:rFonts w:ascii="Times New Roman" w:hAnsi="Times New Roman"/>
                <w:color w:val="000000"/>
                <w:kern w:val="0"/>
                <w:sz w:val="21"/>
                <w:szCs w:val="21"/>
              </w:rPr>
              <w:t>（30分）</w:t>
            </w:r>
          </w:p>
        </w:tc>
        <w:tc>
          <w:tcPr>
            <w:tcW w:w="990" w:type="dxa"/>
            <w:vMerge w:val="restart"/>
            <w:tcBorders>
              <w:top w:val="nil"/>
              <w:left w:val="nil"/>
              <w:right w:val="single" w:color="auto" w:sz="4" w:space="0"/>
            </w:tcBorders>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经济效</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益指标</w:t>
            </w:r>
          </w:p>
        </w:tc>
        <w:tc>
          <w:tcPr>
            <w:tcW w:w="1558"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21"/>
                <w:szCs w:val="21"/>
              </w:rPr>
              <w:t>统建机房基础设施</w:t>
            </w:r>
          </w:p>
        </w:tc>
        <w:tc>
          <w:tcPr>
            <w:tcW w:w="999"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完成统筹共建的基础设施，降低成本投入</w:t>
            </w:r>
          </w:p>
        </w:tc>
        <w:tc>
          <w:tcPr>
            <w:tcW w:w="1118"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已完成</w:t>
            </w:r>
          </w:p>
        </w:tc>
        <w:tc>
          <w:tcPr>
            <w:tcW w:w="827"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5</w:t>
            </w:r>
          </w:p>
        </w:tc>
        <w:tc>
          <w:tcPr>
            <w:tcW w:w="871"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5</w:t>
            </w:r>
          </w:p>
        </w:tc>
        <w:tc>
          <w:tcPr>
            <w:tcW w:w="15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172" w:type="dxa"/>
            <w:vMerge w:val="continue"/>
            <w:tcBorders>
              <w:left w:val="single" w:color="auto" w:sz="4" w:space="0"/>
              <w:right w:val="single" w:color="auto" w:sz="4" w:space="0"/>
            </w:tcBorders>
            <w:vAlign w:val="center"/>
          </w:tcPr>
          <w:p>
            <w:pPr>
              <w:jc w:val="left"/>
              <w:rPr>
                <w:rFonts w:ascii="Times New Roman" w:hAnsi="Times New Roman"/>
                <w:color w:val="000000"/>
                <w:kern w:val="0"/>
                <w:sz w:val="21"/>
                <w:szCs w:val="21"/>
              </w:rPr>
            </w:pPr>
          </w:p>
        </w:tc>
        <w:tc>
          <w:tcPr>
            <w:tcW w:w="996" w:type="dxa"/>
            <w:vMerge w:val="continue"/>
            <w:tcBorders>
              <w:left w:val="nil"/>
              <w:right w:val="single" w:color="auto" w:sz="4" w:space="0"/>
            </w:tcBorders>
            <w:vAlign w:val="center"/>
          </w:tcPr>
          <w:p>
            <w:pPr>
              <w:jc w:val="left"/>
              <w:rPr>
                <w:rFonts w:ascii="Times New Roman" w:hAnsi="Times New Roman"/>
                <w:color w:val="000000"/>
                <w:kern w:val="0"/>
                <w:sz w:val="21"/>
                <w:szCs w:val="21"/>
              </w:rPr>
            </w:pPr>
          </w:p>
        </w:tc>
        <w:tc>
          <w:tcPr>
            <w:tcW w:w="990" w:type="dxa"/>
            <w:vMerge w:val="continue"/>
            <w:tcBorders>
              <w:left w:val="nil"/>
              <w:right w:val="single" w:color="auto" w:sz="4" w:space="0"/>
            </w:tcBorders>
            <w:vAlign w:val="center"/>
          </w:tcPr>
          <w:p>
            <w:pPr>
              <w:jc w:val="center"/>
              <w:rPr>
                <w:rFonts w:ascii="Times New Roman" w:hAnsi="Times New Roman"/>
                <w:color w:val="000000"/>
                <w:kern w:val="0"/>
                <w:sz w:val="21"/>
                <w:szCs w:val="21"/>
              </w:rPr>
            </w:pPr>
          </w:p>
        </w:tc>
        <w:tc>
          <w:tcPr>
            <w:tcW w:w="1558"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21"/>
                <w:szCs w:val="21"/>
              </w:rPr>
              <w:t>促进智慧城市项目建设</w:t>
            </w:r>
          </w:p>
        </w:tc>
        <w:tc>
          <w:tcPr>
            <w:tcW w:w="999"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依托建设的基础设施，促进智慧产业、企业智慧化升级、电子商务等工程建设，创新发展迈上新台阶</w:t>
            </w:r>
          </w:p>
        </w:tc>
        <w:tc>
          <w:tcPr>
            <w:tcW w:w="1118"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已完成</w:t>
            </w:r>
          </w:p>
        </w:tc>
        <w:tc>
          <w:tcPr>
            <w:tcW w:w="827"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5</w:t>
            </w:r>
          </w:p>
        </w:tc>
        <w:tc>
          <w:tcPr>
            <w:tcW w:w="871"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4</w:t>
            </w:r>
          </w:p>
        </w:tc>
        <w:tc>
          <w:tcPr>
            <w:tcW w:w="15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2020年智慧城市项目建设进度缓慢。推进力度有待加强</w:t>
            </w:r>
          </w:p>
        </w:tc>
      </w:tr>
      <w:tr>
        <w:tblPrEx>
          <w:tblCellMar>
            <w:top w:w="0" w:type="dxa"/>
            <w:left w:w="108" w:type="dxa"/>
            <w:bottom w:w="0" w:type="dxa"/>
            <w:right w:w="108" w:type="dxa"/>
          </w:tblCellMar>
        </w:tblPrEx>
        <w:trPr>
          <w:jc w:val="center"/>
        </w:trPr>
        <w:tc>
          <w:tcPr>
            <w:tcW w:w="1172" w:type="dxa"/>
            <w:vMerge w:val="continue"/>
            <w:tcBorders>
              <w:left w:val="single" w:color="auto" w:sz="4" w:space="0"/>
              <w:right w:val="single" w:color="auto" w:sz="4" w:space="0"/>
            </w:tcBorders>
            <w:vAlign w:val="center"/>
          </w:tcPr>
          <w:p>
            <w:pPr>
              <w:jc w:val="left"/>
              <w:rPr>
                <w:rFonts w:ascii="Times New Roman" w:hAnsi="Times New Roman"/>
                <w:color w:val="000000"/>
                <w:kern w:val="0"/>
                <w:sz w:val="21"/>
                <w:szCs w:val="21"/>
              </w:rPr>
            </w:pPr>
          </w:p>
        </w:tc>
        <w:tc>
          <w:tcPr>
            <w:tcW w:w="996" w:type="dxa"/>
            <w:vMerge w:val="continue"/>
            <w:tcBorders>
              <w:left w:val="nil"/>
              <w:right w:val="single" w:color="auto" w:sz="4" w:space="0"/>
            </w:tcBorders>
            <w:vAlign w:val="center"/>
          </w:tcPr>
          <w:p>
            <w:pPr>
              <w:jc w:val="left"/>
              <w:rPr>
                <w:rFonts w:ascii="Times New Roman" w:hAnsi="Times New Roman"/>
                <w:color w:val="000000"/>
                <w:kern w:val="0"/>
                <w:sz w:val="21"/>
                <w:szCs w:val="21"/>
              </w:rPr>
            </w:pPr>
          </w:p>
        </w:tc>
        <w:tc>
          <w:tcPr>
            <w:tcW w:w="990" w:type="dxa"/>
            <w:tcBorders>
              <w:top w:val="nil"/>
              <w:left w:val="nil"/>
              <w:right w:val="single" w:color="auto" w:sz="4" w:space="0"/>
            </w:tcBorders>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社会效</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益指标</w:t>
            </w:r>
          </w:p>
        </w:tc>
        <w:tc>
          <w:tcPr>
            <w:tcW w:w="1558"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21"/>
                <w:szCs w:val="21"/>
              </w:rPr>
              <w:t>简政放权</w:t>
            </w:r>
          </w:p>
        </w:tc>
        <w:tc>
          <w:tcPr>
            <w:tcW w:w="999"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完成政务信息资源共享和业务协同，促进简政放权，加强事中事后监管，让百姓少跑腿、信息多跑路，提升益阳市的整体城市发展水平，</w:t>
            </w:r>
          </w:p>
        </w:tc>
        <w:tc>
          <w:tcPr>
            <w:tcW w:w="1118"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已完成</w:t>
            </w:r>
          </w:p>
        </w:tc>
        <w:tc>
          <w:tcPr>
            <w:tcW w:w="827"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10</w:t>
            </w:r>
          </w:p>
        </w:tc>
        <w:tc>
          <w:tcPr>
            <w:tcW w:w="871"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8</w:t>
            </w:r>
          </w:p>
        </w:tc>
        <w:tc>
          <w:tcPr>
            <w:tcW w:w="15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各部门简政放权力度有待加强，应提高认识，加强简政放权力度</w:t>
            </w:r>
          </w:p>
        </w:tc>
      </w:tr>
      <w:tr>
        <w:tblPrEx>
          <w:tblCellMar>
            <w:top w:w="0" w:type="dxa"/>
            <w:left w:w="108" w:type="dxa"/>
            <w:bottom w:w="0" w:type="dxa"/>
            <w:right w:w="108" w:type="dxa"/>
          </w:tblCellMar>
        </w:tblPrEx>
        <w:trPr>
          <w:jc w:val="center"/>
        </w:trPr>
        <w:tc>
          <w:tcPr>
            <w:tcW w:w="1172" w:type="dxa"/>
            <w:vMerge w:val="continue"/>
            <w:tcBorders>
              <w:left w:val="single" w:color="auto" w:sz="4" w:space="0"/>
              <w:right w:val="single" w:color="auto" w:sz="4" w:space="0"/>
            </w:tcBorders>
            <w:vAlign w:val="center"/>
          </w:tcPr>
          <w:p>
            <w:pPr>
              <w:jc w:val="left"/>
              <w:rPr>
                <w:rFonts w:ascii="Times New Roman" w:hAnsi="Times New Roman"/>
                <w:color w:val="000000"/>
                <w:kern w:val="0"/>
                <w:sz w:val="21"/>
                <w:szCs w:val="21"/>
              </w:rPr>
            </w:pPr>
          </w:p>
        </w:tc>
        <w:tc>
          <w:tcPr>
            <w:tcW w:w="996" w:type="dxa"/>
            <w:vMerge w:val="continue"/>
            <w:tcBorders>
              <w:left w:val="nil"/>
              <w:right w:val="single" w:color="auto" w:sz="4" w:space="0"/>
            </w:tcBorders>
            <w:vAlign w:val="center"/>
          </w:tcPr>
          <w:p>
            <w:pPr>
              <w:jc w:val="left"/>
              <w:rPr>
                <w:rFonts w:ascii="Times New Roman" w:hAnsi="Times New Roman"/>
                <w:color w:val="000000"/>
                <w:kern w:val="0"/>
                <w:sz w:val="21"/>
                <w:szCs w:val="21"/>
              </w:rPr>
            </w:pPr>
          </w:p>
        </w:tc>
        <w:tc>
          <w:tcPr>
            <w:tcW w:w="990" w:type="dxa"/>
            <w:tcBorders>
              <w:top w:val="nil"/>
              <w:left w:val="nil"/>
              <w:right w:val="single" w:color="auto" w:sz="4" w:space="0"/>
            </w:tcBorders>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生态效</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益指标</w:t>
            </w:r>
          </w:p>
        </w:tc>
        <w:tc>
          <w:tcPr>
            <w:tcW w:w="1558"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21"/>
                <w:szCs w:val="21"/>
              </w:rPr>
              <w:t>节能情况</w:t>
            </w:r>
          </w:p>
        </w:tc>
        <w:tc>
          <w:tcPr>
            <w:tcW w:w="999"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本项目采用国际、国内先进设备，进行网络及平台的建设，通过硬件、软件优化等措施，从耗电源头对主设备进行节能</w:t>
            </w:r>
          </w:p>
        </w:tc>
        <w:tc>
          <w:tcPr>
            <w:tcW w:w="1118"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已完成</w:t>
            </w:r>
          </w:p>
        </w:tc>
        <w:tc>
          <w:tcPr>
            <w:tcW w:w="827"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10</w:t>
            </w:r>
          </w:p>
        </w:tc>
        <w:tc>
          <w:tcPr>
            <w:tcW w:w="871"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9</w:t>
            </w:r>
          </w:p>
        </w:tc>
        <w:tc>
          <w:tcPr>
            <w:tcW w:w="15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进一步加强节能宣传，提高节能意识</w:t>
            </w:r>
          </w:p>
        </w:tc>
      </w:tr>
      <w:tr>
        <w:tblPrEx>
          <w:tblCellMar>
            <w:top w:w="0" w:type="dxa"/>
            <w:left w:w="108" w:type="dxa"/>
            <w:bottom w:w="0" w:type="dxa"/>
            <w:right w:w="108" w:type="dxa"/>
          </w:tblCellMar>
        </w:tblPrEx>
        <w:trPr>
          <w:jc w:val="center"/>
        </w:trPr>
        <w:tc>
          <w:tcPr>
            <w:tcW w:w="1172"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绩</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效</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指</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标</w:t>
            </w:r>
          </w:p>
        </w:tc>
        <w:tc>
          <w:tcPr>
            <w:tcW w:w="996" w:type="dxa"/>
            <w:tcBorders>
              <w:top w:val="single" w:color="auto" w:sz="4" w:space="0"/>
              <w:left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990" w:type="dxa"/>
            <w:tcBorders>
              <w:top w:val="single" w:color="auto" w:sz="4" w:space="0"/>
              <w:left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可持续影响指标</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21"/>
                <w:szCs w:val="21"/>
              </w:rPr>
              <w:t>项目产出能持续应用</w:t>
            </w:r>
          </w:p>
        </w:tc>
        <w:tc>
          <w:tcPr>
            <w:tcW w:w="99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完成政务资源数据共享，建成大数据中心机房，为后续智慧城市项目建设提供基础</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已完成</w:t>
            </w:r>
          </w:p>
        </w:tc>
        <w:tc>
          <w:tcPr>
            <w:tcW w:w="8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10</w:t>
            </w:r>
          </w:p>
        </w:tc>
        <w:tc>
          <w:tcPr>
            <w:tcW w:w="8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10</w:t>
            </w:r>
          </w:p>
        </w:tc>
        <w:tc>
          <w:tcPr>
            <w:tcW w:w="1564"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172" w:type="dxa"/>
            <w:vMerge w:val="continue"/>
            <w:tcBorders>
              <w:left w:val="single" w:color="auto" w:sz="4" w:space="0"/>
              <w:right w:val="single" w:color="auto" w:sz="4" w:space="0"/>
            </w:tcBorders>
            <w:vAlign w:val="center"/>
          </w:tcPr>
          <w:p>
            <w:pPr>
              <w:jc w:val="left"/>
              <w:rPr>
                <w:rFonts w:ascii="Times New Roman" w:hAnsi="Times New Roman"/>
                <w:color w:val="000000"/>
                <w:kern w:val="0"/>
                <w:sz w:val="21"/>
                <w:szCs w:val="21"/>
              </w:rPr>
            </w:pPr>
          </w:p>
        </w:tc>
        <w:tc>
          <w:tcPr>
            <w:tcW w:w="996" w:type="dxa"/>
            <w:tcBorders>
              <w:top w:val="nil"/>
              <w:left w:val="nil"/>
              <w:right w:val="single" w:color="auto" w:sz="4" w:space="0"/>
            </w:tcBorders>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满意度</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指标</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（10分）</w:t>
            </w:r>
          </w:p>
        </w:tc>
        <w:tc>
          <w:tcPr>
            <w:tcW w:w="990" w:type="dxa"/>
            <w:tcBorders>
              <w:top w:val="nil"/>
              <w:left w:val="nil"/>
              <w:right w:val="single" w:color="auto" w:sz="4" w:space="0"/>
            </w:tcBorders>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服务对象满意度指标</w:t>
            </w:r>
          </w:p>
        </w:tc>
        <w:tc>
          <w:tcPr>
            <w:tcW w:w="1558"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21"/>
                <w:szCs w:val="21"/>
              </w:rPr>
              <w:t>实现“一窗办理、一网通办”</w:t>
            </w:r>
          </w:p>
        </w:tc>
        <w:tc>
          <w:tcPr>
            <w:tcW w:w="999"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完成“一窗办理、一网通办”</w:t>
            </w:r>
          </w:p>
        </w:tc>
        <w:tc>
          <w:tcPr>
            <w:tcW w:w="1118"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已完成</w:t>
            </w:r>
          </w:p>
        </w:tc>
        <w:tc>
          <w:tcPr>
            <w:tcW w:w="827"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10</w:t>
            </w:r>
          </w:p>
        </w:tc>
        <w:tc>
          <w:tcPr>
            <w:tcW w:w="871"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10</w:t>
            </w:r>
          </w:p>
        </w:tc>
        <w:tc>
          <w:tcPr>
            <w:tcW w:w="15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trHeight w:val="149" w:hRule="atLeast"/>
          <w:jc w:val="center"/>
        </w:trPr>
        <w:tc>
          <w:tcPr>
            <w:tcW w:w="6833"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总分</w:t>
            </w:r>
          </w:p>
        </w:tc>
        <w:tc>
          <w:tcPr>
            <w:tcW w:w="827"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100</w:t>
            </w:r>
          </w:p>
        </w:tc>
        <w:tc>
          <w:tcPr>
            <w:tcW w:w="871"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92</w:t>
            </w:r>
          </w:p>
        </w:tc>
        <w:tc>
          <w:tcPr>
            <w:tcW w:w="15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bl>
    <w:p>
      <w:r>
        <w:rPr>
          <w:rFonts w:ascii="Times New Roman" w:hAnsi="Times New Roman"/>
          <w:kern w:val="0"/>
          <w:sz w:val="22"/>
          <w:szCs w:val="22"/>
        </w:rPr>
        <w:t>填表人：</w:t>
      </w:r>
      <w:r>
        <w:rPr>
          <w:rFonts w:hint="eastAsia" w:ascii="Times New Roman" w:hAnsi="Times New Roman"/>
          <w:kern w:val="0"/>
          <w:sz w:val="22"/>
          <w:szCs w:val="22"/>
        </w:rPr>
        <w:t xml:space="preserve">黄锦锦  </w:t>
      </w:r>
      <w:r>
        <w:rPr>
          <w:rFonts w:ascii="Times New Roman" w:hAnsi="Times New Roman"/>
          <w:kern w:val="0"/>
          <w:sz w:val="22"/>
          <w:szCs w:val="22"/>
        </w:rPr>
        <w:t>填报日期：</w:t>
      </w:r>
      <w:r>
        <w:rPr>
          <w:rFonts w:hint="eastAsia" w:ascii="Times New Roman" w:hAnsi="Times New Roman"/>
          <w:kern w:val="0"/>
          <w:sz w:val="22"/>
          <w:szCs w:val="22"/>
        </w:rPr>
        <w:t>4月12日</w:t>
      </w:r>
      <w:r>
        <w:rPr>
          <w:rFonts w:ascii="Times New Roman" w:hAnsi="Times New Roman"/>
          <w:kern w:val="0"/>
          <w:sz w:val="22"/>
          <w:szCs w:val="22"/>
        </w:rPr>
        <w:t xml:space="preserve"> </w:t>
      </w:r>
      <w:r>
        <w:rPr>
          <w:rFonts w:hint="eastAsia" w:ascii="Times New Roman" w:hAnsi="Times New Roman"/>
          <w:kern w:val="0"/>
          <w:sz w:val="22"/>
          <w:szCs w:val="22"/>
        </w:rPr>
        <w:t xml:space="preserve">  </w:t>
      </w:r>
      <w:r>
        <w:rPr>
          <w:rFonts w:ascii="Times New Roman" w:hAnsi="Times New Roman"/>
          <w:kern w:val="0"/>
          <w:sz w:val="22"/>
          <w:szCs w:val="22"/>
        </w:rPr>
        <w:t>联系电话：</w:t>
      </w:r>
      <w:r>
        <w:rPr>
          <w:rFonts w:hint="eastAsia" w:ascii="Times New Roman" w:hAnsi="Times New Roman"/>
          <w:kern w:val="0"/>
          <w:sz w:val="22"/>
          <w:szCs w:val="22"/>
        </w:rPr>
        <w:t>0737-6206182</w:t>
      </w:r>
      <w:r>
        <w:rPr>
          <w:rFonts w:ascii="Times New Roman" w:hAnsi="Times New Roman"/>
          <w:kern w:val="0"/>
          <w:sz w:val="22"/>
          <w:szCs w:val="22"/>
        </w:rPr>
        <w:t xml:space="preserve"> </w:t>
      </w:r>
      <w:r>
        <w:rPr>
          <w:rFonts w:hint="eastAsia" w:ascii="Times New Roman" w:hAnsi="Times New Roman"/>
          <w:kern w:val="0"/>
          <w:sz w:val="22"/>
          <w:szCs w:val="22"/>
        </w:rPr>
        <w:t xml:space="preserve">  </w:t>
      </w:r>
      <w:r>
        <w:rPr>
          <w:rFonts w:ascii="Times New Roman" w:hAnsi="Times New Roman"/>
          <w:kern w:val="0"/>
          <w:sz w:val="22"/>
          <w:szCs w:val="22"/>
        </w:rPr>
        <w:t>单位负责人签</w:t>
      </w:r>
      <w:r>
        <w:rPr>
          <w:rFonts w:hint="eastAsia" w:ascii="Times New Roman" w:hAnsi="Times New Roman"/>
          <w:kern w:val="0"/>
          <w:sz w:val="22"/>
          <w:szCs w:val="22"/>
        </w:rPr>
        <w:t>字：</w:t>
      </w:r>
      <w:r>
        <w:rPr>
          <w:rFonts w:ascii="Times New Roman" w:hAnsi="Times New Roman"/>
          <w:kern w:val="0"/>
          <w:sz w:val="21"/>
          <w:szCs w:val="21"/>
        </w:rPr>
        <w:br w:type="page"/>
      </w:r>
    </w:p>
    <w:p/>
    <w:p/>
    <w:sectPr>
      <w:footerReference r:id="rId3" w:type="default"/>
      <w:footerReference r:id="rId4" w:type="even"/>
      <w:pgSz w:w="11907" w:h="16840"/>
      <w:pgMar w:top="2041" w:right="1531" w:bottom="1871" w:left="1531" w:header="851" w:footer="1304" w:gutter="0"/>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sz w:val="28"/>
      </w:rPr>
    </w:pPr>
    <w:r>
      <w:rPr>
        <w:sz w:val="2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ind w:right="335"/>
                  <w:rPr>
                    <w:rStyle w:val="7"/>
                    <w:rFonts w:ascii="宋体" w:hAnsi="宋体" w:eastAsia="宋体"/>
                    <w:sz w:val="28"/>
                  </w:rPr>
                </w:pPr>
                <w:r>
                  <w:rPr>
                    <w:rStyle w:val="7"/>
                    <w:rFonts w:hint="eastAsia" w:ascii="宋体" w:hAnsi="宋体" w:eastAsia="宋体"/>
                    <w:sz w:val="28"/>
                  </w:rPr>
                  <w:t>—</w:t>
                </w:r>
                <w:r>
                  <w:rPr>
                    <w:rFonts w:ascii="宋体" w:hAnsi="宋体" w:eastAsia="宋体"/>
                    <w:sz w:val="28"/>
                  </w:rPr>
                  <w:fldChar w:fldCharType="begin"/>
                </w:r>
                <w:r>
                  <w:rPr>
                    <w:rStyle w:val="7"/>
                    <w:rFonts w:ascii="宋体" w:hAnsi="宋体" w:eastAsia="宋体"/>
                    <w:sz w:val="28"/>
                  </w:rPr>
                  <w:instrText xml:space="preserve">PAGE  </w:instrText>
                </w:r>
                <w:r>
                  <w:rPr>
                    <w:rFonts w:ascii="宋体" w:hAnsi="宋体" w:eastAsia="宋体"/>
                    <w:sz w:val="28"/>
                  </w:rPr>
                  <w:fldChar w:fldCharType="separate"/>
                </w:r>
                <w:r>
                  <w:rPr>
                    <w:rStyle w:val="7"/>
                    <w:rFonts w:ascii="宋体" w:hAnsi="宋体" w:eastAsia="宋体"/>
                    <w:sz w:val="28"/>
                  </w:rPr>
                  <w:t>9</w:t>
                </w:r>
                <w:r>
                  <w:rPr>
                    <w:rFonts w:ascii="宋体" w:hAnsi="宋体" w:eastAsia="宋体"/>
                    <w:sz w:val="28"/>
                  </w:rPr>
                  <w:fldChar w:fldCharType="end"/>
                </w:r>
                <w:r>
                  <w:rPr>
                    <w:rStyle w:val="7"/>
                    <w:rFonts w:hint="eastAsia" w:ascii="宋体" w:hAnsi="宋体" w:eastAsia="宋体"/>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35"/>
      <w:rPr>
        <w:rStyle w:val="7"/>
        <w:rFonts w:ascii="宋体" w:hAnsi="宋体" w:eastAsia="宋体"/>
        <w:sz w:val="28"/>
      </w:rPr>
    </w:pPr>
    <w:r>
      <w:rPr>
        <w:rStyle w:val="7"/>
        <w:rFonts w:hint="eastAsia" w:ascii="宋体" w:hAnsi="宋体" w:eastAsia="宋体"/>
        <w:sz w:val="28"/>
      </w:rPr>
      <w:t>—</w:t>
    </w:r>
    <w:r>
      <w:rPr>
        <w:rFonts w:ascii="宋体" w:hAnsi="宋体" w:eastAsia="宋体"/>
        <w:sz w:val="28"/>
      </w:rPr>
      <w:fldChar w:fldCharType="begin"/>
    </w:r>
    <w:r>
      <w:rPr>
        <w:rStyle w:val="7"/>
        <w:rFonts w:ascii="宋体" w:hAnsi="宋体" w:eastAsia="宋体"/>
        <w:sz w:val="28"/>
      </w:rPr>
      <w:instrText xml:space="preserve">PAGE  </w:instrText>
    </w:r>
    <w:r>
      <w:rPr>
        <w:rFonts w:ascii="宋体" w:hAnsi="宋体" w:eastAsia="宋体"/>
        <w:sz w:val="28"/>
      </w:rPr>
      <w:fldChar w:fldCharType="separate"/>
    </w:r>
    <w:r>
      <w:rPr>
        <w:rStyle w:val="7"/>
        <w:rFonts w:ascii="宋体" w:hAnsi="宋体" w:eastAsia="宋体"/>
        <w:sz w:val="28"/>
      </w:rPr>
      <w:t>8</w:t>
    </w:r>
    <w:r>
      <w:rPr>
        <w:rFonts w:ascii="宋体" w:hAnsi="宋体" w:eastAsia="宋体"/>
        <w:sz w:val="28"/>
      </w:rPr>
      <w:fldChar w:fldCharType="end"/>
    </w:r>
    <w:r>
      <w:rPr>
        <w:rStyle w:val="7"/>
        <w:rFonts w:hint="eastAsia" w:ascii="宋体" w:hAnsi="宋体" w:eastAsia="宋体"/>
        <w:sz w:val="28"/>
      </w:rPr>
      <w:t>—</w:t>
    </w:r>
  </w:p>
  <w:p>
    <w:pPr>
      <w:pStyle w:val="2"/>
      <w:ind w:left="300" w:right="360" w:firstLine="360"/>
      <w:rPr>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D4D2BA"/>
    <w:multiLevelType w:val="singleLevel"/>
    <w:tmpl w:val="E4D4D2BA"/>
    <w:lvl w:ilvl="0" w:tentative="0">
      <w:start w:val="2"/>
      <w:numFmt w:val="chineseCounting"/>
      <w:suff w:val="nothing"/>
      <w:lvlText w:val="%1、"/>
      <w:lvlJc w:val="left"/>
      <w:rPr>
        <w:rFonts w:hint="eastAsia"/>
      </w:rPr>
    </w:lvl>
  </w:abstractNum>
  <w:abstractNum w:abstractNumId="1">
    <w:nsid w:val="FC04085B"/>
    <w:multiLevelType w:val="singleLevel"/>
    <w:tmpl w:val="FC04085B"/>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5371EC"/>
    <w:rsid w:val="00253866"/>
    <w:rsid w:val="00EB367E"/>
    <w:rsid w:val="01A03DE8"/>
    <w:rsid w:val="0A177640"/>
    <w:rsid w:val="0A615A9E"/>
    <w:rsid w:val="0D07717D"/>
    <w:rsid w:val="16131D46"/>
    <w:rsid w:val="1ED96033"/>
    <w:rsid w:val="20040D55"/>
    <w:rsid w:val="27DB366D"/>
    <w:rsid w:val="36D60FA2"/>
    <w:rsid w:val="3A5371EC"/>
    <w:rsid w:val="3B092295"/>
    <w:rsid w:val="45624C49"/>
    <w:rsid w:val="5233660E"/>
    <w:rsid w:val="58CE48C6"/>
    <w:rsid w:val="593578A6"/>
    <w:rsid w:val="69816B37"/>
    <w:rsid w:val="6B682B10"/>
    <w:rsid w:val="6D98502F"/>
    <w:rsid w:val="6DDE2E9E"/>
    <w:rsid w:val="70782760"/>
    <w:rsid w:val="79067631"/>
    <w:rsid w:val="7B8C6D02"/>
    <w:rsid w:val="7BBA69B0"/>
    <w:rsid w:val="7EF638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page number"/>
    <w:basedOn w:val="6"/>
    <w:qFormat/>
    <w:uiPriority w:val="0"/>
  </w:style>
  <w:style w:type="character" w:customStyle="1" w:styleId="8">
    <w:name w:val="页眉 Char"/>
    <w:basedOn w:val="6"/>
    <w:link w:val="3"/>
    <w:qFormat/>
    <w:uiPriority w:val="0"/>
    <w:rPr>
      <w:rFonts w:ascii="Calibri" w:hAnsi="Calibri"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3678</Words>
  <Characters>443</Characters>
  <Lines>3</Lines>
  <Paragraphs>8</Paragraphs>
  <TotalTime>1</TotalTime>
  <ScaleCrop>false</ScaleCrop>
  <LinksUpToDate>false</LinksUpToDate>
  <CharactersWithSpaces>4113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2021-03-30T03:11:00Z</dcterms:created>
  <dc:creator>Administrator</dc:creator>
  <cp:lastModifiedBy>Administrator</cp:lastModifiedBy>
  <dcterms:modified xsi:type="dcterms:W3CDTF">2021-04-14T02:45:58Z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AA65A96C958F4683A597C6E9645398AF</vt:lpwstr>
  </property>
</Properties>
</file>