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目</w:t>
      </w:r>
      <w:r>
        <w:rPr>
          <w:rFonts w:hint="eastAsia" w:ascii="宋体" w:hAnsi="宋体" w:eastAsia="宋体" w:cs="宋体"/>
          <w:sz w:val="44"/>
          <w:lang w:val="en-US" w:eastAsia="zh-CN"/>
        </w:rPr>
        <w:t xml:space="preserve">   </w:t>
      </w:r>
      <w:r>
        <w:rPr>
          <w:rFonts w:ascii="方正小标宋_GBK" w:hAnsi="方正小标宋_GBK" w:eastAsia="方正小标宋_GBK" w:cs="方正小标宋_GBK"/>
          <w:sz w:val="44"/>
        </w:rPr>
        <w:t xml:space="preserve"> </w:t>
      </w:r>
      <w:r>
        <w:rPr>
          <w:rFonts w:ascii="宋体" w:hAnsi="宋体" w:eastAsia="宋体" w:cs="宋体"/>
          <w:sz w:val="44"/>
        </w:rPr>
        <w:t>录</w:t>
      </w:r>
    </w:p>
    <w:p>
      <w:pPr>
        <w:keepNext w:val="0"/>
        <w:keepLines w:val="0"/>
        <w:pageBreakBefore w:val="0"/>
        <w:widowControl w:val="0"/>
        <w:kinsoku/>
        <w:wordWrap/>
        <w:overflowPunct/>
        <w:topLinePunct w:val="0"/>
        <w:autoSpaceDE/>
        <w:autoSpaceDN/>
        <w:bidi w:val="0"/>
        <w:adjustRightInd/>
        <w:snapToGrid/>
        <w:spacing w:line="560" w:lineRule="exact"/>
        <w:ind w:firstLine="320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益阳市发展和改革委员会</w:t>
      </w:r>
      <w:r>
        <w:rPr>
          <w:rFonts w:ascii="黑体" w:hAnsi="黑体" w:eastAsia="黑体" w:cs="黑体"/>
          <w:sz w:val="32"/>
        </w:rPr>
        <w:t xml:space="preserve">单位概况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一、主要职能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三、部门决算单位构成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年度部门决算表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一、收入支出决算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二、收入决算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三、支出决算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四、财政拨款收入支出决算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五、一般公共预算财政拨款支出决算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六、一般公共预算财政拨款基本支出决算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七、一般公共预算财政拨款“三公”经费支出决算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八、政府性基金预算财政拨款收入支出决算</w:t>
      </w:r>
      <w:r>
        <w:rPr>
          <w:rFonts w:hint="eastAsia" w:ascii="楷体" w:hAnsi="楷体" w:eastAsia="楷体" w:cs="楷体"/>
          <w:sz w:val="32"/>
          <w:lang w:eastAsia="zh-CN"/>
        </w:rPr>
        <w:t>公开</w:t>
      </w:r>
      <w:r>
        <w:rPr>
          <w:rFonts w:ascii="楷体" w:hAnsi="楷体" w:eastAsia="楷体" w:cs="楷体"/>
          <w:sz w:val="32"/>
        </w:rPr>
        <w:t xml:space="preserve">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一</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二</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年度收入</w:t>
      </w:r>
      <w:r>
        <w:rPr>
          <w:rFonts w:hint="eastAsia" w:ascii="楷体" w:hAnsi="楷体" w:eastAsia="楷体" w:cs="楷体"/>
          <w:sz w:val="32"/>
          <w:lang w:eastAsia="zh-CN"/>
        </w:rPr>
        <w:t>决算</w:t>
      </w:r>
      <w:r>
        <w:rPr>
          <w:rFonts w:hint="eastAsia" w:ascii="楷体" w:hAnsi="楷体" w:eastAsia="楷体" w:cs="楷体"/>
          <w:sz w:val="32"/>
        </w:rPr>
        <w:t>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三</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 xml:space="preserve">年度支出决算情况说明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四</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五</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六</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七</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八</w:t>
      </w:r>
      <w:r>
        <w:rPr>
          <w:rFonts w:hint="eastAsia" w:ascii="楷体" w:hAnsi="楷体" w:eastAsia="楷体" w:cs="楷体"/>
          <w:sz w:val="32"/>
        </w:rPr>
        <w:t>、关于</w:t>
      </w:r>
      <w:r>
        <w:rPr>
          <w:rFonts w:hint="eastAsia" w:ascii="楷体" w:hAnsi="楷体" w:eastAsia="楷体" w:cs="楷体"/>
          <w:sz w:val="32"/>
          <w:lang w:eastAsia="zh-CN"/>
        </w:rPr>
        <w:t>益阳市发展和改革委员会</w:t>
      </w:r>
      <w:r>
        <w:rPr>
          <w:rFonts w:hint="eastAsia" w:ascii="楷体" w:hAnsi="楷体" w:eastAsia="楷体" w:cs="楷体"/>
          <w:sz w:val="32"/>
        </w:rPr>
        <w:t>201</w:t>
      </w:r>
      <w:r>
        <w:rPr>
          <w:rFonts w:hint="eastAsia" w:ascii="楷体" w:hAnsi="楷体" w:eastAsia="楷体" w:cs="楷体"/>
          <w:sz w:val="32"/>
          <w:lang w:val="en-US" w:eastAsia="zh-CN"/>
        </w:rPr>
        <w:t>9</w:t>
      </w:r>
      <w:r>
        <w:rPr>
          <w:rFonts w:hint="eastAsia" w:ascii="楷体" w:hAnsi="楷体" w:eastAsia="楷体" w:cs="楷体"/>
          <w:sz w:val="32"/>
        </w:rPr>
        <w:t>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lang w:val="en-US" w:eastAsia="zh-CN"/>
        </w:rPr>
        <w:t>九</w:t>
      </w:r>
      <w:r>
        <w:rPr>
          <w:rFonts w:hint="eastAsia" w:ascii="楷体" w:hAnsi="楷体" w:eastAsia="楷体" w:cs="楷体"/>
          <w:sz w:val="32"/>
        </w:rPr>
        <w:t>、关于 201</w:t>
      </w:r>
      <w:r>
        <w:rPr>
          <w:rFonts w:hint="eastAsia" w:ascii="楷体" w:hAnsi="楷体" w:eastAsia="楷体" w:cs="楷体"/>
          <w:sz w:val="32"/>
          <w:lang w:val="en-US" w:eastAsia="zh-CN"/>
        </w:rPr>
        <w:t>9</w:t>
      </w:r>
      <w:r>
        <w:rPr>
          <w:rFonts w:hint="eastAsia" w:ascii="楷体" w:hAnsi="楷体" w:eastAsia="楷体" w:cs="楷体"/>
          <w:sz w:val="32"/>
        </w:rPr>
        <w:t>年度预算绩效情况说明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rPr>
      </w:pPr>
      <w:r>
        <w:rPr>
          <w:rFonts w:hint="eastAsia" w:ascii="楷体" w:hAnsi="楷体" w:eastAsia="楷体" w:cs="楷体"/>
          <w:sz w:val="32"/>
        </w:rPr>
        <w:t>十、其他重要事项的情况说明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黑体" w:hAnsi="黑体" w:eastAsia="黑体" w:cs="黑体"/>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黑体" w:hAnsi="黑体" w:eastAsia="黑体" w:cs="黑体"/>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hint="eastAsia" w:ascii="黑体" w:hAnsi="黑体" w:eastAsia="黑体" w:cs="黑体"/>
          <w:sz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lang w:val="en-US" w:eastAsia="zh-CN"/>
        </w:rPr>
      </w:pPr>
      <w:r>
        <w:rPr>
          <w:rFonts w:hint="eastAsia" w:ascii="宋体" w:hAnsi="宋体" w:eastAsia="宋体" w:cs="宋体"/>
          <w:sz w:val="44"/>
          <w:lang w:val="en-US" w:eastAsia="zh-CN"/>
        </w:rPr>
        <w:t xml:space="preserve">第一部分 </w:t>
      </w:r>
      <w:r>
        <w:rPr>
          <w:rFonts w:hint="eastAsia" w:ascii="宋体" w:hAnsi="宋体" w:cs="宋体"/>
          <w:sz w:val="44"/>
        </w:rPr>
        <w:t>益阳市发展和改革委员会</w:t>
      </w:r>
      <w:r>
        <w:rPr>
          <w:rFonts w:ascii="宋体" w:hAnsi="宋体" w:eastAsia="宋体" w:cs="宋体"/>
          <w:sz w:val="44"/>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44"/>
          <w:lang w:val="en-US" w:eastAsia="zh-CN"/>
        </w:rPr>
      </w:pPr>
      <w:r>
        <w:rPr>
          <w:rFonts w:ascii="宋体" w:hAnsi="宋体" w:eastAsia="宋体" w:cs="宋体"/>
          <w:sz w:val="44"/>
        </w:rPr>
        <w:t>概</w:t>
      </w:r>
      <w:r>
        <w:rPr>
          <w:rFonts w:hint="eastAsia" w:ascii="宋体" w:hAnsi="宋体" w:eastAsia="宋体" w:cs="宋体"/>
          <w:sz w:val="44"/>
          <w:lang w:val="en-US" w:eastAsia="zh-CN"/>
        </w:rPr>
        <w:t xml:space="preserve">     </w:t>
      </w:r>
      <w:r>
        <w:rPr>
          <w:rFonts w:ascii="宋体" w:hAnsi="宋体" w:eastAsia="宋体" w:cs="宋体"/>
          <w:sz w:val="44"/>
        </w:rPr>
        <w:t>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rPr>
      </w:pPr>
      <w:r>
        <w:rPr>
          <w:rFonts w:ascii="黑体" w:hAnsi="黑体" w:eastAsia="黑体" w:cs="黑体"/>
          <w:sz w:val="32"/>
        </w:rPr>
        <w:t>一、主要职能</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拟订并组织实施全市国民经济和社会发展战略、中长期规划和年度计划，统筹协调相关总体规划、区域规划与专项规划。提出全市国民经济发展、价格总水平调控和优化重大经济结构的目标、政策，提出综合运用各种经济手段和政策的建议，受市政府委托向市人民代表大会提交国民经济和社会发展计划的报告。</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（二）研究全市宏观经济运行、总量平衡、经济安全和总体产业安全等重要问题并提出宏观调控政策建议，协调解决经济运行中的重大问题，调节国民经济运行。</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汇总社会资金总体运行情况，参与制定财政、金融、土地政策并综合分析政策执行效果。拟订并组织实施产业政策，监督检查产业政策的执行。会同有关部门完善宏观调控协调机制，统筹推进产业、创业等投资基金的发展和制度建设。</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指导推进和综合协调全市经济体制改革，研究全市经济体制改革和对外开放的重大问题；组织拟订综合性经济体制改革方案，协调有关专项经济体制改革方案实施，会同有关部门搞好专项改革之间的衔接；指导经济体制改革试点和改革试验区工作，协调推进“两型”社会建设综合配套改革工作。</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拟订全市全社会固定资产投资总规模和投资结构的调控目标、政策及措施；规划全市重大建设项目和生产力布局，按规定权限审批、核准、审核、备案跨地区、跨行业、跨领域和涉及综合平衡、重大布局的重大建设项目、外资项目、境外投资项目；研究提出全市利用外资和境外投资的战略、规划、总量平衡和结构优化的目标和政策；指导和监督国外贷款建设资金的使用，引导民间投资方向；牵头组织编制重特大自然灾害的灾后恢复重建规划，协调有关重大问题；研究提出市重点建设项目计划；负责政府投资项目代建制实施的指导、协调和监督管理。指导工程咨询业发展。</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组织拟订综合性产业政策，负责协调第一、二、三产业发展的重大问题并衔接平衡相关发展规划和重大政策，负责综合交通运输体系规划与经济和社会发展规划的衔接平衡；协调农业和农村经济社会发展的重大问题，统筹推进现代农业改革；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贯彻落实国家中部崛起、长江经济带开发建设的政策措施，研究分析区域经济发展情况，组织编制区域规划、跨区县（市）城镇群规划；负责统筹促进洞庭湖生态经济区加快发展的战略、规划和重大政策落实，承担市洞庭湖生态经济区建设领导小组的日常工作。拟订并组织实施全市以工代赈规划和计划；参与研究拟订全市城镇化发展战略和重大政策措施。参与制定开发园区发展规划和政策；承担市对口支援新疆有关工作。</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承担重要商品总量平衡和宏观调控，编制重要农产品、工业品和原材料进出口总量平衡计划并监督执行，根据经济运行情况对计划进行调整；拟订重要战略物资储备规划，负责组织收储、动用、轮换和管理，会同有关部门管理粮食、棉花和食糖等储备。牵头负责全市物流发展工作，拟订现代物流业发展战略、规划，协调物流业发展重大布局。</w:t>
      </w:r>
    </w:p>
    <w:p>
      <w:pPr>
        <w:widowControl/>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贯彻执行粮食流通和物资储备管理的政策法规；制定并组织实施全市粮食流通发展规划，组织指导粮食市场体系和质量监测体系建设；承担全市粮食流通宏观调控的具体工作，负责粮食流通行政管理，指导协调政策性粮食购销和粮食产销合作；研究提出市级粮食和物资储备规划、储备品种目录建议，管理市级粮食、棉花、食糖等战略物资和救灾物资储备；贯彻落实国家粮食和物资储备仓储管理有关技术标准和规范，指导科技进步、技术改造；组织指导粮食流通、加工行业安全生产，承担所属物资承储单位安全生产的监管责任；拟订并组织实施全市储备基础设施和粮食流通设施建设规划；保障军队粮食供应；负责粮食流通和物资储备监督检查，组织指导粮食行政执法工作，组织实施粮食库存检查工作；承担粮食安全责任制考核日常工作；负责全</w:t>
      </w:r>
      <w:r>
        <w:rPr>
          <w:rFonts w:hint="eastAsia" w:ascii="楷体_GB2312" w:hAnsi="楷体_GB2312" w:eastAsia="楷体_GB2312" w:cs="楷体_GB2312"/>
          <w:spacing w:val="-4"/>
          <w:sz w:val="32"/>
          <w:szCs w:val="32"/>
        </w:rPr>
        <w:t>市社会粮食流通和储备物资的统计工作；监管直属单位国有资产。</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负责国民经济和社会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参与推进深化医药卫生体制改革工作。</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研究分析经济社会与资源、环境协调发展的重大问题，研究提出能源消费总量控制目标的建议，牵头拟订能源消费总量控制工作方案并组织实施；组织拟订发展循环经济、能源资源节约和综合利用规划、政策并协调实施。参与编制生态环境保护规划，协调生态建设、能源资源节约和综合利用的重大问题，会同有关部门提出建立健全生态补偿机制的政策措施。综合协调节能环保产业和清洁生产促进有关工作；完善固定资产投资项目节能评估和审查制度。</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编制和执行全市价格改革规划，拟订并组织实施价格政策。监测分析市场价格形势，组织实施价格总水平调控。管理国家、省列名管理的商品和服务价格（药品和医疗价格除外），监管实行市场调节价的商品和服务价格，承担行政事业性收费管理、价格监测和涉案物价鉴证工作；依法对重特大自然灾害和特殊时期实施临时价格干预措施，负责价格公共服务工作；负责价格成本调查和监审。</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协调推进经济发展环境的优化，牵头落实有关鼓励市场主体投资、保护投资者权益、促进市场公平竞争、维护市场正常秩序的政务、法制、商务、信用等环境，优化重点项目建设环境；指导全市优化经济发展环境的相关工作，承担治理工程建设领域突出问题有关工作。</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四）研究提出全市能源发展战略和改革建议。拟订能源发展规划、产业政策并组织实施；监测能源发展情况，衔接能源生产建设和供需平衡；负责能源预测预警，发布能源信息，参与能源重大建设项目规划布局，参与能源运行调节和应急保障；组织协调核电和新能源开发利用的前期工作。统筹协调农村能源发展政策与规划。</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（十五）制定推进社会信用体系建设的规划、政策措施，统筹推进统一的信用信息平台建设，促进信用信息资源的整合与运用，协调社会信用体系建设的重大问题。</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（十六）拟订推进经济建设与国防建设协调发展的战略和规划，协调有关重大问题；组织编制全市国民经济动员和装备动员规划、计划，并组织实施有关工作。</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七）负责公共资源交易综合监督管理，承担市公共资源交易管理委员会的日常工作，指导督促各区县（市）和市直有关部门落实市公共资源交易管理委员会的决策部署，指导协调监督各法定监管机关依法履行公共资源交易监管执法职责。指导协调全市招投标工作；对依法必须进行招标的本部门审批、核准项目，审批、核准其招标范围、招标方式、招标组织形式，对招标投标活动实施监督，依法查处招标投标活动中的违法行为。</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（十八）完成市委、市政府交办的其他任务。</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（十九）职能转变。将房屋建筑、市政工程建设、交通、水利工程等专业领域招投标监督管理职责分别划入住房城乡建设、交通运输、水利等主管部门。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rPr>
      </w:pPr>
      <w:r>
        <w:rPr>
          <w:rFonts w:ascii="黑体" w:hAnsi="黑体" w:eastAsia="黑体" w:cs="黑体"/>
          <w:sz w:val="32"/>
        </w:rPr>
        <w:t>二、机构设置</w:t>
      </w:r>
    </w:p>
    <w:p>
      <w:pPr>
        <w:snapToGrid w:val="0"/>
        <w:spacing w:line="520" w:lineRule="exact"/>
        <w:ind w:firstLine="640" w:firstLineChars="200"/>
        <w:rPr>
          <w:rFonts w:hint="eastAsia" w:eastAsia="仿宋_GB2312"/>
          <w:sz w:val="32"/>
          <w:szCs w:val="32"/>
          <w:lang w:val="en-US" w:eastAsia="zh-CN" w:bidi="ar"/>
        </w:rPr>
      </w:pPr>
      <w:r>
        <w:rPr>
          <w:rFonts w:hint="eastAsia" w:ascii="楷体_GB2312" w:hAnsi="楷体_GB2312" w:eastAsia="楷体_GB2312" w:cs="楷体_GB2312"/>
          <w:sz w:val="32"/>
          <w:szCs w:val="32"/>
          <w:lang w:eastAsia="zh-CN" w:bidi="ar"/>
        </w:rPr>
        <w:t>2019年机构改革，原市粮食局、市两型办并入市发改委，市价格监督检查局划出市发改委。</w:t>
      </w:r>
      <w:r>
        <w:rPr>
          <w:rFonts w:hint="eastAsia" w:ascii="楷体_GB2312" w:hAnsi="楷体_GB2312" w:eastAsia="楷体_GB2312" w:cs="楷体_GB2312"/>
          <w:sz w:val="32"/>
          <w:szCs w:val="32"/>
        </w:rPr>
        <w:t>市发改委内设机构</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5个（含机关党委），</w:t>
      </w:r>
      <w:r>
        <w:rPr>
          <w:rFonts w:hint="eastAsia" w:ascii="楷体_GB2312" w:hAnsi="楷体_GB2312" w:eastAsia="楷体_GB2312" w:cs="楷体_GB2312"/>
          <w:sz w:val="32"/>
          <w:szCs w:val="32"/>
          <w:lang w:eastAsia="zh-CN" w:bidi="ar"/>
        </w:rPr>
        <w:t>均为正科级；所属事业单位11个，其中</w:t>
      </w:r>
      <w:r>
        <w:rPr>
          <w:rFonts w:hint="eastAsia" w:ascii="楷体_GB2312" w:hAnsi="楷体_GB2312" w:eastAsia="楷体_GB2312" w:cs="楷体_GB2312"/>
          <w:sz w:val="32"/>
          <w:szCs w:val="32"/>
          <w:lang w:val="en-US" w:eastAsia="zh-CN" w:bidi="ar"/>
        </w:rPr>
        <w:t>3个副处级单位:益阳市重点建设项目事务中心、益阳市区域经济发展事务中心、益阳</w:t>
      </w:r>
      <w:r>
        <w:rPr>
          <w:rFonts w:hint="eastAsia" w:ascii="楷体_GB2312" w:hAnsi="楷体_GB2312" w:eastAsia="楷体_GB2312" w:cs="楷体_GB2312"/>
          <w:sz w:val="32"/>
          <w:szCs w:val="32"/>
        </w:rPr>
        <w:t>市经济建设投资公司</w:t>
      </w:r>
      <w:r>
        <w:rPr>
          <w:rFonts w:hint="eastAsia" w:ascii="楷体_GB2312" w:hAnsi="楷体_GB2312" w:eastAsia="楷体_GB2312" w:cs="楷体_GB2312"/>
          <w:sz w:val="32"/>
          <w:szCs w:val="32"/>
          <w:lang w:val="en-US" w:eastAsia="zh-CN" w:bidi="ar"/>
        </w:rPr>
        <w:t>，8个正科级单位：益阳市政府投资项目评审中心、益阳市价格监测分析中心、益阳市发展和改革委员会信息中心、益阳市价格认证中心、益阳市粮食行政执法支队、益阳市粮食质量检测站、益阳市军粮供应站、益阳市粮油供应公司</w:t>
      </w:r>
      <w:r>
        <w:rPr>
          <w:rFonts w:hint="eastAsia" w:eastAsia="仿宋_GB2312"/>
          <w:sz w:val="32"/>
          <w:szCs w:val="32"/>
          <w:lang w:val="en-US" w:eastAsia="zh-CN" w:bidi="ar"/>
        </w:rPr>
        <w:t>。</w:t>
      </w:r>
    </w:p>
    <w:p>
      <w:pPr>
        <w:snapToGrid w:val="0"/>
        <w:spacing w:line="520" w:lineRule="exact"/>
        <w:ind w:firstLine="640" w:firstLineChars="200"/>
        <w:rPr>
          <w:rFonts w:hint="default" w:eastAsia="仿宋_GB2312"/>
          <w:sz w:val="32"/>
          <w:szCs w:val="32"/>
          <w:lang w:val="en-US" w:eastAsia="zh-CN" w:bidi="ar"/>
        </w:rPr>
      </w:pPr>
      <w:r>
        <w:rPr>
          <w:rFonts w:hint="eastAsia" w:ascii="楷体_GB2312" w:hAnsi="楷体_GB2312" w:eastAsia="楷体_GB2312" w:cs="楷体_GB2312"/>
          <w:sz w:val="32"/>
          <w:szCs w:val="32"/>
          <w:lang w:val="en-US" w:eastAsia="zh-CN" w:bidi="ar"/>
        </w:rPr>
        <w:t>市发改委人员编制共156人，其中行政编制87人，事业编制65人，工勤编制4人。年末实有人数337人，其中在职人员163人，离休人员4人，退休人员170人。其他人员2人，遗属8人，临聘人员9名。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三、部门决算单位构成</w:t>
      </w:r>
    </w:p>
    <w:p>
      <w:pPr>
        <w:snapToGrid w:val="0"/>
        <w:spacing w:line="520" w:lineRule="exact"/>
        <w:ind w:firstLine="640" w:firstLineChars="200"/>
        <w:rPr>
          <w:rFonts w:hint="eastAsia" w:ascii="楷体_GB2312" w:hAnsi="楷体_GB2312" w:eastAsia="楷体_GB2312" w:cs="楷体_GB2312"/>
          <w:sz w:val="32"/>
          <w:lang w:eastAsia="zh-CN"/>
        </w:rPr>
      </w:pPr>
      <w:r>
        <w:rPr>
          <w:rFonts w:hint="eastAsia" w:ascii="楷体_GB2312" w:hAnsi="楷体_GB2312" w:eastAsia="楷体_GB2312" w:cs="楷体_GB2312"/>
          <w:sz w:val="32"/>
          <w:szCs w:val="32"/>
        </w:rPr>
        <w:t>从决算单位构成看，市发改委部门决算包括：市发改委机关</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lang w:val="en-US" w:eastAsia="zh-CN"/>
        </w:rPr>
        <w:t>9个所属事业单位</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具体是：</w:t>
      </w:r>
    </w:p>
    <w:tbl>
      <w:tblPr>
        <w:tblStyle w:val="6"/>
        <w:tblW w:w="8081" w:type="dxa"/>
        <w:tblInd w:w="96" w:type="dxa"/>
        <w:tblLayout w:type="fixed"/>
        <w:tblCellMar>
          <w:top w:w="0" w:type="dxa"/>
          <w:left w:w="10" w:type="dxa"/>
          <w:bottom w:w="0" w:type="dxa"/>
          <w:right w:w="10" w:type="dxa"/>
        </w:tblCellMar>
      </w:tblPr>
      <w:tblGrid>
        <w:gridCol w:w="2006"/>
        <w:gridCol w:w="6075"/>
      </w:tblGrid>
      <w:tr>
        <w:tblPrEx>
          <w:tblCellMar>
            <w:top w:w="0" w:type="dxa"/>
            <w:left w:w="10" w:type="dxa"/>
            <w:bottom w:w="0" w:type="dxa"/>
            <w:right w:w="10" w:type="dxa"/>
          </w:tblCellMar>
        </w:tblPrEx>
        <w:trPr>
          <w:trHeight w:val="1"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仿宋" w:hAnsi="仿宋" w:eastAsia="仿宋" w:cs="仿宋"/>
                <w:b/>
                <w:sz w:val="28"/>
              </w:rPr>
              <w:t>序号</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 w:hAnsi="仿宋" w:eastAsia="仿宋" w:cs="仿宋"/>
                <w:b/>
                <w:sz w:val="28"/>
                <w:lang w:eastAsia="zh-CN"/>
              </w:rPr>
              <w:t>市发改委决算</w:t>
            </w:r>
            <w:r>
              <w:rPr>
                <w:rFonts w:ascii="仿宋" w:hAnsi="仿宋" w:eastAsia="仿宋" w:cs="仿宋"/>
                <w:b/>
                <w:sz w:val="28"/>
              </w:rPr>
              <w:t>单位名称</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b/>
                <w:sz w:val="32"/>
                <w:szCs w:val="32"/>
              </w:rPr>
              <w:t>1</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22"/>
              </w:rPr>
            </w:pPr>
            <w:r>
              <w:rPr>
                <w:rFonts w:hint="eastAsia" w:ascii="楷体_GB2312" w:hAnsi="楷体_GB2312" w:eastAsia="楷体_GB2312" w:cs="楷体_GB2312"/>
                <w:sz w:val="32"/>
                <w:szCs w:val="32"/>
              </w:rPr>
              <w:t>市发改委机关</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b/>
                <w:sz w:val="32"/>
                <w:szCs w:val="32"/>
              </w:rPr>
              <w:t>2</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22"/>
              </w:rPr>
            </w:pPr>
            <w:r>
              <w:rPr>
                <w:rFonts w:hint="eastAsia" w:ascii="楷体_GB2312" w:hAnsi="楷体_GB2312" w:eastAsia="楷体_GB2312" w:cs="楷体_GB2312"/>
                <w:sz w:val="32"/>
                <w:szCs w:val="32"/>
                <w:lang w:val="en-US" w:eastAsia="zh-CN" w:bidi="ar"/>
              </w:rPr>
              <w:t>益阳市重点建设项目事务中心</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益阳市区域经济发展事务中心</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益阳市政府投资项目评审中心</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5</w:t>
            </w:r>
          </w:p>
        </w:tc>
        <w:tc>
          <w:tcPr>
            <w:tcW w:w="6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益阳市价格监测分析中心</w:t>
            </w:r>
          </w:p>
        </w:tc>
      </w:tr>
      <w:tr>
        <w:tblPrEx>
          <w:tblCellMar>
            <w:top w:w="0" w:type="dxa"/>
            <w:left w:w="10" w:type="dxa"/>
            <w:bottom w:w="0" w:type="dxa"/>
            <w:right w:w="10" w:type="dxa"/>
          </w:tblCellMar>
        </w:tblPrEx>
        <w:trPr>
          <w:trHeight w:val="23" w:hRule="atLeast"/>
        </w:trPr>
        <w:tc>
          <w:tcPr>
            <w:tcW w:w="200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6</w:t>
            </w:r>
          </w:p>
        </w:tc>
        <w:tc>
          <w:tcPr>
            <w:tcW w:w="607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益阳市发展和改革委员会信息中心</w:t>
            </w:r>
          </w:p>
        </w:tc>
      </w:tr>
      <w:tr>
        <w:tblPrEx>
          <w:tblCellMar>
            <w:top w:w="0" w:type="dxa"/>
            <w:left w:w="10" w:type="dxa"/>
            <w:bottom w:w="0" w:type="dxa"/>
            <w:right w:w="10" w:type="dxa"/>
          </w:tblCellMar>
        </w:tblPrEx>
        <w:trPr>
          <w:trHeight w:val="23" w:hRule="atLeast"/>
        </w:trPr>
        <w:tc>
          <w:tcPr>
            <w:tcW w:w="2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7</w:t>
            </w:r>
          </w:p>
        </w:tc>
        <w:tc>
          <w:tcPr>
            <w:tcW w:w="60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0"/>
              </w:tabs>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益阳市价格认证中心</w:t>
            </w:r>
          </w:p>
        </w:tc>
      </w:tr>
      <w:tr>
        <w:tblPrEx>
          <w:tblCellMar>
            <w:top w:w="0" w:type="dxa"/>
            <w:left w:w="10" w:type="dxa"/>
            <w:bottom w:w="0" w:type="dxa"/>
            <w:right w:w="10" w:type="dxa"/>
          </w:tblCellMar>
        </w:tblPrEx>
        <w:trPr>
          <w:trHeight w:val="23" w:hRule="atLeast"/>
        </w:trPr>
        <w:tc>
          <w:tcPr>
            <w:tcW w:w="2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8</w:t>
            </w:r>
          </w:p>
        </w:tc>
        <w:tc>
          <w:tcPr>
            <w:tcW w:w="60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0"/>
                <w:tab w:val="left" w:pos="210"/>
              </w:tabs>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益阳市粮食行政执法支队</w:t>
            </w:r>
          </w:p>
        </w:tc>
      </w:tr>
      <w:tr>
        <w:tblPrEx>
          <w:tblCellMar>
            <w:top w:w="0" w:type="dxa"/>
            <w:left w:w="10" w:type="dxa"/>
            <w:bottom w:w="0" w:type="dxa"/>
            <w:right w:w="10" w:type="dxa"/>
          </w:tblCellMar>
        </w:tblPrEx>
        <w:trPr>
          <w:trHeight w:val="23" w:hRule="atLeast"/>
        </w:trPr>
        <w:tc>
          <w:tcPr>
            <w:tcW w:w="2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9</w:t>
            </w:r>
          </w:p>
        </w:tc>
        <w:tc>
          <w:tcPr>
            <w:tcW w:w="60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0"/>
                <w:tab w:val="left" w:pos="210"/>
              </w:tabs>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益阳市粮食质量检测站</w:t>
            </w:r>
          </w:p>
        </w:tc>
      </w:tr>
      <w:tr>
        <w:tblPrEx>
          <w:tblCellMar>
            <w:top w:w="0" w:type="dxa"/>
            <w:left w:w="10" w:type="dxa"/>
            <w:bottom w:w="0" w:type="dxa"/>
            <w:right w:w="10" w:type="dxa"/>
          </w:tblCellMar>
        </w:tblPrEx>
        <w:trPr>
          <w:trHeight w:val="23" w:hRule="atLeast"/>
        </w:trPr>
        <w:tc>
          <w:tcPr>
            <w:tcW w:w="20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10</w:t>
            </w:r>
          </w:p>
        </w:tc>
        <w:tc>
          <w:tcPr>
            <w:tcW w:w="60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0"/>
                <w:tab w:val="left" w:pos="210"/>
              </w:tabs>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bidi="ar"/>
              </w:rPr>
            </w:pPr>
            <w:r>
              <w:rPr>
                <w:rFonts w:hint="eastAsia" w:ascii="楷体_GB2312" w:hAnsi="楷体_GB2312" w:eastAsia="楷体_GB2312" w:cs="楷体_GB2312"/>
                <w:sz w:val="32"/>
                <w:szCs w:val="32"/>
                <w:lang w:val="en-US" w:eastAsia="zh-CN" w:bidi="ar"/>
              </w:rPr>
              <w:t>益阳市军粮供应站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rPr>
      </w:pPr>
      <w:r>
        <w:rPr>
          <w:rFonts w:hint="eastAsia" w:ascii="宋体" w:hAnsi="宋体" w:eastAsia="宋体" w:cs="宋体"/>
          <w:sz w:val="44"/>
        </w:rPr>
        <w:t>益阳市发展和改革委员会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201</w:t>
      </w:r>
      <w:r>
        <w:rPr>
          <w:rFonts w:hint="eastAsia" w:ascii="宋体" w:hAnsi="宋体" w:eastAsia="宋体" w:cs="宋体"/>
          <w:sz w:val="44"/>
          <w:lang w:val="en-US" w:eastAsia="zh-CN"/>
        </w:rPr>
        <w:t>9</w:t>
      </w:r>
      <w:r>
        <w:rPr>
          <w:rFonts w:ascii="宋体" w:hAnsi="宋体" w:eastAsia="宋体" w:cs="宋体"/>
          <w:sz w:val="44"/>
        </w:rPr>
        <w:t>年度部门决算</w:t>
      </w:r>
      <w:r>
        <w:rPr>
          <w:rFonts w:hint="eastAsia" w:ascii="宋体" w:hAnsi="宋体" w:eastAsia="宋体" w:cs="宋体"/>
          <w:sz w:val="44"/>
          <w:lang w:eastAsia="zh-CN"/>
        </w:rPr>
        <w:t>公开</w:t>
      </w:r>
      <w:r>
        <w:rPr>
          <w:rFonts w:ascii="宋体" w:hAnsi="宋体" w:eastAsia="宋体" w:cs="宋体"/>
          <w:sz w:val="44"/>
        </w:rPr>
        <w:t>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表1：收入支出决算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表2：收入决算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表3：支出决算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表4：财政拨款收入支出决算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表5：一般公共预算财政拨款支出决算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表6：一般公共预算财政拨款基本支出决算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sz w:val="32"/>
        </w:rPr>
      </w:pPr>
      <w:r>
        <w:rPr>
          <w:rFonts w:ascii="仿宋" w:hAnsi="仿宋" w:eastAsia="仿宋" w:cs="仿宋"/>
          <w:sz w:val="32"/>
        </w:rPr>
        <w:t>表7：一般公共预算财政拨款“三公”经费支出决算</w:t>
      </w:r>
      <w:r>
        <w:rPr>
          <w:rFonts w:hint="eastAsia" w:ascii="仿宋" w:hAnsi="仿宋" w:eastAsia="仿宋" w:cs="仿宋"/>
          <w:sz w:val="32"/>
          <w:lang w:eastAsia="zh-CN"/>
        </w:rPr>
        <w:t>公开</w:t>
      </w:r>
      <w:r>
        <w:rPr>
          <w:rFonts w:ascii="仿宋" w:hAnsi="仿宋" w:eastAsia="仿宋" w:cs="仿宋"/>
          <w:sz w:val="32"/>
        </w:rPr>
        <w:t>表</w:t>
      </w:r>
    </w:p>
    <w:p>
      <w:pPr>
        <w:keepNext w:val="0"/>
        <w:keepLines w:val="0"/>
        <w:pageBreakBefore w:val="0"/>
        <w:widowControl w:val="0"/>
        <w:kinsoku/>
        <w:wordWrap/>
        <w:overflowPunct/>
        <w:topLinePunct w:val="0"/>
        <w:autoSpaceDE/>
        <w:autoSpaceDN/>
        <w:bidi w:val="0"/>
        <w:adjustRightInd/>
        <w:snapToGrid/>
        <w:spacing w:line="640" w:lineRule="exact"/>
        <w:ind w:left="800" w:hanging="800" w:hangingChars="250"/>
        <w:jc w:val="left"/>
        <w:textAlignment w:val="auto"/>
        <w:rPr>
          <w:rFonts w:hint="eastAsia" w:ascii="仿宋" w:hAnsi="仿宋" w:eastAsia="仿宋" w:cs="仿宋"/>
          <w:sz w:val="32"/>
          <w:lang w:val="en-US" w:eastAsia="zh-CN"/>
        </w:rPr>
      </w:pPr>
      <w:r>
        <w:rPr>
          <w:rFonts w:ascii="仿宋" w:hAnsi="仿宋" w:eastAsia="仿宋" w:cs="仿宋"/>
          <w:sz w:val="32"/>
        </w:rPr>
        <w:t>表8：政府性基金预算财政拨款收入支出决算</w:t>
      </w:r>
      <w:r>
        <w:rPr>
          <w:rFonts w:hint="eastAsia" w:ascii="仿宋" w:hAnsi="仿宋" w:eastAsia="仿宋" w:cs="仿宋"/>
          <w:sz w:val="32"/>
          <w:lang w:eastAsia="zh-CN"/>
        </w:rPr>
        <w:t>公开</w:t>
      </w:r>
      <w:r>
        <w:rPr>
          <w:rFonts w:ascii="仿宋" w:hAnsi="仿宋" w:eastAsia="仿宋" w:cs="仿宋"/>
          <w:sz w:val="32"/>
        </w:rPr>
        <w:t>表</w:t>
      </w:r>
      <w:r>
        <w:rPr>
          <w:rFonts w:hint="eastAsia" w:ascii="仿宋" w:hAnsi="仿宋" w:eastAsia="仿宋" w:cs="仿宋"/>
          <w:sz w:val="32"/>
          <w:lang w:val="en-US" w:eastAsia="zh-CN"/>
        </w:rPr>
        <w:t>(</w:t>
      </w:r>
      <w:r>
        <w:rPr>
          <w:rFonts w:hint="eastAsia" w:ascii="仿宋" w:hAnsi="仿宋" w:eastAsia="仿宋" w:cs="仿宋"/>
          <w:sz w:val="32"/>
          <w:szCs w:val="32"/>
        </w:rPr>
        <w:t>益阳市</w:t>
      </w:r>
      <w:r>
        <w:rPr>
          <w:rFonts w:hint="eastAsia" w:ascii="仿宋" w:hAnsi="仿宋" w:eastAsia="仿宋" w:cs="仿宋"/>
          <w:sz w:val="32"/>
          <w:szCs w:val="32"/>
          <w:lang w:eastAsia="zh-CN"/>
        </w:rPr>
        <w:t>发</w:t>
      </w:r>
      <w:r>
        <w:rPr>
          <w:rFonts w:hint="eastAsia" w:ascii="仿宋" w:hAnsi="仿宋" w:eastAsia="仿宋" w:cs="仿宋"/>
          <w:sz w:val="32"/>
          <w:szCs w:val="32"/>
        </w:rPr>
        <w:t>展和改革委员会</w:t>
      </w:r>
      <w:r>
        <w:rPr>
          <w:rFonts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年度没有政府性基金收入，也没有政府性基金安排的支出，故本表无数据。</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仿宋"/>
          <w:b/>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第三部分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sz w:val="44"/>
        </w:rPr>
      </w:pPr>
      <w:r>
        <w:rPr>
          <w:rFonts w:hint="eastAsia" w:ascii="宋体" w:hAnsi="宋体" w:eastAsia="宋体" w:cs="宋体"/>
          <w:sz w:val="44"/>
        </w:rPr>
        <w:t>益阳市发展和改革委员会</w:t>
      </w:r>
      <w:r>
        <w:rPr>
          <w:rFonts w:ascii="宋体" w:hAnsi="宋体" w:eastAsia="宋体" w:cs="宋体"/>
          <w:sz w:val="44"/>
        </w:rPr>
        <w:t>201</w:t>
      </w:r>
      <w:r>
        <w:rPr>
          <w:rFonts w:hint="eastAsia" w:ascii="宋体" w:hAnsi="宋体" w:eastAsia="宋体" w:cs="宋体"/>
          <w:sz w:val="44"/>
          <w:lang w:val="en-US" w:eastAsia="zh-CN"/>
        </w:rPr>
        <w:t>9</w:t>
      </w:r>
      <w:r>
        <w:rPr>
          <w:rFonts w:ascii="宋体" w:hAnsi="宋体" w:eastAsia="宋体" w:cs="宋体"/>
          <w:sz w:val="44"/>
        </w:rPr>
        <w:t>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益阳市发展和改革委员会</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年度收入总计</w:t>
      </w:r>
      <w:r>
        <w:rPr>
          <w:rFonts w:hint="eastAsia" w:ascii="楷体_GB2312" w:hAnsi="楷体_GB2312" w:eastAsia="楷体_GB2312" w:cs="楷体_GB2312"/>
          <w:sz w:val="32"/>
          <w:lang w:val="en-US" w:eastAsia="zh-CN"/>
        </w:rPr>
        <w:t>5666.46</w:t>
      </w:r>
      <w:r>
        <w:rPr>
          <w:rFonts w:hint="eastAsia" w:ascii="楷体_GB2312" w:hAnsi="楷体_GB2312" w:eastAsia="楷体_GB2312" w:cs="楷体_GB2312"/>
          <w:sz w:val="32"/>
        </w:rPr>
        <w:t>万元，比上年同期</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1507.48</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36.25</w:t>
      </w:r>
      <w:r>
        <w:rPr>
          <w:rFonts w:hint="eastAsia" w:ascii="楷体_GB2312" w:hAnsi="楷体_GB2312" w:eastAsia="楷体_GB2312" w:cs="楷体_GB2312"/>
          <w:sz w:val="32"/>
        </w:rPr>
        <w:t>%；支出总计</w:t>
      </w:r>
      <w:r>
        <w:rPr>
          <w:rFonts w:hint="eastAsia" w:ascii="楷体_GB2312" w:hAnsi="楷体_GB2312" w:eastAsia="楷体_GB2312" w:cs="楷体_GB2312"/>
          <w:sz w:val="32"/>
          <w:szCs w:val="32"/>
          <w:lang w:val="en-US" w:eastAsia="zh-CN"/>
        </w:rPr>
        <w:t>5666.46</w:t>
      </w:r>
      <w:r>
        <w:rPr>
          <w:rFonts w:hint="eastAsia" w:ascii="楷体_GB2312" w:hAnsi="楷体_GB2312" w:eastAsia="楷体_GB2312" w:cs="楷体_GB2312"/>
          <w:sz w:val="32"/>
        </w:rPr>
        <w:t>万元，比上年同期</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1507.48</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36.25</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收支增加的</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是政府机构改革，粮食局和两型办并入市发改委导致人员和机构运行经费、项目支出经费均增加</w:t>
      </w:r>
      <w:r>
        <w:rPr>
          <w:rFonts w:hint="eastAsia" w:ascii="楷体_GB2312" w:hAnsi="楷体_GB2312" w:eastAsia="楷体_GB2312" w:cs="楷体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w:t>
      </w:r>
      <w:r>
        <w:rPr>
          <w:rFonts w:hint="eastAsia" w:ascii="黑体" w:hAnsi="黑体" w:eastAsia="黑体" w:cs="黑体"/>
          <w:sz w:val="32"/>
          <w:lang w:eastAsia="zh-CN"/>
        </w:rPr>
        <w:t>决算</w:t>
      </w:r>
      <w:r>
        <w:rPr>
          <w:rFonts w:ascii="黑体" w:hAnsi="黑体" w:eastAsia="黑体" w:cs="黑体"/>
          <w:sz w:val="32"/>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年度收入合计</w:t>
      </w:r>
      <w:r>
        <w:rPr>
          <w:rFonts w:hint="eastAsia" w:ascii="楷体_GB2312" w:hAnsi="楷体_GB2312" w:eastAsia="楷体_GB2312" w:cs="楷体_GB2312"/>
          <w:sz w:val="32"/>
          <w:lang w:val="en-US" w:eastAsia="zh-CN"/>
        </w:rPr>
        <w:t>4383.58</w:t>
      </w:r>
      <w:r>
        <w:rPr>
          <w:rFonts w:hint="eastAsia" w:ascii="楷体_GB2312" w:hAnsi="楷体_GB2312" w:eastAsia="楷体_GB2312" w:cs="楷体_GB2312"/>
          <w:sz w:val="32"/>
        </w:rPr>
        <w:t>万元，其中：财政拨款收入</w:t>
      </w:r>
      <w:r>
        <w:rPr>
          <w:rFonts w:hint="eastAsia" w:ascii="楷体_GB2312" w:hAnsi="楷体_GB2312" w:eastAsia="楷体_GB2312" w:cs="楷体_GB2312"/>
          <w:sz w:val="32"/>
          <w:lang w:val="en-US" w:eastAsia="zh-CN"/>
        </w:rPr>
        <w:t>4353.58</w:t>
      </w:r>
      <w:r>
        <w:rPr>
          <w:rFonts w:hint="eastAsia" w:ascii="楷体_GB2312" w:hAnsi="楷体_GB2312" w:eastAsia="楷体_GB2312" w:cs="楷体_GB2312"/>
          <w:sz w:val="32"/>
        </w:rPr>
        <w:t xml:space="preserve">万元，占 </w:t>
      </w:r>
      <w:r>
        <w:rPr>
          <w:rFonts w:hint="eastAsia" w:ascii="楷体_GB2312" w:hAnsi="楷体_GB2312" w:eastAsia="楷体_GB2312" w:cs="楷体_GB2312"/>
          <w:sz w:val="32"/>
          <w:lang w:val="en-US" w:eastAsia="zh-CN"/>
        </w:rPr>
        <w:t>99.3</w:t>
      </w:r>
      <w:r>
        <w:rPr>
          <w:rFonts w:hint="eastAsia" w:ascii="楷体_GB2312" w:hAnsi="楷体_GB2312" w:eastAsia="楷体_GB2312" w:cs="楷体_GB2312"/>
          <w:sz w:val="32"/>
        </w:rPr>
        <w:t>%；其他收入</w:t>
      </w:r>
      <w:r>
        <w:rPr>
          <w:rFonts w:hint="eastAsia" w:ascii="楷体_GB2312" w:hAnsi="楷体_GB2312" w:eastAsia="楷体_GB2312" w:cs="楷体_GB2312"/>
          <w:sz w:val="32"/>
          <w:lang w:val="en-US" w:eastAsia="zh-CN"/>
        </w:rPr>
        <w:t>30</w:t>
      </w:r>
      <w:r>
        <w:rPr>
          <w:rFonts w:hint="eastAsia" w:ascii="楷体_GB2312" w:hAnsi="楷体_GB2312" w:eastAsia="楷体_GB2312" w:cs="楷体_GB2312"/>
          <w:sz w:val="32"/>
        </w:rPr>
        <w:t xml:space="preserve"> 万元，占</w:t>
      </w:r>
      <w:r>
        <w:rPr>
          <w:rFonts w:hint="eastAsia" w:ascii="楷体_GB2312" w:hAnsi="楷体_GB2312" w:eastAsia="楷体_GB2312" w:cs="楷体_GB2312"/>
          <w:sz w:val="32"/>
          <w:lang w:val="en-US" w:eastAsia="zh-CN"/>
        </w:rPr>
        <w:t>0.7</w:t>
      </w: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年度支出合计</w:t>
      </w:r>
      <w:r>
        <w:rPr>
          <w:rFonts w:hint="eastAsia" w:ascii="楷体_GB2312" w:hAnsi="楷体_GB2312" w:eastAsia="楷体_GB2312" w:cs="楷体_GB2312"/>
          <w:sz w:val="32"/>
          <w:lang w:val="en-US" w:eastAsia="zh-CN"/>
        </w:rPr>
        <w:t>4740.32</w:t>
      </w:r>
      <w:r>
        <w:rPr>
          <w:rFonts w:hint="eastAsia" w:ascii="楷体_GB2312" w:hAnsi="楷体_GB2312" w:eastAsia="楷体_GB2312" w:cs="楷体_GB2312"/>
          <w:sz w:val="32"/>
        </w:rPr>
        <w:t>万元，</w:t>
      </w:r>
      <w:r>
        <w:rPr>
          <w:rFonts w:hint="eastAsia" w:ascii="楷体_GB2312" w:hAnsi="楷体_GB2312" w:eastAsia="楷体_GB2312" w:cs="楷体_GB2312"/>
          <w:color w:val="000000" w:themeColor="text1"/>
          <w:sz w:val="32"/>
          <w14:textFill>
            <w14:solidFill>
              <w14:schemeClr w14:val="tx1"/>
            </w14:solidFill>
          </w14:textFill>
        </w:rPr>
        <w:t>其中：</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其中一般公共服务支出3392.38万元，</w:t>
      </w:r>
      <w:r>
        <w:rPr>
          <w:rFonts w:hint="eastAsia" w:ascii="楷体_GB2312" w:hAnsi="楷体_GB2312" w:eastAsia="楷体_GB2312" w:cs="楷体_GB2312"/>
          <w:sz w:val="32"/>
          <w:szCs w:val="32"/>
          <w:lang w:val="en-US" w:eastAsia="zh-CN"/>
        </w:rPr>
        <w:t>占总支出71.57%；教育支出41.69万元，占总支出0.88%；科学技术支出55万元，占总支出1.16%；社会保障和就业支出140.48万元，占总支出2.96%；卫生健康支出10.06万元，占总支出0.21%；</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节能环保支出132.43万元</w:t>
      </w:r>
      <w:r>
        <w:rPr>
          <w:rFonts w:hint="eastAsia" w:ascii="楷体_GB2312" w:hAnsi="楷体_GB2312" w:eastAsia="楷体_GB2312" w:cs="楷体_GB2312"/>
          <w:sz w:val="32"/>
          <w:szCs w:val="32"/>
          <w:lang w:val="en-US" w:eastAsia="zh-CN"/>
        </w:rPr>
        <w:t>，占总支出2.79%；商业服务业等支出82.86万元，占总支出1.74%；自然资源海洋气象等支出0.9万元，占总支出0.02%；住房保障支出151.22万元，占总支出3.19%；</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粮油物资储备支出732.3万元</w:t>
      </w:r>
      <w:r>
        <w:rPr>
          <w:rFonts w:hint="eastAsia" w:ascii="楷体_GB2312" w:hAnsi="楷体_GB2312" w:eastAsia="楷体_GB2312" w:cs="楷体_GB2312"/>
          <w:sz w:val="32"/>
          <w:szCs w:val="32"/>
          <w:lang w:val="en-US" w:eastAsia="zh-CN"/>
        </w:rPr>
        <w:t>，占总支出15.46%；灾害防治及应急管理支出1万元，占总支出0.02%。</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lang w:val="en-US" w:eastAsia="zh-CN"/>
        </w:rPr>
      </w:pPr>
      <w:r>
        <w:rPr>
          <w:rFonts w:hint="eastAsia" w:ascii="楷体_GB2312" w:hAnsi="楷体_GB2312" w:eastAsia="楷体_GB2312" w:cs="楷体_GB2312"/>
          <w:sz w:val="32"/>
        </w:rPr>
        <w:t xml:space="preserve"> 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年度财政拨款收入总计</w:t>
      </w:r>
      <w:r>
        <w:rPr>
          <w:rFonts w:hint="eastAsia" w:ascii="楷体_GB2312" w:hAnsi="楷体_GB2312" w:eastAsia="楷体_GB2312" w:cs="楷体_GB2312"/>
          <w:sz w:val="32"/>
          <w:lang w:val="en-US" w:eastAsia="zh-CN"/>
        </w:rPr>
        <w:t>5636.46</w:t>
      </w:r>
      <w:r>
        <w:rPr>
          <w:rFonts w:hint="eastAsia" w:ascii="楷体_GB2312" w:hAnsi="楷体_GB2312" w:eastAsia="楷体_GB2312" w:cs="楷体_GB2312"/>
          <w:sz w:val="32"/>
        </w:rPr>
        <w:t>万元，比上年同期</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1207.14</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29.23</w:t>
      </w:r>
      <w:r>
        <w:rPr>
          <w:rFonts w:hint="eastAsia" w:ascii="楷体_GB2312" w:hAnsi="楷体_GB2312" w:eastAsia="楷体_GB2312" w:cs="楷体_GB2312"/>
          <w:sz w:val="32"/>
        </w:rPr>
        <w:t>%；财政拨款支出总计</w:t>
      </w:r>
      <w:r>
        <w:rPr>
          <w:rFonts w:hint="eastAsia" w:ascii="楷体_GB2312" w:hAnsi="楷体_GB2312" w:eastAsia="楷体_GB2312" w:cs="楷体_GB2312"/>
          <w:sz w:val="32"/>
          <w:lang w:val="en-US" w:eastAsia="zh-CN"/>
        </w:rPr>
        <w:t>5636.46</w:t>
      </w:r>
      <w:r>
        <w:rPr>
          <w:rFonts w:hint="eastAsia" w:ascii="楷体_GB2312" w:hAnsi="楷体_GB2312" w:eastAsia="楷体_GB2312" w:cs="楷体_GB2312"/>
          <w:sz w:val="32"/>
        </w:rPr>
        <w:t>万元，比上年同期</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1207.14</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增加</w:t>
      </w:r>
      <w:r>
        <w:rPr>
          <w:rFonts w:hint="eastAsia" w:ascii="楷体_GB2312" w:hAnsi="楷体_GB2312" w:eastAsia="楷体_GB2312" w:cs="楷体_GB2312"/>
          <w:sz w:val="32"/>
          <w:lang w:val="en-US" w:eastAsia="zh-CN"/>
        </w:rPr>
        <w:t>29.23</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一是人员增加相应增加相关费用，年末实有人数比上年共增加</w:t>
      </w:r>
      <w:r>
        <w:rPr>
          <w:rFonts w:hint="eastAsia" w:ascii="楷体_GB2312" w:hAnsi="楷体_GB2312" w:eastAsia="楷体_GB2312" w:cs="楷体_GB2312"/>
          <w:sz w:val="32"/>
          <w:lang w:val="en-US" w:eastAsia="zh-CN"/>
        </w:rPr>
        <w:t>114人</w:t>
      </w:r>
      <w:r>
        <w:rPr>
          <w:rFonts w:hint="eastAsia" w:ascii="楷体_GB2312" w:hAnsi="楷体_GB2312" w:eastAsia="楷体_GB2312" w:cs="楷体_GB2312"/>
          <w:sz w:val="32"/>
          <w:lang w:eastAsia="zh-CN"/>
        </w:rPr>
        <w:t>；二是</w:t>
      </w:r>
      <w:r>
        <w:rPr>
          <w:rFonts w:hint="eastAsia" w:ascii="楷体_GB2312" w:hAnsi="楷体_GB2312" w:eastAsia="楷体_GB2312" w:cs="楷体_GB2312"/>
          <w:sz w:val="32"/>
          <w:lang w:val="en-US" w:eastAsia="zh-CN"/>
        </w:rPr>
        <w:t>增加项目粮油物资储备支出。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lang w:eastAsia="zh-CN"/>
        </w:rPr>
        <w:t>年度一般公共预算财政拨款收入总计</w:t>
      </w:r>
      <w:r>
        <w:rPr>
          <w:rFonts w:hint="eastAsia" w:ascii="楷体_GB2312" w:hAnsi="楷体_GB2312" w:eastAsia="楷体_GB2312" w:cs="楷体_GB2312"/>
          <w:sz w:val="32"/>
          <w:lang w:val="en-US" w:eastAsia="zh-CN"/>
        </w:rPr>
        <w:t>5636.46</w:t>
      </w:r>
      <w:r>
        <w:rPr>
          <w:rFonts w:hint="eastAsia" w:ascii="楷体_GB2312" w:hAnsi="楷体_GB2312" w:eastAsia="楷体_GB2312" w:cs="楷体_GB2312"/>
          <w:sz w:val="32"/>
          <w:lang w:eastAsia="zh-CN"/>
        </w:rPr>
        <w:t>万元，比上年同期增加</w:t>
      </w:r>
      <w:r>
        <w:rPr>
          <w:rFonts w:hint="eastAsia" w:ascii="楷体_GB2312" w:hAnsi="楷体_GB2312" w:eastAsia="楷体_GB2312" w:cs="楷体_GB2312"/>
          <w:sz w:val="32"/>
          <w:lang w:val="en-US" w:eastAsia="zh-CN"/>
        </w:rPr>
        <w:t>1207.14</w:t>
      </w:r>
      <w:r>
        <w:rPr>
          <w:rFonts w:hint="eastAsia" w:ascii="楷体_GB2312" w:hAnsi="楷体_GB2312" w:eastAsia="楷体_GB2312" w:cs="楷体_GB2312"/>
          <w:sz w:val="32"/>
          <w:lang w:eastAsia="zh-CN"/>
        </w:rPr>
        <w:t>万元，增加</w:t>
      </w:r>
      <w:r>
        <w:rPr>
          <w:rFonts w:hint="eastAsia" w:ascii="楷体_GB2312" w:hAnsi="楷体_GB2312" w:eastAsia="楷体_GB2312" w:cs="楷体_GB2312"/>
          <w:sz w:val="32"/>
          <w:lang w:val="en-US" w:eastAsia="zh-CN"/>
        </w:rPr>
        <w:t>29.23</w:t>
      </w:r>
      <w:r>
        <w:rPr>
          <w:rFonts w:hint="eastAsia" w:ascii="楷体_GB2312" w:hAnsi="楷体_GB2312" w:eastAsia="楷体_GB2312" w:cs="楷体_GB2312"/>
          <w:sz w:val="32"/>
          <w:lang w:eastAsia="zh-CN"/>
        </w:rPr>
        <w:t>%；一般公共预算财政拨款支出总计</w:t>
      </w:r>
      <w:r>
        <w:rPr>
          <w:rFonts w:hint="eastAsia" w:ascii="楷体_GB2312" w:hAnsi="楷体_GB2312" w:eastAsia="楷体_GB2312" w:cs="楷体_GB2312"/>
          <w:sz w:val="32"/>
          <w:lang w:val="en-US" w:eastAsia="zh-CN"/>
        </w:rPr>
        <w:t>5636.46</w:t>
      </w:r>
      <w:r>
        <w:rPr>
          <w:rFonts w:hint="eastAsia" w:ascii="楷体_GB2312" w:hAnsi="楷体_GB2312" w:eastAsia="楷体_GB2312" w:cs="楷体_GB2312"/>
          <w:sz w:val="32"/>
          <w:lang w:eastAsia="zh-CN"/>
        </w:rPr>
        <w:t>万元，比上年同期增加</w:t>
      </w:r>
      <w:r>
        <w:rPr>
          <w:rFonts w:hint="eastAsia" w:ascii="楷体_GB2312" w:hAnsi="楷体_GB2312" w:eastAsia="楷体_GB2312" w:cs="楷体_GB2312"/>
          <w:sz w:val="32"/>
          <w:lang w:val="en-US" w:eastAsia="zh-CN"/>
        </w:rPr>
        <w:t>1207.14</w:t>
      </w:r>
      <w:r>
        <w:rPr>
          <w:rFonts w:hint="eastAsia" w:ascii="楷体_GB2312" w:hAnsi="楷体_GB2312" w:eastAsia="楷体_GB2312" w:cs="楷体_GB2312"/>
          <w:sz w:val="32"/>
          <w:lang w:eastAsia="zh-CN"/>
        </w:rPr>
        <w:t>万元，增加</w:t>
      </w:r>
      <w:r>
        <w:rPr>
          <w:rFonts w:hint="eastAsia" w:ascii="楷体_GB2312" w:hAnsi="楷体_GB2312" w:eastAsia="楷体_GB2312" w:cs="楷体_GB2312"/>
          <w:sz w:val="32"/>
          <w:lang w:val="en-US" w:eastAsia="zh-CN"/>
        </w:rPr>
        <w:t>29.23</w:t>
      </w:r>
      <w:r>
        <w:rPr>
          <w:rFonts w:hint="eastAsia" w:ascii="楷体_GB2312" w:hAnsi="楷体_GB2312" w:eastAsia="楷体_GB2312" w:cs="楷体_GB2312"/>
          <w:sz w:val="32"/>
          <w:lang w:eastAsia="zh-CN"/>
        </w:rPr>
        <w:t>%。主要原因：一是人员增加相应增加费用；二是</w:t>
      </w:r>
      <w:r>
        <w:rPr>
          <w:rFonts w:hint="eastAsia" w:ascii="楷体_GB2312" w:hAnsi="楷体_GB2312" w:eastAsia="楷体_GB2312" w:cs="楷体_GB2312"/>
          <w:sz w:val="32"/>
          <w:lang w:val="en-US" w:eastAsia="zh-CN"/>
        </w:rPr>
        <w:t>增加项目粮油物资储备支出。</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（二）一般公共预算财政拨款支出决算构成情况。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一般公共服务支出</w:t>
      </w:r>
      <w:r>
        <w:rPr>
          <w:rFonts w:hint="eastAsia" w:ascii="楷体_GB2312" w:hAnsi="楷体_GB2312" w:eastAsia="楷体_GB2312" w:cs="楷体_GB2312"/>
          <w:sz w:val="32"/>
          <w:lang w:val="en-US" w:eastAsia="zh-CN"/>
        </w:rPr>
        <w:t>3362.38</w:t>
      </w:r>
      <w:r>
        <w:rPr>
          <w:rFonts w:hint="eastAsia" w:ascii="楷体_GB2312" w:hAnsi="楷体_GB2312" w:eastAsia="楷体_GB2312" w:cs="楷体_GB2312"/>
          <w:sz w:val="32"/>
          <w:lang w:eastAsia="zh-CN"/>
        </w:rPr>
        <w:t>万元，占</w:t>
      </w:r>
      <w:r>
        <w:rPr>
          <w:rFonts w:hint="eastAsia" w:ascii="楷体_GB2312" w:hAnsi="楷体_GB2312" w:eastAsia="楷体_GB2312" w:cs="楷体_GB2312"/>
          <w:sz w:val="32"/>
          <w:lang w:val="en-US" w:eastAsia="zh-CN"/>
        </w:rPr>
        <w:t>59.65</w:t>
      </w:r>
      <w:r>
        <w:rPr>
          <w:rFonts w:hint="eastAsia" w:ascii="楷体_GB2312" w:hAnsi="楷体_GB2312" w:eastAsia="楷体_GB2312" w:cs="楷体_GB2312"/>
          <w:sz w:val="32"/>
          <w:lang w:eastAsia="zh-CN"/>
        </w:rPr>
        <w:t>%；教育支出</w:t>
      </w:r>
      <w:r>
        <w:rPr>
          <w:rFonts w:hint="eastAsia" w:ascii="楷体_GB2312" w:hAnsi="楷体_GB2312" w:eastAsia="楷体_GB2312" w:cs="楷体_GB2312"/>
          <w:sz w:val="32"/>
          <w:lang w:val="en-US" w:eastAsia="zh-CN"/>
        </w:rPr>
        <w:t>41.69万元，占0.74%；</w:t>
      </w:r>
      <w:r>
        <w:rPr>
          <w:rFonts w:hint="eastAsia" w:ascii="楷体_GB2312" w:hAnsi="楷体_GB2312" w:eastAsia="楷体_GB2312" w:cs="楷体_GB2312"/>
          <w:sz w:val="32"/>
          <w:lang w:eastAsia="zh-CN"/>
        </w:rPr>
        <w:t>科学技术支出</w:t>
      </w:r>
      <w:r>
        <w:rPr>
          <w:rFonts w:hint="eastAsia" w:ascii="楷体_GB2312" w:hAnsi="楷体_GB2312" w:eastAsia="楷体_GB2312" w:cs="楷体_GB2312"/>
          <w:sz w:val="32"/>
          <w:lang w:val="en-US" w:eastAsia="zh-CN"/>
        </w:rPr>
        <w:t>55</w:t>
      </w:r>
      <w:r>
        <w:rPr>
          <w:rFonts w:hint="eastAsia" w:ascii="楷体_GB2312" w:hAnsi="楷体_GB2312" w:eastAsia="楷体_GB2312" w:cs="楷体_GB2312"/>
          <w:sz w:val="32"/>
          <w:lang w:eastAsia="zh-CN"/>
        </w:rPr>
        <w:t>万元，占0.</w:t>
      </w:r>
      <w:r>
        <w:rPr>
          <w:rFonts w:hint="eastAsia" w:ascii="楷体_GB2312" w:hAnsi="楷体_GB2312" w:eastAsia="楷体_GB2312" w:cs="楷体_GB2312"/>
          <w:sz w:val="32"/>
          <w:lang w:val="en-US" w:eastAsia="zh-CN"/>
        </w:rPr>
        <w:t>97</w:t>
      </w:r>
      <w:r>
        <w:rPr>
          <w:rFonts w:hint="eastAsia" w:ascii="楷体_GB2312" w:hAnsi="楷体_GB2312" w:eastAsia="楷体_GB2312" w:cs="楷体_GB2312"/>
          <w:sz w:val="32"/>
          <w:lang w:eastAsia="zh-CN"/>
        </w:rPr>
        <w:t>%；社会保障和就业支出</w:t>
      </w:r>
      <w:r>
        <w:rPr>
          <w:rFonts w:hint="eastAsia" w:ascii="楷体_GB2312" w:hAnsi="楷体_GB2312" w:eastAsia="楷体_GB2312" w:cs="楷体_GB2312"/>
          <w:sz w:val="32"/>
          <w:lang w:val="en-US" w:eastAsia="zh-CN"/>
        </w:rPr>
        <w:t>140.48</w:t>
      </w:r>
      <w:r>
        <w:rPr>
          <w:rFonts w:hint="eastAsia" w:ascii="楷体_GB2312" w:hAnsi="楷体_GB2312" w:eastAsia="楷体_GB2312" w:cs="楷体_GB2312"/>
          <w:sz w:val="32"/>
          <w:lang w:eastAsia="zh-CN"/>
        </w:rPr>
        <w:t>万元，占</w:t>
      </w:r>
      <w:r>
        <w:rPr>
          <w:rFonts w:hint="eastAsia" w:ascii="楷体_GB2312" w:hAnsi="楷体_GB2312" w:eastAsia="楷体_GB2312" w:cs="楷体_GB2312"/>
          <w:sz w:val="32"/>
          <w:lang w:val="en-US" w:eastAsia="zh-CN"/>
        </w:rPr>
        <w:t>2.49</w:t>
      </w:r>
      <w:r>
        <w:rPr>
          <w:rFonts w:hint="eastAsia" w:ascii="楷体_GB2312" w:hAnsi="楷体_GB2312" w:eastAsia="楷体_GB2312" w:cs="楷体_GB2312"/>
          <w:sz w:val="32"/>
          <w:lang w:eastAsia="zh-CN"/>
        </w:rPr>
        <w:t>%；卫生健康支出</w:t>
      </w:r>
      <w:r>
        <w:rPr>
          <w:rFonts w:hint="eastAsia" w:ascii="楷体_GB2312" w:hAnsi="楷体_GB2312" w:eastAsia="楷体_GB2312" w:cs="楷体_GB2312"/>
          <w:sz w:val="32"/>
          <w:lang w:val="en-US" w:eastAsia="zh-CN"/>
        </w:rPr>
        <w:t>10.06万元，</w:t>
      </w:r>
      <w:r>
        <w:rPr>
          <w:rFonts w:hint="eastAsia" w:ascii="楷体_GB2312" w:hAnsi="楷体_GB2312" w:eastAsia="楷体_GB2312" w:cs="楷体_GB2312"/>
          <w:sz w:val="32"/>
          <w:lang w:eastAsia="zh-CN"/>
        </w:rPr>
        <w:t>占</w:t>
      </w:r>
      <w:r>
        <w:rPr>
          <w:rFonts w:hint="eastAsia" w:ascii="楷体_GB2312" w:hAnsi="楷体_GB2312" w:eastAsia="楷体_GB2312" w:cs="楷体_GB2312"/>
          <w:sz w:val="32"/>
          <w:lang w:val="en-US" w:eastAsia="zh-CN"/>
        </w:rPr>
        <w:t>0.18</w:t>
      </w:r>
      <w:r>
        <w:rPr>
          <w:rFonts w:hint="eastAsia" w:ascii="楷体_GB2312" w:hAnsi="楷体_GB2312" w:eastAsia="楷体_GB2312" w:cs="楷体_GB2312"/>
          <w:sz w:val="32"/>
          <w:lang w:eastAsia="zh-CN"/>
        </w:rPr>
        <w:t>%；节能环保支出</w:t>
      </w:r>
      <w:r>
        <w:rPr>
          <w:rFonts w:hint="eastAsia" w:ascii="楷体_GB2312" w:hAnsi="楷体_GB2312" w:eastAsia="楷体_GB2312" w:cs="楷体_GB2312"/>
          <w:sz w:val="32"/>
          <w:lang w:val="en-US" w:eastAsia="zh-CN"/>
        </w:rPr>
        <w:t>132.43</w:t>
      </w:r>
      <w:r>
        <w:rPr>
          <w:rFonts w:hint="eastAsia" w:ascii="楷体_GB2312" w:hAnsi="楷体_GB2312" w:eastAsia="楷体_GB2312" w:cs="楷体_GB2312"/>
          <w:sz w:val="32"/>
          <w:lang w:eastAsia="zh-CN"/>
        </w:rPr>
        <w:t>万元，占</w:t>
      </w:r>
      <w:r>
        <w:rPr>
          <w:rFonts w:hint="eastAsia" w:ascii="楷体_GB2312" w:hAnsi="楷体_GB2312" w:eastAsia="楷体_GB2312" w:cs="楷体_GB2312"/>
          <w:sz w:val="32"/>
          <w:lang w:val="en-US" w:eastAsia="zh-CN"/>
        </w:rPr>
        <w:t>2.35</w:t>
      </w:r>
      <w:r>
        <w:rPr>
          <w:rFonts w:hint="eastAsia" w:ascii="楷体_GB2312" w:hAnsi="楷体_GB2312" w:eastAsia="楷体_GB2312" w:cs="楷体_GB2312"/>
          <w:sz w:val="32"/>
          <w:lang w:eastAsia="zh-CN"/>
        </w:rPr>
        <w:t>%；商业服务业等支出</w:t>
      </w:r>
      <w:r>
        <w:rPr>
          <w:rFonts w:hint="eastAsia" w:ascii="楷体_GB2312" w:hAnsi="楷体_GB2312" w:eastAsia="楷体_GB2312" w:cs="楷体_GB2312"/>
          <w:sz w:val="32"/>
          <w:lang w:val="en-US" w:eastAsia="zh-CN"/>
        </w:rPr>
        <w:t>82.86</w:t>
      </w:r>
      <w:r>
        <w:rPr>
          <w:rFonts w:hint="eastAsia" w:ascii="楷体_GB2312" w:hAnsi="楷体_GB2312" w:eastAsia="楷体_GB2312" w:cs="楷体_GB2312"/>
          <w:sz w:val="32"/>
          <w:lang w:eastAsia="zh-CN"/>
        </w:rPr>
        <w:t>万元，占</w:t>
      </w:r>
      <w:r>
        <w:rPr>
          <w:rFonts w:hint="eastAsia" w:ascii="楷体_GB2312" w:hAnsi="楷体_GB2312" w:eastAsia="楷体_GB2312" w:cs="楷体_GB2312"/>
          <w:sz w:val="32"/>
          <w:lang w:val="en-US" w:eastAsia="zh-CN"/>
        </w:rPr>
        <w:t>1.47</w:t>
      </w:r>
      <w:r>
        <w:rPr>
          <w:rFonts w:hint="eastAsia" w:ascii="楷体_GB2312" w:hAnsi="楷体_GB2312" w:eastAsia="楷体_GB2312" w:cs="楷体_GB2312"/>
          <w:sz w:val="32"/>
          <w:lang w:eastAsia="zh-CN"/>
        </w:rPr>
        <w:t>%；自然资源海洋气象等支出</w:t>
      </w:r>
      <w:r>
        <w:rPr>
          <w:rFonts w:hint="eastAsia" w:ascii="楷体_GB2312" w:hAnsi="楷体_GB2312" w:eastAsia="楷体_GB2312" w:cs="楷体_GB2312"/>
          <w:sz w:val="32"/>
          <w:lang w:val="en-US" w:eastAsia="zh-CN"/>
        </w:rPr>
        <w:t>0.90</w:t>
      </w:r>
      <w:r>
        <w:rPr>
          <w:rFonts w:hint="eastAsia" w:ascii="楷体_GB2312" w:hAnsi="楷体_GB2312" w:eastAsia="楷体_GB2312" w:cs="楷体_GB2312"/>
          <w:sz w:val="32"/>
          <w:lang w:eastAsia="zh-CN"/>
        </w:rPr>
        <w:t>万元，占0.0</w:t>
      </w:r>
      <w:r>
        <w:rPr>
          <w:rFonts w:hint="eastAsia" w:ascii="楷体_GB2312" w:hAnsi="楷体_GB2312" w:eastAsia="楷体_GB2312" w:cs="楷体_GB2312"/>
          <w:sz w:val="32"/>
          <w:lang w:val="en-US" w:eastAsia="zh-CN"/>
        </w:rPr>
        <w:t>2</w:t>
      </w:r>
      <w:r>
        <w:rPr>
          <w:rFonts w:hint="eastAsia" w:ascii="楷体_GB2312" w:hAnsi="楷体_GB2312" w:eastAsia="楷体_GB2312" w:cs="楷体_GB2312"/>
          <w:sz w:val="32"/>
          <w:lang w:eastAsia="zh-CN"/>
        </w:rPr>
        <w:t>%；住房保障支出</w:t>
      </w:r>
      <w:r>
        <w:rPr>
          <w:rFonts w:hint="eastAsia" w:ascii="楷体_GB2312" w:hAnsi="楷体_GB2312" w:eastAsia="楷体_GB2312" w:cs="楷体_GB2312"/>
          <w:sz w:val="32"/>
          <w:lang w:val="en-US" w:eastAsia="zh-CN"/>
        </w:rPr>
        <w:t>151.22</w:t>
      </w:r>
      <w:r>
        <w:rPr>
          <w:rFonts w:hint="eastAsia" w:ascii="楷体_GB2312" w:hAnsi="楷体_GB2312" w:eastAsia="楷体_GB2312" w:cs="楷体_GB2312"/>
          <w:sz w:val="32"/>
          <w:lang w:eastAsia="zh-CN"/>
        </w:rPr>
        <w:t>万，占</w:t>
      </w:r>
      <w:r>
        <w:rPr>
          <w:rFonts w:hint="eastAsia" w:ascii="楷体_GB2312" w:hAnsi="楷体_GB2312" w:eastAsia="楷体_GB2312" w:cs="楷体_GB2312"/>
          <w:sz w:val="32"/>
          <w:lang w:val="en-US" w:eastAsia="zh-CN"/>
        </w:rPr>
        <w:t>2.68</w:t>
      </w:r>
      <w:r>
        <w:rPr>
          <w:rFonts w:hint="eastAsia" w:ascii="楷体_GB2312" w:hAnsi="楷体_GB2312" w:eastAsia="楷体_GB2312" w:cs="楷体_GB2312"/>
          <w:sz w:val="32"/>
          <w:lang w:eastAsia="zh-CN"/>
        </w:rPr>
        <w:t>%；粮油物资储备支出</w:t>
      </w:r>
      <w:r>
        <w:rPr>
          <w:rFonts w:hint="eastAsia" w:ascii="楷体_GB2312" w:hAnsi="楷体_GB2312" w:eastAsia="楷体_GB2312" w:cs="楷体_GB2312"/>
          <w:sz w:val="32"/>
          <w:lang w:val="en-US" w:eastAsia="zh-CN"/>
        </w:rPr>
        <w:t>732.30万元，占12.99%；灾害防治及应急管理支出1万元，占0.02%；</w:t>
      </w:r>
      <w:r>
        <w:rPr>
          <w:rFonts w:hint="eastAsia" w:ascii="楷体_GB2312" w:hAnsi="楷体_GB2312" w:eastAsia="楷体_GB2312" w:cs="楷体_GB2312"/>
          <w:sz w:val="32"/>
          <w:lang w:eastAsia="zh-CN"/>
        </w:rPr>
        <w:t>年末结转和结余</w:t>
      </w:r>
      <w:r>
        <w:rPr>
          <w:rFonts w:hint="eastAsia" w:ascii="楷体_GB2312" w:hAnsi="楷体_GB2312" w:eastAsia="楷体_GB2312" w:cs="楷体_GB2312"/>
          <w:sz w:val="32"/>
          <w:lang w:val="en-US" w:eastAsia="zh-CN"/>
        </w:rPr>
        <w:t>926.14万元，占16.43%</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jc w:val="both"/>
        <w:textAlignment w:val="auto"/>
        <w:rPr>
          <w:rFonts w:ascii="楷体" w:hAnsi="楷体" w:eastAsia="楷体" w:cs="楷体"/>
          <w:sz w:val="32"/>
        </w:rPr>
      </w:pPr>
      <w:r>
        <w:rPr>
          <w:rFonts w:ascii="楷体" w:hAnsi="楷体" w:eastAsia="楷体" w:cs="楷体"/>
          <w:sz w:val="32"/>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 xml:space="preserve">1.一般公共服务支出财政拨款支出 </w:t>
      </w:r>
      <w:r>
        <w:rPr>
          <w:rFonts w:hint="eastAsia" w:ascii="楷体_GB2312" w:hAnsi="楷体_GB2312" w:eastAsia="楷体_GB2312" w:cs="楷体_GB2312"/>
          <w:sz w:val="32"/>
          <w:lang w:val="en-US" w:eastAsia="zh-CN"/>
        </w:rPr>
        <w:t>3362.38</w:t>
      </w:r>
      <w:r>
        <w:rPr>
          <w:rFonts w:hint="eastAsia" w:ascii="楷体_GB2312" w:hAnsi="楷体_GB2312" w:eastAsia="楷体_GB2312" w:cs="楷体_GB2312"/>
          <w:sz w:val="32"/>
          <w:lang w:eastAsia="zh-CN"/>
        </w:rPr>
        <w:t>万元，主要用于委里的行政运行、物价管理、一般行政管理事务、其他发展和改革事务支出、纪检监察事务、招商引资、其他组织事务支出、市场监督管理专项、其他一般公共服务支出。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2.教育支出财政拨款支出</w:t>
      </w:r>
      <w:r>
        <w:rPr>
          <w:rFonts w:hint="eastAsia" w:ascii="楷体_GB2312" w:hAnsi="楷体_GB2312" w:eastAsia="楷体_GB2312" w:cs="楷体_GB2312"/>
          <w:sz w:val="32"/>
          <w:lang w:val="en-US" w:eastAsia="zh-CN"/>
        </w:rPr>
        <w:t>41.69万元，主要用于委机关人员教育支出。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3.</w:t>
      </w:r>
      <w:r>
        <w:rPr>
          <w:rFonts w:hint="eastAsia" w:ascii="楷体_GB2312" w:hAnsi="楷体_GB2312" w:eastAsia="楷体_GB2312" w:cs="楷体_GB2312"/>
          <w:sz w:val="32"/>
          <w:lang w:eastAsia="zh-CN"/>
        </w:rPr>
        <w:t xml:space="preserve">科学技术支出财政拨款支出 </w:t>
      </w:r>
      <w:r>
        <w:rPr>
          <w:rFonts w:hint="eastAsia" w:ascii="楷体_GB2312" w:hAnsi="楷体_GB2312" w:eastAsia="楷体_GB2312" w:cs="楷体_GB2312"/>
          <w:sz w:val="32"/>
          <w:lang w:val="en-US" w:eastAsia="zh-CN"/>
        </w:rPr>
        <w:t>55</w:t>
      </w:r>
      <w:r>
        <w:rPr>
          <w:rFonts w:hint="eastAsia" w:ascii="楷体_GB2312" w:hAnsi="楷体_GB2312" w:eastAsia="楷体_GB2312" w:cs="楷体_GB2312"/>
          <w:sz w:val="32"/>
          <w:lang w:eastAsia="zh-CN"/>
        </w:rPr>
        <w:t>万元，主要用于科学技术专项经费支出。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lang w:eastAsia="zh-CN"/>
        </w:rPr>
        <w:t>. 社会保障和就业财政拨款支出</w:t>
      </w:r>
      <w:r>
        <w:rPr>
          <w:rFonts w:hint="eastAsia" w:ascii="楷体_GB2312" w:hAnsi="楷体_GB2312" w:eastAsia="楷体_GB2312" w:cs="楷体_GB2312"/>
          <w:sz w:val="32"/>
          <w:lang w:val="en-US" w:eastAsia="zh-CN"/>
        </w:rPr>
        <w:t>140.48</w:t>
      </w:r>
      <w:r>
        <w:rPr>
          <w:rFonts w:hint="eastAsia" w:ascii="楷体_GB2312" w:hAnsi="楷体_GB2312" w:eastAsia="楷体_GB2312" w:cs="楷体_GB2312"/>
          <w:sz w:val="32"/>
          <w:lang w:eastAsia="zh-CN"/>
        </w:rPr>
        <w:t>万元，主要用于委机关人员社会保障开支。</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lang w:eastAsia="zh-CN"/>
        </w:rPr>
        <w:t>.卫生健康支出财政拨款支出</w:t>
      </w:r>
      <w:r>
        <w:rPr>
          <w:rFonts w:hint="eastAsia" w:ascii="楷体_GB2312" w:hAnsi="楷体_GB2312" w:eastAsia="楷体_GB2312" w:cs="楷体_GB2312"/>
          <w:sz w:val="32"/>
          <w:lang w:val="en-US" w:eastAsia="zh-CN"/>
        </w:rPr>
        <w:t>10.06</w:t>
      </w:r>
      <w:r>
        <w:rPr>
          <w:rFonts w:hint="eastAsia" w:ascii="楷体_GB2312" w:hAnsi="楷体_GB2312" w:eastAsia="楷体_GB2312" w:cs="楷体_GB2312"/>
          <w:sz w:val="32"/>
          <w:lang w:eastAsia="zh-CN"/>
        </w:rPr>
        <w:t>万元，主要用于委机关人员医疗保障开支。</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6.</w:t>
      </w:r>
      <w:r>
        <w:rPr>
          <w:rFonts w:hint="eastAsia" w:ascii="楷体_GB2312" w:hAnsi="楷体_GB2312" w:eastAsia="楷体_GB2312" w:cs="楷体_GB2312"/>
          <w:sz w:val="32"/>
          <w:lang w:eastAsia="zh-CN"/>
        </w:rPr>
        <w:t>节能环保支出</w:t>
      </w:r>
      <w:r>
        <w:rPr>
          <w:rFonts w:hint="eastAsia" w:ascii="楷体_GB2312" w:hAnsi="楷体_GB2312" w:eastAsia="楷体_GB2312" w:cs="楷体_GB2312"/>
          <w:sz w:val="32"/>
          <w:lang w:val="en-US" w:eastAsia="zh-CN"/>
        </w:rPr>
        <w:t>132.43</w:t>
      </w:r>
      <w:r>
        <w:rPr>
          <w:rFonts w:hint="eastAsia" w:ascii="楷体_GB2312" w:hAnsi="楷体_GB2312" w:eastAsia="楷体_GB2312" w:cs="楷体_GB2312"/>
          <w:sz w:val="32"/>
          <w:lang w:eastAsia="zh-CN"/>
        </w:rPr>
        <w:t>万元，主要用于节能环保专项工作支出。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7.</w:t>
      </w:r>
      <w:r>
        <w:rPr>
          <w:rFonts w:hint="eastAsia" w:ascii="楷体_GB2312" w:hAnsi="楷体_GB2312" w:eastAsia="楷体_GB2312" w:cs="楷体_GB2312"/>
          <w:sz w:val="32"/>
          <w:lang w:eastAsia="zh-CN"/>
        </w:rPr>
        <w:t>商业服务业等支出</w:t>
      </w:r>
      <w:r>
        <w:rPr>
          <w:rFonts w:hint="eastAsia" w:ascii="楷体_GB2312" w:hAnsi="楷体_GB2312" w:eastAsia="楷体_GB2312" w:cs="楷体_GB2312"/>
          <w:sz w:val="32"/>
          <w:lang w:val="en-US" w:eastAsia="zh-CN"/>
        </w:rPr>
        <w:t>82.86</w:t>
      </w:r>
      <w:r>
        <w:rPr>
          <w:rFonts w:hint="eastAsia" w:ascii="楷体_GB2312" w:hAnsi="楷体_GB2312" w:eastAsia="楷体_GB2312" w:cs="楷体_GB2312"/>
          <w:sz w:val="32"/>
          <w:lang w:eastAsia="zh-CN"/>
        </w:rPr>
        <w:t>万元，主要用于委机关商业流事务和其他涉外发展服务支出。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8.自然资源海洋气象等支出0.9万元，主要用于委机关自然资源事务支出。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lang w:eastAsia="zh-CN"/>
        </w:rPr>
        <w:t>住房保障财政拨款支出</w:t>
      </w:r>
      <w:r>
        <w:rPr>
          <w:rFonts w:hint="eastAsia" w:ascii="楷体_GB2312" w:hAnsi="楷体_GB2312" w:eastAsia="楷体_GB2312" w:cs="楷体_GB2312"/>
          <w:sz w:val="32"/>
          <w:lang w:val="en-US" w:eastAsia="zh-CN"/>
        </w:rPr>
        <w:t>151.22万元，主要</w:t>
      </w:r>
      <w:r>
        <w:rPr>
          <w:rFonts w:hint="eastAsia" w:ascii="楷体_GB2312" w:hAnsi="楷体_GB2312" w:eastAsia="楷体_GB2312" w:cs="楷体_GB2312"/>
          <w:sz w:val="32"/>
          <w:lang w:eastAsia="zh-CN"/>
        </w:rPr>
        <w:t>用于委机关人员住房公积金支出。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10.粮油物资储备财政拨款支出732.3万元，主要用于粮油事务和其他粮油事务专项支出。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11.灾害防治及应急管理财政拨款支出1万元，主要用于委机关安全监管支出。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12.</w:t>
      </w:r>
      <w:r>
        <w:rPr>
          <w:rFonts w:hint="eastAsia" w:ascii="楷体_GB2312" w:hAnsi="楷体_GB2312" w:eastAsia="楷体_GB2312" w:cs="楷体_GB2312"/>
          <w:sz w:val="32"/>
          <w:lang w:eastAsia="zh-CN"/>
        </w:rPr>
        <w:t>年末结转和结余</w:t>
      </w:r>
      <w:r>
        <w:rPr>
          <w:rFonts w:hint="eastAsia" w:ascii="楷体_GB2312" w:hAnsi="楷体_GB2312" w:eastAsia="楷体_GB2312" w:cs="楷体_GB2312"/>
          <w:sz w:val="32"/>
          <w:lang w:val="en-US" w:eastAsia="zh-CN"/>
        </w:rPr>
        <w:t>926.14万元，主要是</w:t>
      </w:r>
      <w:r>
        <w:rPr>
          <w:rFonts w:hint="eastAsia" w:ascii="楷体_GB2312" w:hAnsi="楷体_GB2312" w:eastAsia="楷体_GB2312" w:cs="楷体_GB2312"/>
          <w:color w:val="auto"/>
          <w:sz w:val="32"/>
          <w:szCs w:val="32"/>
          <w:lang w:eastAsia="zh-CN"/>
        </w:rPr>
        <w:t>因机构改革</w:t>
      </w:r>
      <w:r>
        <w:rPr>
          <w:rFonts w:hint="eastAsia" w:ascii="楷体_GB2312" w:hAnsi="楷体_GB2312" w:eastAsia="楷体_GB2312" w:cs="楷体_GB2312"/>
          <w:color w:val="auto"/>
          <w:sz w:val="32"/>
          <w:szCs w:val="32"/>
          <w:lang w:val="en-US" w:eastAsia="zh-CN"/>
        </w:rPr>
        <w:t>冻</w:t>
      </w:r>
      <w:r>
        <w:rPr>
          <w:rFonts w:hint="eastAsia" w:ascii="楷体_GB2312" w:hAnsi="楷体_GB2312" w:eastAsia="楷体_GB2312" w:cs="楷体_GB2312"/>
          <w:sz w:val="32"/>
          <w:szCs w:val="32"/>
          <w:lang w:val="en-US" w:eastAsia="zh-CN"/>
        </w:rPr>
        <w:t>结的</w:t>
      </w:r>
      <w:r>
        <w:rPr>
          <w:rFonts w:hint="eastAsia" w:ascii="楷体_GB2312" w:hAnsi="楷体_GB2312" w:eastAsia="楷体_GB2312" w:cs="楷体_GB2312"/>
          <w:color w:val="auto"/>
          <w:sz w:val="32"/>
          <w:szCs w:val="32"/>
          <w:lang w:val="en-US" w:eastAsia="zh-CN"/>
        </w:rPr>
        <w:t>242.8万元非税收入</w:t>
      </w:r>
      <w:r>
        <w:rPr>
          <w:rFonts w:hint="eastAsia" w:ascii="楷体_GB2312" w:hAnsi="楷体_GB2312" w:eastAsia="楷体_GB2312" w:cs="楷体_GB2312"/>
          <w:sz w:val="32"/>
          <w:szCs w:val="32"/>
          <w:lang w:val="en-US" w:eastAsia="zh-CN"/>
        </w:rPr>
        <w:t>，其余683.34万元</w:t>
      </w:r>
      <w:r>
        <w:rPr>
          <w:rFonts w:hint="eastAsia" w:ascii="楷体_GB2312" w:hAnsi="楷体_GB2312" w:eastAsia="楷体_GB2312" w:cs="楷体_GB2312"/>
          <w:sz w:val="32"/>
          <w:szCs w:val="32"/>
        </w:rPr>
        <w:t>全部为项目资金的结余</w:t>
      </w:r>
      <w:r>
        <w:rPr>
          <w:rFonts w:hint="eastAsia" w:ascii="楷体_GB2312" w:hAnsi="楷体_GB2312" w:eastAsia="楷体_GB2312" w:cs="楷体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lang w:eastAsia="zh-CN"/>
        </w:rPr>
        <w:t>年度一般公共预算财政拨款基本支出</w:t>
      </w:r>
      <w:r>
        <w:rPr>
          <w:rFonts w:hint="eastAsia" w:ascii="楷体_GB2312" w:hAnsi="楷体_GB2312" w:eastAsia="楷体_GB2312" w:cs="楷体_GB2312"/>
          <w:sz w:val="32"/>
          <w:lang w:val="en-US" w:eastAsia="zh-CN"/>
        </w:rPr>
        <w:t>3594.08</w:t>
      </w:r>
      <w:r>
        <w:rPr>
          <w:rFonts w:hint="eastAsia" w:ascii="楷体_GB2312" w:hAnsi="楷体_GB2312" w:eastAsia="楷体_GB2312" w:cs="楷体_GB2312"/>
          <w:sz w:val="32"/>
          <w:lang w:eastAsia="zh-CN"/>
        </w:rPr>
        <w:t>万元，其中人员经费支出</w:t>
      </w:r>
      <w:r>
        <w:rPr>
          <w:rFonts w:hint="eastAsia" w:ascii="楷体_GB2312" w:hAnsi="楷体_GB2312" w:eastAsia="楷体_GB2312" w:cs="楷体_GB2312"/>
          <w:sz w:val="32"/>
          <w:lang w:val="en-US" w:eastAsia="zh-CN"/>
        </w:rPr>
        <w:t>2875.78</w:t>
      </w:r>
      <w:r>
        <w:rPr>
          <w:rFonts w:hint="eastAsia" w:ascii="楷体_GB2312" w:hAnsi="楷体_GB2312" w:eastAsia="楷体_GB2312" w:cs="楷体_GB2312"/>
          <w:sz w:val="32"/>
          <w:lang w:eastAsia="zh-CN"/>
        </w:rPr>
        <w:t>万元，主要包括：基本工资、津贴补贴、奖金、伙食补助费、绩效工资、机关事业单位基本养老保险、职工基本医疗保险、公务员医疗补助、其他社会保障缴费、住房公积金，医疗费、其他工资福利支出和对个人和家庭的补助支出；公用经费支出</w:t>
      </w:r>
      <w:r>
        <w:rPr>
          <w:rFonts w:hint="eastAsia" w:ascii="楷体_GB2312" w:hAnsi="楷体_GB2312" w:eastAsia="楷体_GB2312" w:cs="楷体_GB2312"/>
          <w:sz w:val="32"/>
          <w:lang w:val="en-US" w:eastAsia="zh-CN"/>
        </w:rPr>
        <w:t>718.30</w:t>
      </w:r>
      <w:r>
        <w:rPr>
          <w:rFonts w:hint="eastAsia" w:ascii="楷体_GB2312" w:hAnsi="楷体_GB2312" w:eastAsia="楷体_GB2312" w:cs="楷体_GB2312"/>
          <w:sz w:val="32"/>
          <w:lang w:eastAsia="zh-CN"/>
        </w:rPr>
        <w:t>万元。主要包括：办公费、印刷费、咨询费、水电费、邮电费、物业管理费、差旅费等商品和服务支出。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益阳市发展和改革委员会201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年度没有政府性基金收入，也没有政府性基金安排的支出，故无数据。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益阳市发展和改革委员会</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年度“三公”经费财政拨款支出预算为</w:t>
      </w:r>
      <w:r>
        <w:rPr>
          <w:rFonts w:hint="eastAsia" w:ascii="楷体_GB2312" w:hAnsi="楷体_GB2312" w:eastAsia="楷体_GB2312" w:cs="楷体_GB2312"/>
          <w:sz w:val="32"/>
          <w:lang w:val="en-US" w:eastAsia="zh-CN"/>
        </w:rPr>
        <w:t>177.67</w:t>
      </w:r>
      <w:r>
        <w:rPr>
          <w:rFonts w:hint="eastAsia" w:ascii="楷体_GB2312" w:hAnsi="楷体_GB2312" w:eastAsia="楷体_GB2312" w:cs="楷体_GB2312"/>
          <w:sz w:val="32"/>
        </w:rPr>
        <w:t>万元，支出决算为</w:t>
      </w:r>
      <w:r>
        <w:rPr>
          <w:rFonts w:hint="eastAsia" w:ascii="楷体_GB2312" w:hAnsi="楷体_GB2312" w:eastAsia="楷体_GB2312" w:cs="楷体_GB2312"/>
          <w:sz w:val="32"/>
          <w:lang w:val="en-US" w:eastAsia="zh-CN"/>
        </w:rPr>
        <w:t>106.96</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60.20</w:t>
      </w:r>
      <w:r>
        <w:rPr>
          <w:rFonts w:hint="eastAsia" w:ascii="楷体_GB2312" w:hAnsi="楷体_GB2312" w:eastAsia="楷体_GB2312" w:cs="楷体_GB2312"/>
          <w:sz w:val="32"/>
        </w:rPr>
        <w:t xml:space="preserve">%，其中：因公出国（境）费支出决算为 </w:t>
      </w:r>
      <w:r>
        <w:rPr>
          <w:rFonts w:hint="eastAsia" w:ascii="楷体_GB2312" w:hAnsi="楷体_GB2312" w:eastAsia="楷体_GB2312" w:cs="楷体_GB2312"/>
          <w:sz w:val="32"/>
          <w:lang w:val="en-US" w:eastAsia="zh-CN"/>
        </w:rPr>
        <w:t>6.5</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36.11</w:t>
      </w:r>
      <w:r>
        <w:rPr>
          <w:rFonts w:hint="eastAsia" w:ascii="楷体_GB2312" w:hAnsi="楷体_GB2312" w:eastAsia="楷体_GB2312" w:cs="楷体_GB2312"/>
          <w:sz w:val="32"/>
        </w:rPr>
        <w:t>%；公务用车购置及运行费支出决算为</w:t>
      </w:r>
      <w:r>
        <w:rPr>
          <w:rFonts w:hint="eastAsia" w:ascii="楷体_GB2312" w:hAnsi="楷体_GB2312" w:eastAsia="楷体_GB2312" w:cs="楷体_GB2312"/>
          <w:sz w:val="32"/>
          <w:lang w:val="en-US" w:eastAsia="zh-CN"/>
        </w:rPr>
        <w:t>49.89</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95.94</w:t>
      </w:r>
      <w:r>
        <w:rPr>
          <w:rFonts w:hint="eastAsia" w:ascii="楷体_GB2312" w:hAnsi="楷体_GB2312" w:eastAsia="楷体_GB2312" w:cs="楷体_GB2312"/>
          <w:sz w:val="32"/>
        </w:rPr>
        <w:t>%；公务接待费支出决算为</w:t>
      </w:r>
      <w:r>
        <w:rPr>
          <w:rFonts w:hint="eastAsia" w:ascii="楷体_GB2312" w:hAnsi="楷体_GB2312" w:eastAsia="楷体_GB2312" w:cs="楷体_GB2312"/>
          <w:sz w:val="32"/>
          <w:lang w:val="en-US" w:eastAsia="zh-CN"/>
        </w:rPr>
        <w:t>50.57</w:t>
      </w:r>
      <w:r>
        <w:rPr>
          <w:rFonts w:hint="eastAsia" w:ascii="楷体_GB2312" w:hAnsi="楷体_GB2312" w:eastAsia="楷体_GB2312" w:cs="楷体_GB2312"/>
          <w:sz w:val="32"/>
        </w:rPr>
        <w:t>万元，完成预算的</w:t>
      </w:r>
      <w:r>
        <w:rPr>
          <w:rFonts w:hint="eastAsia" w:ascii="楷体_GB2312" w:hAnsi="楷体_GB2312" w:eastAsia="楷体_GB2312" w:cs="楷体_GB2312"/>
          <w:sz w:val="32"/>
          <w:lang w:val="en-US" w:eastAsia="zh-CN"/>
        </w:rPr>
        <w:t>46.97</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 xml:space="preserve"> 年度“三公”经费支出决算数小于预算数的主要原因：</w:t>
      </w:r>
      <w:r>
        <w:rPr>
          <w:rFonts w:hint="eastAsia" w:ascii="楷体_GB2312" w:hAnsi="楷体_GB2312" w:eastAsia="楷体_GB2312" w:cs="楷体_GB2312"/>
          <w:sz w:val="32"/>
          <w:lang w:eastAsia="zh-CN"/>
        </w:rPr>
        <w:t>一是规范公务车辆使用，降低车辆运行费。二是严格按规定程序审批接待费，从严控制接待费用。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 w:hAnsi="仿宋" w:eastAsia="楷体_GB2312" w:cs="仿宋"/>
          <w:sz w:val="32"/>
          <w:lang w:val="en-US" w:eastAsia="zh-CN"/>
        </w:rPr>
      </w:pPr>
      <w:r>
        <w:rPr>
          <w:rFonts w:ascii="楷体" w:hAnsi="楷体" w:eastAsia="楷体" w:cs="楷体"/>
          <w:sz w:val="32"/>
        </w:rPr>
        <w:t xml:space="preserve"> </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年度“三公”经费财政拨款支出决算为</w:t>
      </w:r>
      <w:r>
        <w:rPr>
          <w:rFonts w:hint="eastAsia" w:ascii="楷体_GB2312" w:hAnsi="楷体_GB2312" w:eastAsia="楷体_GB2312" w:cs="楷体_GB2312"/>
          <w:sz w:val="32"/>
          <w:lang w:val="en-US" w:eastAsia="zh-CN"/>
        </w:rPr>
        <w:t>106.96</w:t>
      </w:r>
      <w:r>
        <w:rPr>
          <w:rFonts w:hint="eastAsia" w:ascii="楷体_GB2312" w:hAnsi="楷体_GB2312" w:eastAsia="楷体_GB2312" w:cs="楷体_GB2312"/>
          <w:sz w:val="32"/>
        </w:rPr>
        <w:t>万元，其中：因公出国（境）费支出决算为</w:t>
      </w:r>
      <w:r>
        <w:rPr>
          <w:rFonts w:hint="eastAsia" w:ascii="楷体_GB2312" w:hAnsi="楷体_GB2312" w:eastAsia="楷体_GB2312" w:cs="楷体_GB2312"/>
          <w:sz w:val="32"/>
          <w:lang w:val="en-US" w:eastAsia="zh-CN"/>
        </w:rPr>
        <w:t>6.5</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6.08</w:t>
      </w:r>
      <w:r>
        <w:rPr>
          <w:rFonts w:hint="eastAsia" w:ascii="楷体_GB2312" w:hAnsi="楷体_GB2312" w:eastAsia="楷体_GB2312" w:cs="楷体_GB2312"/>
          <w:sz w:val="32"/>
        </w:rPr>
        <w:t>%；公务用车购置及运行费支出决算为</w:t>
      </w:r>
      <w:r>
        <w:rPr>
          <w:rFonts w:hint="eastAsia" w:ascii="楷体_GB2312" w:hAnsi="楷体_GB2312" w:eastAsia="楷体_GB2312" w:cs="楷体_GB2312"/>
          <w:sz w:val="32"/>
          <w:lang w:val="en-US" w:eastAsia="zh-CN"/>
        </w:rPr>
        <w:t>49.89</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46.64</w:t>
      </w:r>
      <w:r>
        <w:rPr>
          <w:rFonts w:hint="eastAsia" w:ascii="楷体_GB2312" w:hAnsi="楷体_GB2312" w:eastAsia="楷体_GB2312" w:cs="楷体_GB2312"/>
          <w:sz w:val="32"/>
        </w:rPr>
        <w:t>%；公务接待费支出决算为</w:t>
      </w:r>
      <w:r>
        <w:rPr>
          <w:rFonts w:hint="eastAsia" w:ascii="楷体_GB2312" w:hAnsi="楷体_GB2312" w:eastAsia="楷体_GB2312" w:cs="楷体_GB2312"/>
          <w:sz w:val="32"/>
          <w:lang w:val="en-US" w:eastAsia="zh-CN"/>
        </w:rPr>
        <w:t>50.57</w:t>
      </w:r>
      <w:r>
        <w:rPr>
          <w:rFonts w:hint="eastAsia" w:ascii="楷体_GB2312" w:hAnsi="楷体_GB2312" w:eastAsia="楷体_GB2312" w:cs="楷体_GB2312"/>
          <w:sz w:val="32"/>
        </w:rPr>
        <w:t>万元，占</w:t>
      </w:r>
      <w:r>
        <w:rPr>
          <w:rFonts w:hint="eastAsia" w:ascii="楷体_GB2312" w:hAnsi="楷体_GB2312" w:eastAsia="楷体_GB2312" w:cs="楷体_GB2312"/>
          <w:sz w:val="32"/>
          <w:lang w:val="en-US" w:eastAsia="zh-CN"/>
        </w:rPr>
        <w:t>47.28</w:t>
      </w:r>
      <w:r>
        <w:rPr>
          <w:rFonts w:hint="eastAsia" w:ascii="楷体_GB2312" w:hAnsi="楷体_GB2312" w:eastAsia="楷体_GB2312" w:cs="楷体_GB2312"/>
          <w:sz w:val="32"/>
        </w:rPr>
        <w:t>%。201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 xml:space="preserve"> 年度“三公”经费支出决算数</w:t>
      </w:r>
      <w:r>
        <w:rPr>
          <w:rFonts w:hint="eastAsia" w:ascii="楷体_GB2312" w:hAnsi="楷体_GB2312" w:eastAsia="楷体_GB2312" w:cs="楷体_GB2312"/>
          <w:sz w:val="32"/>
          <w:lang w:val="en-US" w:eastAsia="zh-CN"/>
        </w:rPr>
        <w:t>大于上年决算数</w:t>
      </w:r>
      <w:r>
        <w:rPr>
          <w:rFonts w:hint="eastAsia" w:ascii="楷体_GB2312" w:hAnsi="楷体_GB2312" w:eastAsia="楷体_GB2312" w:cs="楷体_GB2312"/>
          <w:sz w:val="32"/>
        </w:rPr>
        <w:t>的主要原因：根据益发[201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3</w:t>
      </w:r>
      <w:r>
        <w:rPr>
          <w:rFonts w:hint="eastAsia" w:ascii="楷体_GB2312" w:hAnsi="楷体_GB2312" w:eastAsia="楷体_GB2312" w:cs="楷体_GB2312"/>
          <w:sz w:val="32"/>
        </w:rPr>
        <w:t>号</w:t>
      </w:r>
      <w:r>
        <w:rPr>
          <w:rFonts w:hint="eastAsia" w:ascii="楷体_GB2312" w:hAnsi="楷体_GB2312" w:eastAsia="楷体_GB2312" w:cs="楷体_GB2312"/>
          <w:sz w:val="32"/>
          <w:lang w:eastAsia="zh-CN"/>
        </w:rPr>
        <w:t>文件《中共益阳市委</w:t>
      </w:r>
      <w:r>
        <w:rPr>
          <w:rFonts w:hint="eastAsia" w:ascii="楷体_GB2312" w:hAnsi="楷体_GB2312" w:eastAsia="楷体_GB2312" w:cs="楷体_GB2312"/>
          <w:sz w:val="32"/>
          <w:lang w:val="en-US" w:eastAsia="zh-CN"/>
        </w:rPr>
        <w:t xml:space="preserve"> 益阳市人民政府关于印发〈益阳市机构改革方案〉的通知</w:t>
      </w:r>
      <w:r>
        <w:rPr>
          <w:rFonts w:hint="eastAsia" w:ascii="楷体_GB2312" w:hAnsi="楷体_GB2312" w:eastAsia="楷体_GB2312" w:cs="楷体_GB2312"/>
          <w:sz w:val="32"/>
          <w:lang w:eastAsia="zh-CN"/>
        </w:rPr>
        <w:t>》、益发</w:t>
      </w:r>
      <w:r>
        <w:rPr>
          <w:rFonts w:hint="eastAsia" w:ascii="楷体_GB2312" w:hAnsi="楷体_GB2312" w:eastAsia="楷体_GB2312" w:cs="楷体_GB2312"/>
          <w:sz w:val="32"/>
          <w:lang w:val="en-US" w:eastAsia="zh-CN"/>
        </w:rPr>
        <w:t>[2019]5号文件《</w:t>
      </w:r>
      <w:r>
        <w:rPr>
          <w:rFonts w:hint="eastAsia" w:ascii="楷体_GB2312" w:hAnsi="楷体_GB2312" w:eastAsia="楷体_GB2312" w:cs="楷体_GB2312"/>
          <w:sz w:val="32"/>
          <w:lang w:eastAsia="zh-CN"/>
        </w:rPr>
        <w:t>中共益阳市委</w:t>
      </w:r>
      <w:r>
        <w:rPr>
          <w:rFonts w:hint="eastAsia" w:ascii="楷体_GB2312" w:hAnsi="楷体_GB2312" w:eastAsia="楷体_GB2312" w:cs="楷体_GB2312"/>
          <w:sz w:val="32"/>
          <w:lang w:val="en-US" w:eastAsia="zh-CN"/>
        </w:rPr>
        <w:t xml:space="preserve"> 益阳市人民政府关于印发〈益阳市处级事业单位改革方案〉的通知</w:t>
      </w:r>
      <w:r>
        <w:rPr>
          <w:rFonts w:hint="eastAsia" w:ascii="楷体_GB2312" w:hAnsi="楷体_GB2312" w:eastAsia="楷体_GB2312" w:cs="楷体_GB2312"/>
          <w:sz w:val="32"/>
          <w:lang w:eastAsia="zh-CN"/>
        </w:rPr>
        <w:t>》精神，原市粮食局、两型办机关职能整合，机构并入市发改委，</w:t>
      </w:r>
      <w:r>
        <w:rPr>
          <w:rFonts w:hint="eastAsia" w:ascii="楷体_GB2312" w:hAnsi="楷体_GB2312" w:eastAsia="楷体_GB2312" w:cs="楷体_GB2312"/>
          <w:sz w:val="32"/>
          <w:lang w:val="en-US" w:eastAsia="zh-CN"/>
        </w:rPr>
        <w:t>导致三公经费支出比上年度决算数要大。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1、因公出国（境）情况说明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lang w:val="en-US" w:eastAsia="zh-CN"/>
        </w:rPr>
        <w:t>2019年2月，</w:t>
      </w:r>
      <w:r>
        <w:rPr>
          <w:rFonts w:hint="eastAsia" w:ascii="楷体_GB2312" w:hAnsi="楷体_GB2312" w:eastAsia="楷体_GB2312" w:cs="楷体_GB2312"/>
          <w:sz w:val="32"/>
          <w:szCs w:val="32"/>
          <w:lang w:val="en-US" w:eastAsia="zh-CN"/>
        </w:rPr>
        <w:t>省粮食和物资储备局通知组团赴阿根廷、智利、秘鲁开展经贸对接活动，经政府批件安排</w:t>
      </w:r>
      <w:r>
        <w:rPr>
          <w:rFonts w:hint="eastAsia" w:ascii="楷体_GB2312" w:hAnsi="楷体_GB2312" w:eastAsia="楷体_GB2312" w:cs="楷体_GB2312"/>
          <w:sz w:val="32"/>
          <w:szCs w:val="32"/>
        </w:rPr>
        <w:t>因公出国（境）</w:t>
      </w:r>
      <w:r>
        <w:rPr>
          <w:rFonts w:hint="eastAsia" w:ascii="楷体_GB2312" w:hAnsi="楷体_GB2312" w:eastAsia="楷体_GB2312" w:cs="楷体_GB2312"/>
          <w:sz w:val="32"/>
          <w:szCs w:val="32"/>
          <w:lang w:eastAsia="zh-CN"/>
        </w:rPr>
        <w:t>人员</w:t>
      </w:r>
      <w:r>
        <w:rPr>
          <w:rFonts w:hint="eastAsia" w:ascii="楷体_GB2312" w:hAnsi="楷体_GB2312" w:eastAsia="楷体_GB2312" w:cs="楷体_GB2312"/>
          <w:sz w:val="32"/>
          <w:szCs w:val="32"/>
          <w:lang w:val="en-US" w:eastAsia="zh-CN"/>
        </w:rPr>
        <w:t>１名，开支费用6.5万元。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2、公务用车购置及运行经费情况说明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公务用车保有量</w:t>
      </w:r>
      <w:r>
        <w:rPr>
          <w:rFonts w:hint="eastAsia" w:ascii="楷体_GB2312" w:hAnsi="楷体_GB2312" w:eastAsia="楷体_GB2312" w:cs="楷体_GB2312"/>
          <w:sz w:val="32"/>
          <w:lang w:val="en-US" w:eastAsia="zh-CN"/>
        </w:rPr>
        <w:t>8</w:t>
      </w:r>
      <w:r>
        <w:rPr>
          <w:rFonts w:hint="eastAsia" w:ascii="楷体_GB2312" w:hAnsi="楷体_GB2312" w:eastAsia="楷体_GB2312" w:cs="楷体_GB2312"/>
          <w:sz w:val="32"/>
        </w:rPr>
        <w:t>台</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运行经费支出</w:t>
      </w:r>
      <w:r>
        <w:rPr>
          <w:rFonts w:hint="eastAsia" w:ascii="楷体_GB2312" w:hAnsi="楷体_GB2312" w:eastAsia="楷体_GB2312" w:cs="楷体_GB2312"/>
          <w:sz w:val="32"/>
          <w:lang w:val="en-US" w:eastAsia="zh-CN"/>
        </w:rPr>
        <w:t>49.89</w:t>
      </w:r>
      <w:r>
        <w:rPr>
          <w:rFonts w:hint="eastAsia" w:ascii="楷体_GB2312" w:hAnsi="楷体_GB2312" w:eastAsia="楷体_GB2312" w:cs="楷体_GB2312"/>
          <w:sz w:val="32"/>
        </w:rPr>
        <w:t>万元，主要用于</w:t>
      </w:r>
      <w:r>
        <w:rPr>
          <w:rFonts w:hint="eastAsia" w:ascii="楷体_GB2312" w:hAnsi="楷体_GB2312" w:eastAsia="楷体_GB2312" w:cs="楷体_GB2312"/>
          <w:sz w:val="32"/>
          <w:lang w:eastAsia="zh-CN"/>
        </w:rPr>
        <w:t>执勤执法、机要通信、离退休干部等公务方面用。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3、公务接待情况说明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公务接待支出</w:t>
      </w:r>
      <w:r>
        <w:rPr>
          <w:rFonts w:hint="eastAsia" w:ascii="楷体_GB2312" w:hAnsi="楷体_GB2312" w:eastAsia="楷体_GB2312" w:cs="楷体_GB2312"/>
          <w:sz w:val="32"/>
          <w:lang w:val="en-US" w:eastAsia="zh-CN"/>
        </w:rPr>
        <w:t>50.57</w:t>
      </w:r>
      <w:r>
        <w:rPr>
          <w:rFonts w:hint="eastAsia" w:ascii="楷体_GB2312" w:hAnsi="楷体_GB2312" w:eastAsia="楷体_GB2312" w:cs="楷体_GB2312"/>
          <w:sz w:val="32"/>
        </w:rPr>
        <w:t>万元，国内公务接待</w:t>
      </w:r>
      <w:r>
        <w:rPr>
          <w:rFonts w:hint="eastAsia" w:ascii="楷体_GB2312" w:hAnsi="楷体_GB2312" w:eastAsia="楷体_GB2312" w:cs="楷体_GB2312"/>
          <w:sz w:val="32"/>
          <w:lang w:val="en-US" w:eastAsia="zh-CN"/>
        </w:rPr>
        <w:t>700</w:t>
      </w:r>
      <w:r>
        <w:rPr>
          <w:rFonts w:hint="eastAsia" w:ascii="楷体_GB2312" w:hAnsi="楷体_GB2312" w:eastAsia="楷体_GB2312" w:cs="楷体_GB2312"/>
          <w:sz w:val="32"/>
        </w:rPr>
        <w:t>批次，接待</w:t>
      </w:r>
      <w:r>
        <w:rPr>
          <w:rFonts w:hint="eastAsia" w:ascii="楷体_GB2312" w:hAnsi="楷体_GB2312" w:eastAsia="楷体_GB2312" w:cs="楷体_GB2312"/>
          <w:sz w:val="32"/>
          <w:lang w:val="en-US" w:eastAsia="zh-CN"/>
        </w:rPr>
        <w:t>5000</w:t>
      </w:r>
      <w:r>
        <w:rPr>
          <w:rFonts w:hint="eastAsia" w:ascii="楷体_GB2312" w:hAnsi="楷体_GB2312" w:eastAsia="楷体_GB2312" w:cs="楷体_GB2312"/>
          <w:sz w:val="32"/>
        </w:rPr>
        <w:t>人。接待支出主要用于</w:t>
      </w:r>
      <w:r>
        <w:rPr>
          <w:rFonts w:hint="eastAsia" w:ascii="楷体_GB2312" w:hAnsi="楷体_GB2312" w:eastAsia="楷体_GB2312" w:cs="楷体_GB2312"/>
          <w:sz w:val="32"/>
          <w:lang w:eastAsia="zh-CN"/>
        </w:rPr>
        <w:t>请示汇报、考察调研、学习交流、检查指导等公务活动开支。</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年度预算绩效情况说明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（一）绩效管理工作开展情况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根据预算绩效管理要求，益阳市发展和改革委员会组织对 2019 年度部门整体支出全面开展绩效自评。从评价情况来看，项目立项程序完整、规范，预算执行及时、有效，为上级有关部门决策提供了较为有力的支撑，绩效目标得到较好实现，绩效管理水平不断提高。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（二）部门决算中项目绩效自评结果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益阳市发展和改革委员会组织在 2019 年度部门决算中反映部门部门整体支出绩效自评结果。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绩效自评分98.5分，自评为“优秀”。具体作评价如下：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投入：总分20分，实得19分。扣分项目为在职人员控制率大于100%，扣1分。2、过程：总分30分，实得29.5分。扣分项目为预算调整率扣0.5分，主要是年初的部门预算不含市级重点项目预算追加指标。3、产出与效果：共50分，实得50分。基本按照厉行节约的原则，发挥资金最大效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在今后的工作我委一方面要严格预算编制，做到细化精确，争取一些费用纳入财政预算中；另一方面经费开支要严格按照八项规定执行。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黑体" w:hAnsi="黑体" w:eastAsia="黑体" w:cs="黑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val="en-US" w:eastAsia="zh-CN"/>
        </w:rPr>
        <w:t>2019年我委年初预算安排收支2294.28万元，决算为5666.46万元。主要原因：一是按政策增加人员经费；二是增加市级重点项目资金安排。</w:t>
      </w:r>
    </w:p>
    <w:p>
      <w:pPr>
        <w:keepNext w:val="0"/>
        <w:keepLines w:val="0"/>
        <w:pageBreakBefore w:val="0"/>
        <w:widowControl w:val="0"/>
        <w:numPr>
          <w:ilvl w:val="0"/>
          <w:numId w:val="0"/>
        </w:numPr>
        <w:tabs>
          <w:tab w:val="left" w:pos="954"/>
        </w:tabs>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color w:val="FF0000"/>
          <w:sz w:val="32"/>
        </w:rPr>
      </w:pPr>
      <w:r>
        <w:rPr>
          <w:rFonts w:hint="eastAsia" w:ascii="楷体" w:hAnsi="楷体" w:eastAsia="楷体" w:cs="楷体"/>
          <w:sz w:val="32"/>
          <w:lang w:eastAsia="zh-CN"/>
        </w:rPr>
        <w:t>（二）</w:t>
      </w:r>
      <w:r>
        <w:rPr>
          <w:rFonts w:ascii="楷体" w:hAnsi="楷体" w:eastAsia="楷体" w:cs="楷体"/>
          <w:sz w:val="32"/>
        </w:rPr>
        <w:t>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2019年度机关运行经费支出718.29万元，较上年减少49.21万元，减少6.41%，主要原因是：按照上级要求，严格压缩使用行政运行经费。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color w:val="FF0000"/>
          <w:sz w:val="32"/>
        </w:rPr>
      </w:pPr>
      <w:r>
        <w:rPr>
          <w:rFonts w:ascii="楷体" w:hAnsi="楷体" w:eastAsia="楷体" w:cs="楷体"/>
          <w:sz w:val="32"/>
        </w:rPr>
        <w:t>（三）政府采购支出情况。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2019年度政府采购</w:t>
      </w:r>
      <w:r>
        <w:rPr>
          <w:rFonts w:hint="eastAsia" w:ascii="楷体_GB2312" w:hAnsi="楷体_GB2312" w:eastAsia="楷体_GB2312" w:cs="楷体_GB2312"/>
          <w:sz w:val="32"/>
          <w:szCs w:val="32"/>
          <w:lang w:eastAsia="zh-CN"/>
        </w:rPr>
        <w:t>支出总额</w:t>
      </w:r>
      <w:r>
        <w:rPr>
          <w:rFonts w:hint="eastAsia" w:ascii="楷体_GB2312" w:hAnsi="楷体_GB2312" w:eastAsia="楷体_GB2312" w:cs="楷体_GB2312"/>
          <w:sz w:val="32"/>
          <w:szCs w:val="32"/>
          <w:lang w:val="en-US" w:eastAsia="zh-CN"/>
        </w:rPr>
        <w:t>130.50</w:t>
      </w:r>
      <w:r>
        <w:rPr>
          <w:rFonts w:hint="eastAsia" w:ascii="楷体_GB2312" w:hAnsi="楷体_GB2312" w:eastAsia="楷体_GB2312" w:cs="楷体_GB2312"/>
          <w:sz w:val="32"/>
          <w:szCs w:val="32"/>
          <w:lang w:eastAsia="zh-CN"/>
        </w:rPr>
        <w:t>万元。全部为政府采购服务支出。</w:t>
      </w:r>
      <w:r>
        <w:rPr>
          <w:rFonts w:hint="eastAsia" w:ascii="楷体_GB2312" w:hAnsi="楷体_GB2312" w:eastAsia="楷体_GB2312" w:cs="楷体_GB2312"/>
          <w:sz w:val="32"/>
          <w:lang w:val="en-US" w:eastAsia="zh-CN"/>
        </w:rPr>
        <w:t>授予中小企业的合同金额为130.50万元，占政府采购支出总金额的100%。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楷体" w:hAnsi="楷体" w:eastAsia="楷体" w:cs="楷体"/>
          <w:sz w:val="32"/>
        </w:rPr>
      </w:pPr>
      <w:r>
        <w:rPr>
          <w:rFonts w:ascii="楷体" w:hAnsi="楷体" w:eastAsia="楷体" w:cs="楷体"/>
          <w:sz w:val="32"/>
        </w:rPr>
        <w:t>（四）国有资产占用情况。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rPr>
      </w:pPr>
      <w:r>
        <w:rPr>
          <w:rFonts w:hint="eastAsia" w:ascii="楷体_GB2312" w:hAnsi="楷体_GB2312" w:eastAsia="楷体_GB2312" w:cs="楷体_GB2312"/>
          <w:sz w:val="32"/>
          <w:lang w:val="en-US" w:eastAsia="zh-CN"/>
        </w:rPr>
        <w:t>截至2019年12月31日，本部门共有车辆8辆，其中，一般机关通信用车4辆、执法执勤用车1辆、离退休干部用车2辆，其他用车1辆；单位价值50万元以上通用设备0台(套)，单价100万正以上专用设备0台(套)。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b/>
          <w:sz w:val="32"/>
        </w:rPr>
      </w:pP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 w:hAnsi="仿宋" w:eastAsia="仿宋" w:cs="仿宋"/>
          <w:sz w:val="32"/>
        </w:rPr>
      </w:pPr>
      <w:r>
        <w:rPr>
          <w:rFonts w:ascii="仿宋" w:hAnsi="仿宋" w:eastAsia="仿宋" w:cs="仿宋"/>
          <w:sz w:val="32"/>
        </w:rPr>
        <w:t xml:space="preserve">作任务而发生的人员支出和公用支出。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44"/>
        </w:rPr>
      </w:pPr>
      <w:r>
        <w:rPr>
          <w:rFonts w:ascii="宋体" w:hAnsi="宋体" w:eastAsia="宋体" w:cs="宋体"/>
          <w:sz w:val="44"/>
        </w:rPr>
        <w:t>第五部分   附件</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eastAsia="宋体" w:cs="宋体"/>
          <w:sz w:val="24"/>
          <w:szCs w:val="24"/>
        </w:rPr>
      </w:pPr>
      <w:r>
        <w:rPr>
          <w:rFonts w:ascii="宋体" w:hAnsi="宋体" w:eastAsia="宋体" w:cs="宋体"/>
          <w:sz w:val="24"/>
          <w:szCs w:val="24"/>
        </w:rPr>
        <w:br w:type="textWrapping"/>
      </w:r>
      <w:r>
        <w:rPr>
          <w:rFonts w:hint="eastAsia" w:ascii="黑体" w:hAnsi="黑体" w:eastAsia="黑体" w:cs="黑体"/>
          <w:sz w:val="32"/>
          <w:lang w:val="en-US" w:eastAsia="zh-CN"/>
        </w:rPr>
        <w:t>益阳市发展和改革委员会部门整体支出</w:t>
      </w:r>
      <w:r>
        <w:rPr>
          <w:rFonts w:ascii="黑体" w:hAnsi="黑体" w:eastAsia="黑体" w:cs="黑体"/>
          <w:sz w:val="32"/>
        </w:rPr>
        <w:t>绩效评价报告</w:t>
      </w:r>
      <w:r>
        <w:rPr>
          <w:rFonts w:ascii="宋体" w:hAnsi="宋体" w:eastAsia="宋体" w:cs="宋体"/>
          <w:sz w:val="24"/>
          <w:szCs w:val="24"/>
        </w:rPr>
        <w:br w:type="textWrapping"/>
      </w:r>
      <w:r>
        <w:rPr>
          <w:rFonts w:ascii="黑体" w:hAnsi="黑体" w:eastAsia="黑体" w:cs="黑体"/>
          <w:sz w:val="32"/>
        </w:rPr>
        <w:t>一、 项目基本情况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楷体_GB2312" w:hAnsi="楷体_GB2312" w:eastAsia="楷体_GB2312" w:cs="楷体_GB2312"/>
          <w:sz w:val="32"/>
          <w:lang w:val="en-US" w:eastAsia="zh-CN"/>
        </w:rPr>
        <w:t>（一） 项目背景。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益阳市发改委为政府工作部门，正处级行政单位。2019年机构改革，原市粮食局、市两型办并入市发改委，组建了新的市发改委机构。主要负责综合研究拟订我市经济和社会发展政策，全面贯彻落实党中央、省委、市委关于发展改革和粮食储备工作。</w:t>
      </w:r>
      <w:r>
        <w:rPr>
          <w:rFonts w:hint="eastAsia" w:ascii="楷体_GB2312" w:hAnsi="楷体_GB2312" w:eastAsia="楷体_GB2312" w:cs="楷体_GB2312"/>
          <w:sz w:val="32"/>
          <w:lang w:val="en-US" w:eastAsia="zh-CN"/>
        </w:rPr>
        <w:br w:type="textWrapping"/>
      </w:r>
      <w:r>
        <w:rPr>
          <w:rFonts w:hint="eastAsia" w:ascii="楷体_GB2312" w:hAnsi="楷体_GB2312" w:eastAsia="楷体_GB2312" w:cs="楷体_GB2312"/>
          <w:sz w:val="32"/>
          <w:lang w:val="en-US" w:eastAsia="zh-CN"/>
        </w:rPr>
        <w:t xml:space="preserve">    （二） 项目目标。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全面聚焦“五先五市”总抓手，做好稳就业、稳金融、稳外贸、稳外资、稳投资、稳预期各项工作。 同时做好重大项目进展顺利、重大课题加快研究、重大改革有序推进、重大事项协调有力、重大实事全面实施。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（三）主要内容及预算支出情况。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经济运行保持持续健康，有效投资水平全面提升，GDP增速≥6%。“十三五”期间，完成33377人易地扶贫搬迁任务，所有项目建设任务全面完成，入住率99.98%。开展产业项目建设年活动，省市重点项目投资完成年度目标任务。优化投资结构，提升投资水平，投资增速&gt;8%，产业投资、民间投资&gt;10%。医疗卫生条件改善，医疗基础设施投资项目≥7000万元。降低社会平均能耗，淘汰落后产能，万元GDP能耗下降2%，洞庭湖水质有所改善，大通湖水质达到Ⅴ类。有效推动了益阳高水平开放、高质量发展，增进了社会各界对发改工作的了解。</w:t>
      </w:r>
      <w:r>
        <w:rPr>
          <w:rFonts w:hint="eastAsia" w:ascii="楷体_GB2312" w:hAnsi="楷体_GB2312" w:eastAsia="楷体_GB2312" w:cs="楷体_GB2312"/>
          <w:sz w:val="32"/>
          <w:lang w:val="en-US" w:eastAsia="zh-CN"/>
        </w:rPr>
        <w:br w:type="textWrapping"/>
      </w:r>
      <w:r>
        <w:rPr>
          <w:rFonts w:hint="eastAsia" w:ascii="黑体" w:hAnsi="黑体" w:eastAsia="黑体" w:cs="黑体"/>
          <w:sz w:val="32"/>
          <w:lang w:val="en-US" w:eastAsia="zh-CN"/>
        </w:rPr>
        <w:t>二、 绩效评价工作情况及评价结论</w:t>
      </w:r>
      <w:r>
        <w:rPr>
          <w:rFonts w:hint="eastAsia" w:ascii="楷体_GB2312" w:hAnsi="楷体_GB2312" w:eastAsia="楷体_GB2312" w:cs="楷体_GB2312"/>
          <w:sz w:val="32"/>
          <w:lang w:val="en-US" w:eastAsia="zh-CN"/>
        </w:rPr>
        <w:br w:type="textWrapping"/>
      </w:r>
      <w:r>
        <w:rPr>
          <w:rFonts w:hint="eastAsia" w:ascii="楷体_GB2312" w:hAnsi="楷体_GB2312" w:eastAsia="楷体_GB2312" w:cs="楷体_GB2312"/>
          <w:sz w:val="32"/>
          <w:lang w:val="en-US" w:eastAsia="zh-CN"/>
        </w:rPr>
        <w:t xml:space="preserve">    （一） 评价范围和目的。</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根据《益阳市财政局关于全面实施预算绩效自评工作的通知》（益财绩〔2020〕70号）文件精神，我委组织开展全委系统绩效评价工作。检查基本支出、项目支出有关账目，收集整理支出相关资料，并根据各部门报送的绩效自评材料进行分析，形成评价结论。</w:t>
      </w:r>
      <w:r>
        <w:rPr>
          <w:rFonts w:hint="eastAsia" w:ascii="楷体_GB2312" w:hAnsi="楷体_GB2312" w:eastAsia="楷体_GB2312" w:cs="楷体_GB2312"/>
          <w:sz w:val="32"/>
          <w:lang w:val="en-US" w:eastAsia="zh-CN"/>
        </w:rPr>
        <w:br w:type="textWrapping"/>
      </w:r>
      <w:r>
        <w:rPr>
          <w:rFonts w:hint="eastAsia" w:ascii="楷体_GB2312" w:hAnsi="楷体_GB2312" w:eastAsia="楷体_GB2312" w:cs="楷体_GB2312"/>
          <w:sz w:val="32"/>
          <w:lang w:val="en-US" w:eastAsia="zh-CN"/>
        </w:rPr>
        <w:t xml:space="preserve">    （二） 评价方法及实施。</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市发改委明确了工作任务、制定了工作方案。采取调查分析相关文件和部门预决算报表、数据核查、询问查证等形式进行自评。1、核实数据。对2019年度部门决算报表数据的准确性、真实性进行了认真核实。2、查阅资料。查阅了2019年的预算安排、非税收入征缴、预算追加、资产管理等资料。3、实地查看。实地查看并核对了市发改委各科室和二级机构的实物资产。4、归纳汇总。对搜集的资料进行全面综合分析整理，发现部门整体支出中资金管理工作的成绩和不足，针对发现的问题寻找解决的方法，制定相应的管理制度，建立费用支出管理的长效机制。5、形成自评报告。</w:t>
      </w:r>
      <w:r>
        <w:rPr>
          <w:rFonts w:hint="eastAsia" w:ascii="楷体_GB2312" w:hAnsi="楷体_GB2312" w:eastAsia="楷体_GB2312" w:cs="楷体_GB2312"/>
          <w:sz w:val="32"/>
          <w:lang w:val="en-US" w:eastAsia="zh-CN"/>
        </w:rPr>
        <w:br w:type="textWrapping"/>
      </w:r>
      <w:r>
        <w:rPr>
          <w:rFonts w:hint="eastAsia" w:ascii="楷体_GB2312" w:hAnsi="楷体_GB2312" w:eastAsia="楷体_GB2312" w:cs="楷体_GB2312"/>
          <w:sz w:val="32"/>
          <w:lang w:val="en-US" w:eastAsia="zh-CN"/>
        </w:rPr>
        <w:t xml:space="preserve">    （三） 评价结论。</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根据部门整体支出绩效评价指标确定的内容，经综合评价，益阳市发改委2019年度部门整体支出符合国家财经法规和财务管理制度规定以及有关专项资金管理办法的规定；资金拨付有完整的审批程序和手续；项目支出按规定符合部门预算批复的用途；资金使用效益高，基本完成了预算资金申报时设定的绩效目标。</w:t>
      </w:r>
    </w:p>
    <w:p>
      <w:pPr>
        <w:numPr>
          <w:ilvl w:val="0"/>
          <w:numId w:val="0"/>
        </w:numPr>
        <w:spacing w:line="540" w:lineRule="exact"/>
        <w:rPr>
          <w:rFonts w:hint="default" w:ascii="楷体_GB2312" w:hAnsi="楷体_GB2312" w:eastAsia="楷体_GB2312" w:cs="楷体_GB2312"/>
          <w:sz w:val="32"/>
          <w:lang w:val="en-US" w:eastAsia="zh-CN"/>
        </w:rPr>
      </w:pPr>
      <w:r>
        <w:rPr>
          <w:rFonts w:hint="eastAsia" w:ascii="黑体" w:hAnsi="黑体" w:eastAsia="黑体" w:cs="黑体"/>
          <w:sz w:val="32"/>
          <w:lang w:val="en-US" w:eastAsia="zh-CN"/>
        </w:rPr>
        <w:t>三、 绩效评价指标完成情况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rPr>
        <w:t>根据</w:t>
      </w:r>
      <w:r>
        <w:rPr>
          <w:rFonts w:hint="eastAsia" w:ascii="楷体_GB2312" w:hAnsi="楷体_GB2312" w:eastAsia="楷体_GB2312" w:cs="楷体_GB2312"/>
          <w:sz w:val="32"/>
          <w:lang w:eastAsia="zh-CN"/>
        </w:rPr>
        <w:t>年初</w:t>
      </w:r>
      <w:r>
        <w:rPr>
          <w:rFonts w:hint="eastAsia" w:ascii="楷体_GB2312" w:hAnsi="楷体_GB2312" w:eastAsia="楷体_GB2312" w:cs="楷体_GB2312"/>
          <w:sz w:val="32"/>
        </w:rPr>
        <w:t>部门整体支出</w:t>
      </w:r>
      <w:r>
        <w:rPr>
          <w:rFonts w:hint="eastAsia" w:ascii="楷体_GB2312" w:hAnsi="楷体_GB2312" w:eastAsia="楷体_GB2312" w:cs="楷体_GB2312"/>
          <w:sz w:val="32"/>
          <w:lang w:eastAsia="zh-CN"/>
        </w:rPr>
        <w:t>预算</w:t>
      </w:r>
      <w:r>
        <w:rPr>
          <w:rFonts w:hint="eastAsia" w:ascii="楷体_GB2312" w:hAnsi="楷体_GB2312" w:eastAsia="楷体_GB2312" w:cs="楷体_GB2312"/>
          <w:sz w:val="32"/>
        </w:rPr>
        <w:t>绩效</w:t>
      </w:r>
      <w:r>
        <w:rPr>
          <w:rFonts w:hint="eastAsia" w:ascii="楷体_GB2312" w:hAnsi="楷体_GB2312" w:eastAsia="楷体_GB2312" w:cs="楷体_GB2312"/>
          <w:sz w:val="32"/>
          <w:lang w:eastAsia="zh-CN"/>
        </w:rPr>
        <w:t>目标，结合全年工作情况，我</w:t>
      </w:r>
      <w:r>
        <w:rPr>
          <w:rFonts w:hint="eastAsia" w:ascii="楷体_GB2312" w:hAnsi="楷体_GB2312" w:eastAsia="楷体_GB2312" w:cs="楷体_GB2312"/>
          <w:sz w:val="32"/>
        </w:rPr>
        <w:t>委201</w:t>
      </w:r>
      <w:r>
        <w:rPr>
          <w:rFonts w:hint="eastAsia" w:ascii="楷体_GB2312" w:hAnsi="楷体_GB2312" w:eastAsia="楷体_GB2312" w:cs="楷体_GB2312"/>
          <w:sz w:val="32"/>
          <w:lang w:val="en-US" w:eastAsia="zh-CN"/>
        </w:rPr>
        <w:t>9</w:t>
      </w:r>
      <w:r>
        <w:rPr>
          <w:rFonts w:hint="eastAsia" w:ascii="楷体_GB2312" w:hAnsi="楷体_GB2312" w:eastAsia="楷体_GB2312" w:cs="楷体_GB2312"/>
          <w:sz w:val="32"/>
        </w:rPr>
        <w:t>年度整体支出绩效</w:t>
      </w:r>
      <w:r>
        <w:rPr>
          <w:rFonts w:hint="eastAsia" w:ascii="楷体_GB2312" w:hAnsi="楷体_GB2312" w:eastAsia="楷体_GB2312" w:cs="楷体_GB2312"/>
          <w:sz w:val="32"/>
          <w:lang w:val="en-US" w:eastAsia="zh-CN"/>
        </w:rPr>
        <w:t>指标</w:t>
      </w:r>
      <w:r>
        <w:rPr>
          <w:rFonts w:hint="eastAsia" w:ascii="楷体_GB2312" w:hAnsi="楷体_GB2312" w:eastAsia="楷体_GB2312" w:cs="楷体_GB2312"/>
          <w:sz w:val="32"/>
          <w:lang w:eastAsia="zh-CN"/>
        </w:rPr>
        <w:t>完成较好。</w:t>
      </w:r>
      <w:r>
        <w:rPr>
          <w:rFonts w:hint="eastAsia" w:ascii="楷体_GB2312" w:hAnsi="楷体_GB2312" w:eastAsia="楷体_GB2312" w:cs="楷体_GB2312"/>
          <w:sz w:val="32"/>
          <w:lang w:val="en-US" w:eastAsia="zh-CN"/>
        </w:rPr>
        <w:t>一是资金使用效益高。基本支出经费保障了人员工资、机关运转；二是资金使用社会效益好。专项支出经费保障了发改项目工作顺利开展及上级交办的一系列工作。</w:t>
      </w:r>
      <w:r>
        <w:rPr>
          <w:rFonts w:hint="eastAsia" w:ascii="楷体_GB2312" w:hAnsi="楷体_GB2312" w:eastAsia="楷体_GB2312" w:cs="楷体_GB2312"/>
          <w:sz w:val="32"/>
          <w:lang w:val="en-US" w:eastAsia="zh-CN"/>
        </w:rPr>
        <w:br w:type="textWrapping"/>
      </w:r>
      <w:r>
        <w:rPr>
          <w:rFonts w:hint="eastAsia" w:ascii="黑体" w:hAnsi="黑体" w:eastAsia="黑体" w:cs="黑体"/>
          <w:sz w:val="32"/>
          <w:lang w:val="en-US" w:eastAsia="zh-CN"/>
        </w:rPr>
        <w:t>四、 发现的主要问题及原因</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是部门整体支出绩效管理工作还有待加强。部门整体支出是一项长期性的工作，专业性强，工作量大，加之预算资金安排和使用上有不可预见性，在执行过程中还存在有开支政策依据但无预算安排等现象，要应该努力提高指标使用绩效，使预算指标更加贴合部门整体工作的实际支出。</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二是部门行政运行经费预算不足，基本支出预算中公用经费预算较少，不能满足单位日常运行费用支出。</w:t>
      </w:r>
      <w:r>
        <w:rPr>
          <w:rFonts w:hint="eastAsia" w:ascii="楷体_GB2312" w:hAnsi="楷体_GB2312" w:eastAsia="楷体_GB2312" w:cs="楷体_GB2312"/>
          <w:sz w:val="32"/>
          <w:lang w:val="en-US" w:eastAsia="zh-CN"/>
        </w:rPr>
        <w:br w:type="textWrapping"/>
      </w:r>
      <w:r>
        <w:rPr>
          <w:rFonts w:hint="eastAsia" w:ascii="黑体" w:hAnsi="黑体" w:eastAsia="黑体" w:cs="黑体"/>
          <w:sz w:val="32"/>
          <w:lang w:val="en-US" w:eastAsia="zh-CN"/>
        </w:rPr>
        <w:t>五、相关建议</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针对上述存在的问题，建议如下：</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一是进一步加强相关人员的业务工作培训，规范部门预算收支，切实提高部门预算管理水平。集中组织部门之间、单位之间的经验交流，协调推进绩效评价工作的开展。</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二是合理分配公用经费的预算额度，确保单位日常运行支出不挤占专项工作经费支出。</w:t>
      </w:r>
    </w:p>
    <w:p>
      <w:pPr>
        <w:numPr>
          <w:ilvl w:val="0"/>
          <w:numId w:val="0"/>
        </w:numPr>
        <w:spacing w:line="540" w:lineRule="exact"/>
        <w:ind w:firstLine="640" w:firstLineChars="200"/>
        <w:rPr>
          <w:rFonts w:hint="eastAsia" w:ascii="楷体_GB2312" w:hAnsi="楷体_GB2312" w:eastAsia="楷体_GB2312" w:cs="楷体_GB2312"/>
          <w:sz w:val="32"/>
          <w:lang w:val="en-US" w:eastAsia="zh-CN"/>
        </w:rPr>
      </w:pPr>
    </w:p>
    <w:sectPr>
      <w:headerReference r:id="rId3" w:type="default"/>
      <w:pgSz w:w="11906" w:h="16838"/>
      <w:pgMar w:top="2007" w:right="1800" w:bottom="1440" w:left="19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054"/>
    <w:multiLevelType w:val="singleLevel"/>
    <w:tmpl w:val="7B065054"/>
    <w:lvl w:ilvl="0" w:tentative="0">
      <w:start w:val="4"/>
      <w:numFmt w:val="chineseCounting"/>
      <w:suff w:val="space"/>
      <w:lvlText w:val="第%1部分"/>
      <w:lvlJc w:val="left"/>
      <w:rPr>
        <w:rFonts w:hint="eastAsia"/>
      </w:rPr>
    </w:lvl>
  </w:abstractNum>
  <w:abstractNum w:abstractNumId="1">
    <w:nsid w:val="7BF07876"/>
    <w:multiLevelType w:val="singleLevel"/>
    <w:tmpl w:val="7BF0787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5F65ED0"/>
    <w:rsid w:val="10B353CA"/>
    <w:rsid w:val="177F515F"/>
    <w:rsid w:val="1A711326"/>
    <w:rsid w:val="1CB34CA2"/>
    <w:rsid w:val="29337902"/>
    <w:rsid w:val="2C1B3443"/>
    <w:rsid w:val="2EB93BB6"/>
    <w:rsid w:val="316626D9"/>
    <w:rsid w:val="35501B7D"/>
    <w:rsid w:val="35730964"/>
    <w:rsid w:val="3E701ADA"/>
    <w:rsid w:val="3EA32305"/>
    <w:rsid w:val="46B26B05"/>
    <w:rsid w:val="4B3618C0"/>
    <w:rsid w:val="4BE45A02"/>
    <w:rsid w:val="4CDE3C32"/>
    <w:rsid w:val="5E89721E"/>
    <w:rsid w:val="6154292E"/>
    <w:rsid w:val="654220A1"/>
    <w:rsid w:val="6BD37674"/>
    <w:rsid w:val="6DEC776F"/>
    <w:rsid w:val="7B402DF3"/>
    <w:rsid w:val="7C675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1</TotalTime>
  <ScaleCrop>false</ScaleCrop>
  <LinksUpToDate>false</LinksUpToDate>
  <CharactersWithSpaces>3945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2020-09-03T02:01:00Z</cp:lastPrinted>
  <dcterms:modified xsi:type="dcterms:W3CDTF">2021-06-03T08:11:47Z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