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05504">
      <w:pPr>
        <w:pStyle w:val="2"/>
        <w:spacing w:line="255" w:lineRule="auto"/>
      </w:pPr>
    </w:p>
    <w:p w14:paraId="1780E144">
      <w:pPr>
        <w:pStyle w:val="2"/>
        <w:spacing w:line="255" w:lineRule="auto"/>
      </w:pPr>
    </w:p>
    <w:p w14:paraId="09CA8069">
      <w:pPr>
        <w:pStyle w:val="2"/>
        <w:spacing w:line="255" w:lineRule="auto"/>
      </w:pPr>
    </w:p>
    <w:p w14:paraId="6887B052">
      <w:pPr>
        <w:pStyle w:val="2"/>
        <w:spacing w:line="256" w:lineRule="auto"/>
      </w:pPr>
    </w:p>
    <w:p w14:paraId="5485EA71">
      <w:pPr>
        <w:pStyle w:val="2"/>
        <w:spacing w:line="256" w:lineRule="auto"/>
      </w:pPr>
    </w:p>
    <w:p w14:paraId="0FA6312E">
      <w:pPr>
        <w:spacing w:before="156" w:line="218" w:lineRule="auto"/>
        <w:ind w:left="1996" w:leftChars="259" w:hanging="1452" w:hangingChars="300"/>
        <w:jc w:val="left"/>
        <w:rPr>
          <w:rFonts w:ascii="宋体" w:hAnsi="宋体" w:eastAsia="宋体" w:cs="宋体"/>
          <w:sz w:val="48"/>
          <w:szCs w:val="48"/>
        </w:rPr>
      </w:pPr>
      <w:r>
        <w:rPr>
          <w:rFonts w:ascii="宋体" w:hAnsi="宋体" w:eastAsia="宋体" w:cs="宋体"/>
          <w:b/>
          <w:bCs/>
          <w:spacing w:val="1"/>
          <w:sz w:val="48"/>
          <w:szCs w:val="48"/>
        </w:rPr>
        <w:t>2024年度</w:t>
      </w:r>
      <w:r>
        <w:rPr>
          <w:rFonts w:hint="eastAsia" w:ascii="Times New Roman" w:hAnsi="Times New Roman" w:eastAsia="宋体" w:cs="Times New Roman"/>
          <w:b/>
          <w:bCs/>
          <w:sz w:val="48"/>
          <w:szCs w:val="48"/>
          <w:lang w:val="en-US" w:eastAsia="zh-CN"/>
        </w:rPr>
        <w:t xml:space="preserve">益阳市水利科技推广中心   </w:t>
      </w:r>
      <w:r>
        <w:rPr>
          <w:rFonts w:ascii="宋体" w:hAnsi="宋体" w:eastAsia="宋体" w:cs="宋体"/>
          <w:b/>
          <w:bCs/>
          <w:spacing w:val="1"/>
          <w:sz w:val="48"/>
          <w:szCs w:val="48"/>
        </w:rPr>
        <w:t>项目资金部门评价报告</w:t>
      </w:r>
    </w:p>
    <w:p w14:paraId="1500AEAC">
      <w:pPr>
        <w:pStyle w:val="2"/>
        <w:spacing w:line="246" w:lineRule="auto"/>
      </w:pPr>
    </w:p>
    <w:p w14:paraId="0145F0C0">
      <w:pPr>
        <w:pStyle w:val="2"/>
        <w:spacing w:line="246" w:lineRule="auto"/>
      </w:pPr>
    </w:p>
    <w:p w14:paraId="083486B9">
      <w:pPr>
        <w:pStyle w:val="2"/>
        <w:spacing w:line="246" w:lineRule="auto"/>
      </w:pPr>
    </w:p>
    <w:p w14:paraId="22EA089A">
      <w:pPr>
        <w:pStyle w:val="2"/>
        <w:spacing w:line="246" w:lineRule="auto"/>
      </w:pPr>
    </w:p>
    <w:p w14:paraId="773B9373">
      <w:pPr>
        <w:pStyle w:val="2"/>
        <w:spacing w:line="246" w:lineRule="auto"/>
      </w:pPr>
    </w:p>
    <w:p w14:paraId="353D120B">
      <w:pPr>
        <w:pStyle w:val="2"/>
        <w:spacing w:line="246" w:lineRule="auto"/>
      </w:pPr>
    </w:p>
    <w:p w14:paraId="363ECE1C">
      <w:pPr>
        <w:pStyle w:val="2"/>
        <w:spacing w:line="246" w:lineRule="auto"/>
      </w:pPr>
    </w:p>
    <w:p w14:paraId="48582222">
      <w:pPr>
        <w:pStyle w:val="2"/>
        <w:spacing w:line="246" w:lineRule="auto"/>
      </w:pPr>
    </w:p>
    <w:p w14:paraId="1D06006A">
      <w:pPr>
        <w:pStyle w:val="2"/>
        <w:spacing w:line="246" w:lineRule="auto"/>
      </w:pPr>
    </w:p>
    <w:p w14:paraId="231EB0A6">
      <w:pPr>
        <w:pStyle w:val="2"/>
        <w:spacing w:line="246" w:lineRule="auto"/>
      </w:pPr>
    </w:p>
    <w:p w14:paraId="0512BDD6">
      <w:pPr>
        <w:pStyle w:val="2"/>
        <w:spacing w:line="246" w:lineRule="auto"/>
      </w:pPr>
    </w:p>
    <w:p w14:paraId="19FD2D55">
      <w:pPr>
        <w:pStyle w:val="2"/>
        <w:spacing w:line="246" w:lineRule="auto"/>
      </w:pPr>
    </w:p>
    <w:p w14:paraId="34E177BE">
      <w:pPr>
        <w:pStyle w:val="2"/>
        <w:spacing w:line="246" w:lineRule="auto"/>
      </w:pPr>
    </w:p>
    <w:p w14:paraId="0DE07DA9">
      <w:pPr>
        <w:pStyle w:val="2"/>
        <w:spacing w:line="246" w:lineRule="auto"/>
      </w:pPr>
    </w:p>
    <w:p w14:paraId="76C7B286">
      <w:pPr>
        <w:pStyle w:val="2"/>
        <w:spacing w:line="246" w:lineRule="auto"/>
        <w:jc w:val="center"/>
      </w:pPr>
    </w:p>
    <w:p w14:paraId="298A6DEE">
      <w:pPr>
        <w:pStyle w:val="2"/>
        <w:spacing w:line="246" w:lineRule="auto"/>
      </w:pPr>
    </w:p>
    <w:p w14:paraId="195147B2">
      <w:pPr>
        <w:pStyle w:val="2"/>
        <w:spacing w:line="246" w:lineRule="auto"/>
      </w:pPr>
    </w:p>
    <w:p w14:paraId="570D7BE3">
      <w:pPr>
        <w:pStyle w:val="2"/>
        <w:spacing w:line="246" w:lineRule="auto"/>
      </w:pPr>
    </w:p>
    <w:p w14:paraId="43A43FF2">
      <w:pPr>
        <w:pStyle w:val="2"/>
        <w:spacing w:line="246" w:lineRule="auto"/>
      </w:pPr>
    </w:p>
    <w:p w14:paraId="0CAD0A42">
      <w:pPr>
        <w:pStyle w:val="2"/>
        <w:spacing w:line="246" w:lineRule="auto"/>
      </w:pPr>
    </w:p>
    <w:p w14:paraId="684A34B1">
      <w:pPr>
        <w:pStyle w:val="2"/>
        <w:spacing w:line="246" w:lineRule="auto"/>
      </w:pPr>
    </w:p>
    <w:p w14:paraId="653BC461">
      <w:pPr>
        <w:pStyle w:val="2"/>
        <w:spacing w:line="246" w:lineRule="auto"/>
      </w:pPr>
    </w:p>
    <w:p w14:paraId="705D1F81">
      <w:pPr>
        <w:pStyle w:val="2"/>
        <w:spacing w:line="246" w:lineRule="auto"/>
      </w:pPr>
    </w:p>
    <w:p w14:paraId="56650161">
      <w:pPr>
        <w:pStyle w:val="2"/>
        <w:spacing w:line="247" w:lineRule="auto"/>
      </w:pPr>
    </w:p>
    <w:p w14:paraId="33FFCF56">
      <w:pPr>
        <w:pStyle w:val="2"/>
        <w:spacing w:line="247" w:lineRule="auto"/>
      </w:pPr>
    </w:p>
    <w:p w14:paraId="0530A046">
      <w:pPr>
        <w:pStyle w:val="2"/>
        <w:spacing w:line="247" w:lineRule="auto"/>
      </w:pPr>
    </w:p>
    <w:p w14:paraId="5F1A5856">
      <w:pPr>
        <w:pStyle w:val="2"/>
        <w:spacing w:line="247" w:lineRule="auto"/>
      </w:pPr>
    </w:p>
    <w:p w14:paraId="5AAB88BB">
      <w:pPr>
        <w:pStyle w:val="2"/>
        <w:spacing w:line="247" w:lineRule="auto"/>
      </w:pPr>
    </w:p>
    <w:p w14:paraId="005D2749">
      <w:pPr>
        <w:pStyle w:val="2"/>
        <w:spacing w:line="247" w:lineRule="auto"/>
      </w:pPr>
    </w:p>
    <w:p w14:paraId="04AB1392">
      <w:pPr>
        <w:pStyle w:val="2"/>
        <w:spacing w:line="247" w:lineRule="auto"/>
      </w:pPr>
    </w:p>
    <w:p w14:paraId="633DAF6F">
      <w:pPr>
        <w:pStyle w:val="2"/>
        <w:spacing w:line="247" w:lineRule="auto"/>
      </w:pPr>
    </w:p>
    <w:p w14:paraId="649719E8">
      <w:pPr>
        <w:spacing w:before="120" w:line="222" w:lineRule="auto"/>
        <w:ind w:left="2545"/>
        <w:rPr>
          <w:rFonts w:ascii="黑体" w:hAnsi="黑体" w:eastAsia="黑体" w:cs="黑体"/>
          <w:sz w:val="37"/>
          <w:szCs w:val="37"/>
        </w:rPr>
      </w:pPr>
      <w:r>
        <w:rPr>
          <w:rFonts w:ascii="黑体" w:hAnsi="黑体" w:eastAsia="黑体" w:cs="黑体"/>
          <w:b/>
          <w:bCs/>
          <w:spacing w:val="-2"/>
          <w:sz w:val="37"/>
          <w:szCs w:val="37"/>
        </w:rPr>
        <w:t>部门(单位)名称：</w:t>
      </w:r>
      <w:r>
        <w:rPr>
          <w:rFonts w:ascii="黑体" w:hAnsi="黑体" w:eastAsia="黑体" w:cs="黑体"/>
          <w:spacing w:val="177"/>
          <w:sz w:val="37"/>
          <w:szCs w:val="37"/>
        </w:rPr>
        <w:t xml:space="preserve"> </w:t>
      </w:r>
      <w:r>
        <w:rPr>
          <w:rFonts w:ascii="黑体" w:hAnsi="黑体" w:eastAsia="黑体" w:cs="黑体"/>
          <w:b/>
          <w:bCs/>
          <w:spacing w:val="-2"/>
          <w:sz w:val="37"/>
          <w:szCs w:val="37"/>
        </w:rPr>
        <w:t>(盖章)</w:t>
      </w:r>
    </w:p>
    <w:p w14:paraId="62C9B0FA">
      <w:pPr>
        <w:pStyle w:val="2"/>
        <w:spacing w:line="253" w:lineRule="auto"/>
      </w:pPr>
    </w:p>
    <w:p w14:paraId="1EFC4349">
      <w:pPr>
        <w:pStyle w:val="2"/>
        <w:spacing w:line="254" w:lineRule="auto"/>
      </w:pPr>
    </w:p>
    <w:p w14:paraId="3865D7E5">
      <w:pPr>
        <w:pStyle w:val="2"/>
        <w:spacing w:line="254" w:lineRule="auto"/>
      </w:pPr>
    </w:p>
    <w:p w14:paraId="777745BC">
      <w:pPr>
        <w:spacing w:before="101" w:line="223" w:lineRule="auto"/>
        <w:ind w:left="3254"/>
        <w:rPr>
          <w:rFonts w:ascii="黑体" w:hAnsi="黑体" w:eastAsia="黑体" w:cs="黑体"/>
          <w:sz w:val="31"/>
          <w:szCs w:val="31"/>
        </w:rPr>
      </w:pPr>
      <w:r>
        <w:rPr>
          <w:rFonts w:hint="eastAsia" w:ascii="黑体" w:hAnsi="黑体" w:eastAsia="黑体" w:cs="黑体"/>
          <w:b/>
          <w:bCs/>
          <w:spacing w:val="-10"/>
          <w:sz w:val="31"/>
          <w:szCs w:val="31"/>
          <w:lang w:val="en-US" w:eastAsia="zh-CN"/>
        </w:rPr>
        <w:t xml:space="preserve">2025  </w:t>
      </w:r>
      <w:r>
        <w:rPr>
          <w:rFonts w:ascii="黑体" w:hAnsi="黑体" w:eastAsia="黑体" w:cs="黑体"/>
          <w:b/>
          <w:bCs/>
          <w:spacing w:val="-10"/>
          <w:sz w:val="31"/>
          <w:szCs w:val="31"/>
        </w:rPr>
        <w:t>年</w:t>
      </w:r>
      <w:r>
        <w:rPr>
          <w:rFonts w:ascii="黑体" w:hAnsi="黑体" w:eastAsia="黑体" w:cs="黑体"/>
          <w:spacing w:val="47"/>
          <w:sz w:val="31"/>
          <w:szCs w:val="31"/>
        </w:rPr>
        <w:t xml:space="preserve"> </w:t>
      </w:r>
      <w:r>
        <w:rPr>
          <w:rFonts w:hint="eastAsia" w:ascii="黑体" w:hAnsi="黑体" w:eastAsia="黑体" w:cs="黑体"/>
          <w:spacing w:val="47"/>
          <w:sz w:val="31"/>
          <w:szCs w:val="31"/>
          <w:lang w:val="en-US" w:eastAsia="zh-CN"/>
        </w:rPr>
        <w:t>4</w:t>
      </w:r>
      <w:r>
        <w:rPr>
          <w:rFonts w:ascii="黑体" w:hAnsi="黑体" w:eastAsia="黑体" w:cs="黑体"/>
          <w:spacing w:val="47"/>
          <w:sz w:val="31"/>
          <w:szCs w:val="31"/>
        </w:rPr>
        <w:t xml:space="preserve"> </w:t>
      </w:r>
      <w:r>
        <w:rPr>
          <w:rFonts w:ascii="黑体" w:hAnsi="黑体" w:eastAsia="黑体" w:cs="黑体"/>
          <w:b/>
          <w:bCs/>
          <w:spacing w:val="-10"/>
          <w:sz w:val="31"/>
          <w:szCs w:val="31"/>
        </w:rPr>
        <w:t>月</w:t>
      </w:r>
      <w:r>
        <w:rPr>
          <w:rFonts w:ascii="黑体" w:hAnsi="黑体" w:eastAsia="黑体" w:cs="黑体"/>
          <w:spacing w:val="-10"/>
          <w:sz w:val="31"/>
          <w:szCs w:val="31"/>
        </w:rPr>
        <w:t xml:space="preserve"> </w:t>
      </w:r>
      <w:r>
        <w:rPr>
          <w:rFonts w:hint="eastAsia" w:ascii="黑体" w:hAnsi="黑体" w:eastAsia="黑体" w:cs="黑体"/>
          <w:spacing w:val="-10"/>
          <w:sz w:val="31"/>
          <w:szCs w:val="31"/>
          <w:lang w:val="en-US" w:eastAsia="zh-CN"/>
        </w:rPr>
        <w:t>27</w:t>
      </w:r>
      <w:r>
        <w:rPr>
          <w:rFonts w:ascii="黑体" w:hAnsi="黑体" w:eastAsia="黑体" w:cs="黑体"/>
          <w:spacing w:val="-10"/>
          <w:sz w:val="31"/>
          <w:szCs w:val="31"/>
        </w:rPr>
        <w:t xml:space="preserve"> </w:t>
      </w:r>
      <w:r>
        <w:rPr>
          <w:rFonts w:ascii="黑体" w:hAnsi="黑体" w:eastAsia="黑体" w:cs="黑体"/>
          <w:b/>
          <w:bCs/>
          <w:spacing w:val="-10"/>
          <w:sz w:val="31"/>
          <w:szCs w:val="31"/>
        </w:rPr>
        <w:t>日</w:t>
      </w:r>
    </w:p>
    <w:p w14:paraId="0DE6EC51">
      <w:pPr>
        <w:pStyle w:val="2"/>
        <w:spacing w:line="330" w:lineRule="auto"/>
      </w:pPr>
    </w:p>
    <w:p w14:paraId="683CD183">
      <w:pPr>
        <w:pStyle w:val="2"/>
        <w:spacing w:line="330" w:lineRule="auto"/>
      </w:pPr>
    </w:p>
    <w:p w14:paraId="5506FD23">
      <w:pPr>
        <w:spacing w:line="221" w:lineRule="auto"/>
        <w:rPr>
          <w:rFonts w:ascii="宋体" w:hAnsi="宋体" w:eastAsia="宋体" w:cs="宋体"/>
          <w:sz w:val="21"/>
          <w:szCs w:val="21"/>
        </w:rPr>
        <w:sectPr>
          <w:headerReference r:id="rId5" w:type="default"/>
          <w:footerReference r:id="rId6" w:type="default"/>
          <w:pgSz w:w="11900" w:h="16840"/>
          <w:pgMar w:top="2347" w:right="1785" w:bottom="1240" w:left="1640" w:header="1870" w:footer="877" w:gutter="0"/>
          <w:cols w:space="720" w:num="1"/>
        </w:sectPr>
      </w:pPr>
    </w:p>
    <w:p w14:paraId="1FA5DE84">
      <w:pPr>
        <w:pStyle w:val="2"/>
        <w:spacing w:line="258" w:lineRule="auto"/>
      </w:pPr>
    </w:p>
    <w:p w14:paraId="3710F282">
      <w:pPr>
        <w:pStyle w:val="2"/>
        <w:spacing w:line="258" w:lineRule="auto"/>
      </w:pPr>
    </w:p>
    <w:p w14:paraId="325D7499">
      <w:pPr>
        <w:pStyle w:val="2"/>
        <w:spacing w:line="258" w:lineRule="auto"/>
      </w:pPr>
    </w:p>
    <w:p w14:paraId="1B282576">
      <w:pPr>
        <w:pStyle w:val="2"/>
        <w:spacing w:line="259" w:lineRule="auto"/>
      </w:pPr>
    </w:p>
    <w:p w14:paraId="229429BA">
      <w:pPr>
        <w:pStyle w:val="2"/>
        <w:spacing w:line="259" w:lineRule="auto"/>
      </w:pPr>
    </w:p>
    <w:p w14:paraId="2E5FA278">
      <w:pPr>
        <w:pStyle w:val="2"/>
        <w:spacing w:line="259" w:lineRule="auto"/>
      </w:pPr>
    </w:p>
    <w:p w14:paraId="305BDAC1">
      <w:pPr>
        <w:spacing w:before="137" w:line="218" w:lineRule="auto"/>
        <w:ind w:left="1844" w:leftChars="488" w:hanging="819" w:hangingChars="200"/>
        <w:rPr>
          <w:rFonts w:ascii="宋体" w:hAnsi="宋体" w:eastAsia="宋体" w:cs="宋体"/>
          <w:sz w:val="42"/>
          <w:szCs w:val="42"/>
        </w:rPr>
      </w:pPr>
      <w:r>
        <w:rPr>
          <w:rFonts w:ascii="宋体" w:hAnsi="宋体" w:eastAsia="宋体" w:cs="宋体"/>
          <w:b/>
          <w:bCs/>
          <w:spacing w:val="-6"/>
          <w:sz w:val="42"/>
          <w:szCs w:val="42"/>
        </w:rPr>
        <w:t>2024年度</w:t>
      </w:r>
      <w:r>
        <w:rPr>
          <w:rFonts w:hint="eastAsia" w:ascii="宋体" w:hAnsi="宋体" w:eastAsia="宋体" w:cs="宋体"/>
          <w:b/>
          <w:bCs/>
          <w:spacing w:val="-6"/>
          <w:sz w:val="42"/>
          <w:szCs w:val="42"/>
          <w:lang w:val="en-US" w:eastAsia="zh-CN"/>
        </w:rPr>
        <w:t xml:space="preserve">益阳市水利科技推广中心       </w:t>
      </w:r>
      <w:r>
        <w:rPr>
          <w:rFonts w:ascii="宋体" w:hAnsi="宋体" w:eastAsia="宋体" w:cs="宋体"/>
          <w:b/>
          <w:bCs/>
          <w:spacing w:val="-6"/>
          <w:sz w:val="42"/>
          <w:szCs w:val="42"/>
        </w:rPr>
        <w:t>项目资金部门评价报告</w:t>
      </w:r>
    </w:p>
    <w:p w14:paraId="1EF21558">
      <w:pPr>
        <w:pStyle w:val="2"/>
        <w:spacing w:line="348" w:lineRule="auto"/>
      </w:pPr>
    </w:p>
    <w:p w14:paraId="4B49DCFF">
      <w:pPr>
        <w:pStyle w:val="2"/>
        <w:spacing w:line="349" w:lineRule="auto"/>
      </w:pPr>
    </w:p>
    <w:p w14:paraId="19EE39FE">
      <w:pPr>
        <w:spacing w:before="101" w:line="222" w:lineRule="auto"/>
        <w:ind w:left="634"/>
        <w:outlineLvl w:val="2"/>
        <w:rPr>
          <w:rFonts w:ascii="黑体" w:hAnsi="黑体" w:eastAsia="黑体" w:cs="黑体"/>
          <w:sz w:val="31"/>
          <w:szCs w:val="31"/>
        </w:rPr>
      </w:pPr>
      <w:r>
        <w:rPr>
          <w:rFonts w:ascii="黑体" w:hAnsi="黑体" w:eastAsia="黑体" w:cs="黑体"/>
          <w:b/>
          <w:bCs/>
          <w:spacing w:val="2"/>
          <w:sz w:val="31"/>
          <w:szCs w:val="31"/>
        </w:rPr>
        <w:t>一、项目基本情况</w:t>
      </w:r>
    </w:p>
    <w:p w14:paraId="561EB1C1">
      <w:pPr>
        <w:spacing w:before="240" w:line="226" w:lineRule="auto"/>
        <w:ind w:left="769"/>
        <w:rPr>
          <w:rFonts w:ascii="仿宋" w:hAnsi="仿宋" w:eastAsia="仿宋" w:cs="仿宋"/>
          <w:sz w:val="31"/>
          <w:szCs w:val="31"/>
        </w:rPr>
      </w:pPr>
      <w:r>
        <w:rPr>
          <w:rFonts w:ascii="楷体" w:hAnsi="楷体" w:eastAsia="楷体" w:cs="楷体"/>
          <w:spacing w:val="2"/>
          <w:sz w:val="31"/>
          <w:szCs w:val="31"/>
        </w:rPr>
        <w:t>(</w:t>
      </w:r>
      <w:r>
        <w:rPr>
          <w:rFonts w:ascii="楷体" w:hAnsi="楷体" w:eastAsia="楷体" w:cs="楷体"/>
          <w:spacing w:val="-78"/>
          <w:sz w:val="31"/>
          <w:szCs w:val="31"/>
        </w:rPr>
        <w:t xml:space="preserve"> </w:t>
      </w:r>
      <w:r>
        <w:rPr>
          <w:rFonts w:ascii="楷体" w:hAnsi="楷体" w:eastAsia="楷体" w:cs="楷体"/>
          <w:spacing w:val="2"/>
          <w:sz w:val="31"/>
          <w:szCs w:val="31"/>
        </w:rPr>
        <w:t xml:space="preserve">一)项目概况。 </w:t>
      </w:r>
      <w:r>
        <w:rPr>
          <w:rFonts w:ascii="仿宋" w:hAnsi="仿宋" w:eastAsia="仿宋" w:cs="仿宋"/>
          <w:spacing w:val="2"/>
          <w:sz w:val="31"/>
          <w:szCs w:val="31"/>
        </w:rPr>
        <w:t>主要包括项目立项背景及其主要内容。</w:t>
      </w:r>
    </w:p>
    <w:p w14:paraId="5CD4EA8C">
      <w:pPr>
        <w:kinsoku w:val="0"/>
        <w:autoSpaceDE w:val="0"/>
        <w:autoSpaceDN w:val="0"/>
        <w:adjustRightInd w:val="0"/>
        <w:snapToGrid w:val="0"/>
        <w:spacing w:line="600" w:lineRule="exact"/>
        <w:ind w:firstLine="640" w:firstLineChars="200"/>
        <w:jc w:val="left"/>
        <w:textAlignment w:val="baseline"/>
        <w:rPr>
          <w:rFonts w:ascii="楷体" w:hAnsi="楷体" w:eastAsia="楷体" w:cs="楷体"/>
          <w:spacing w:val="1"/>
          <w:sz w:val="31"/>
          <w:szCs w:val="31"/>
        </w:rPr>
      </w:pPr>
      <w:r>
        <w:rPr>
          <w:rFonts w:hint="eastAsia" w:ascii="Times New Roman" w:hAnsi="Times New Roman" w:eastAsia="仿宋_GB2312" w:cs="Times New Roman"/>
          <w:sz w:val="32"/>
          <w:szCs w:val="32"/>
          <w:lang w:val="en-US" w:eastAsia="zh-CN"/>
        </w:rPr>
        <w:t>益阳市水利科技推广中心市是正科级一类事业单位，核定全额拨款事业</w:t>
      </w:r>
      <w:r>
        <w:rPr>
          <w:rFonts w:hint="eastAsia" w:ascii="Times New Roman" w:hAnsi="Times New Roman" w:eastAsia="仿宋_GB2312" w:cs="Times New Roman"/>
          <w:sz w:val="32"/>
          <w:szCs w:val="32"/>
          <w:lang w:eastAsia="zh-CN"/>
        </w:rPr>
        <w:t>编制</w:t>
      </w:r>
      <w:r>
        <w:rPr>
          <w:rFonts w:hint="eastAsia" w:ascii="Times New Roman" w:hAnsi="Times New Roman" w:eastAsia="仿宋_GB2312" w:cs="Times New Roman"/>
          <w:sz w:val="32"/>
          <w:szCs w:val="32"/>
          <w:lang w:val="en-US" w:eastAsia="zh-CN"/>
        </w:rPr>
        <w:t>6名。主要职责是：</w:t>
      </w:r>
      <w:r>
        <w:rPr>
          <w:rFonts w:hint="eastAsia" w:ascii="Times New Roman" w:hAnsi="Times New Roman" w:eastAsia="仿宋_GB2312" w:cs="Times New Roman"/>
          <w:sz w:val="32"/>
          <w:szCs w:val="32"/>
          <w:lang w:eastAsia="zh-CN"/>
        </w:rPr>
        <w:t>负责组织全市水利新型科技研究和水利新型科技成果的引进与推广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eastAsia="zh-CN"/>
        </w:rPr>
        <w:t>负责作物节水灌溉试验研究，推广节水灌溉成果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eastAsia="zh-CN"/>
        </w:rPr>
        <w:t>负责全市水利科技交流、科技培训、技术咨询等工作。</w:t>
      </w:r>
    </w:p>
    <w:p w14:paraId="151A05AA">
      <w:pPr>
        <w:numPr>
          <w:ilvl w:val="0"/>
          <w:numId w:val="1"/>
        </w:numPr>
        <w:kinsoku w:val="0"/>
        <w:autoSpaceDE w:val="0"/>
        <w:autoSpaceDN w:val="0"/>
        <w:adjustRightInd w:val="0"/>
        <w:snapToGrid w:val="0"/>
        <w:spacing w:line="600" w:lineRule="exact"/>
        <w:ind w:firstLine="624" w:firstLineChars="200"/>
        <w:jc w:val="left"/>
        <w:textAlignment w:val="baseline"/>
        <w:rPr>
          <w:rFonts w:ascii="楷体" w:hAnsi="楷体" w:eastAsia="楷体" w:cs="楷体"/>
          <w:spacing w:val="1"/>
          <w:sz w:val="31"/>
          <w:szCs w:val="31"/>
        </w:rPr>
      </w:pPr>
      <w:r>
        <w:rPr>
          <w:rFonts w:ascii="楷体" w:hAnsi="楷体" w:eastAsia="楷体" w:cs="楷体"/>
          <w:spacing w:val="1"/>
          <w:sz w:val="31"/>
          <w:szCs w:val="31"/>
        </w:rPr>
        <w:t xml:space="preserve">资金使用管理情况。 </w:t>
      </w:r>
    </w:p>
    <w:p w14:paraId="56CCD42D">
      <w:pPr>
        <w:numPr>
          <w:ilvl w:val="0"/>
          <w:numId w:val="0"/>
        </w:numPr>
        <w:kinsoku w:val="0"/>
        <w:autoSpaceDE w:val="0"/>
        <w:autoSpaceDN w:val="0"/>
        <w:adjustRightInd w:val="0"/>
        <w:snapToGrid w:val="0"/>
        <w:spacing w:line="600" w:lineRule="exact"/>
        <w:ind w:firstLine="640" w:firstLineChars="200"/>
        <w:jc w:val="left"/>
        <w:textAlignment w:val="baseline"/>
        <w:rPr>
          <w:rFonts w:ascii="仿宋" w:hAnsi="仿宋" w:eastAsia="仿宋" w:cs="仿宋"/>
          <w:sz w:val="31"/>
          <w:szCs w:val="31"/>
        </w:rPr>
      </w:pPr>
      <w:r>
        <w:rPr>
          <w:rFonts w:hint="eastAsia" w:ascii="Times New Roman" w:hAnsi="Times New Roman" w:eastAsia="仿宋_GB2312" w:cs="Times New Roman"/>
          <w:sz w:val="32"/>
          <w:szCs w:val="32"/>
          <w:lang w:eastAsia="zh-CN"/>
        </w:rPr>
        <w:t>本项目专项资金</w:t>
      </w:r>
      <w:r>
        <w:rPr>
          <w:rFonts w:hint="eastAsia" w:ascii="Times New Roman" w:hAnsi="Times New Roman" w:eastAsia="仿宋_GB2312" w:cs="Times New Roman"/>
          <w:sz w:val="32"/>
          <w:szCs w:val="32"/>
          <w:lang w:val="en-US" w:eastAsia="zh-CN"/>
        </w:rPr>
        <w:t>20万元</w:t>
      </w:r>
      <w:r>
        <w:rPr>
          <w:rFonts w:hint="eastAsia" w:ascii="Times New Roman" w:hAnsi="Times New Roman" w:eastAsia="仿宋_GB2312" w:cs="Times New Roman"/>
          <w:snapToGrid w:val="0"/>
          <w:color w:val="000000"/>
          <w:kern w:val="0"/>
          <w:sz w:val="32"/>
          <w:szCs w:val="32"/>
          <w:lang w:val="en-US" w:eastAsia="zh-CN"/>
        </w:rPr>
        <w:t>来源自</w:t>
      </w:r>
      <w:r>
        <w:rPr>
          <w:rFonts w:hint="eastAsia" w:ascii="Times New Roman" w:hAnsi="Times New Roman" w:eastAsia="仿宋_GB2312" w:cs="Times New Roman"/>
          <w:snapToGrid w:val="0"/>
          <w:color w:val="000000"/>
          <w:kern w:val="0"/>
          <w:sz w:val="32"/>
          <w:szCs w:val="32"/>
        </w:rPr>
        <w:t>202</w:t>
      </w:r>
      <w:r>
        <w:rPr>
          <w:rFonts w:hint="eastAsia" w:ascii="Times New Roman" w:hAnsi="Times New Roman" w:eastAsia="仿宋_GB2312" w:cs="Times New Roman"/>
          <w:snapToGrid w:val="0"/>
          <w:color w:val="000000"/>
          <w:kern w:val="0"/>
          <w:sz w:val="32"/>
          <w:szCs w:val="32"/>
          <w:lang w:val="en-US" w:eastAsia="zh-CN"/>
        </w:rPr>
        <w:t>4</w:t>
      </w:r>
      <w:r>
        <w:rPr>
          <w:rFonts w:hint="eastAsia" w:ascii="Times New Roman" w:hAnsi="Times New Roman" w:eastAsia="仿宋_GB2312" w:cs="Times New Roman"/>
          <w:snapToGrid w:val="0"/>
          <w:color w:val="000000"/>
          <w:kern w:val="0"/>
          <w:sz w:val="32"/>
          <w:szCs w:val="32"/>
        </w:rPr>
        <w:t>年第</w:t>
      </w:r>
      <w:r>
        <w:rPr>
          <w:rFonts w:hint="eastAsia" w:ascii="Times New Roman" w:hAnsi="Times New Roman" w:eastAsia="仿宋_GB2312" w:cs="Times New Roman"/>
          <w:snapToGrid w:val="0"/>
          <w:color w:val="000000"/>
          <w:kern w:val="0"/>
          <w:sz w:val="32"/>
          <w:szCs w:val="32"/>
          <w:lang w:val="en-US" w:eastAsia="zh-CN"/>
        </w:rPr>
        <w:t>四</w:t>
      </w:r>
      <w:r>
        <w:rPr>
          <w:rFonts w:hint="eastAsia" w:ascii="Times New Roman" w:hAnsi="Times New Roman" w:eastAsia="仿宋_GB2312" w:cs="Times New Roman"/>
          <w:snapToGrid w:val="0"/>
          <w:color w:val="000000"/>
          <w:kern w:val="0"/>
          <w:sz w:val="32"/>
          <w:szCs w:val="32"/>
        </w:rPr>
        <w:t>批省级水利发展资金</w:t>
      </w:r>
      <w:r>
        <w:rPr>
          <w:rFonts w:hint="eastAsia" w:ascii="Times New Roman" w:hAnsi="Times New Roman" w:eastAsia="仿宋_GB2312" w:cs="Times New Roman"/>
          <w:sz w:val="32"/>
          <w:szCs w:val="32"/>
          <w:lang w:val="en-US" w:eastAsia="zh-CN"/>
        </w:rPr>
        <w:t>，主要用于益阳市水利科技推广中心试验区水毁设备维修养护</w:t>
      </w:r>
      <w:r>
        <w:rPr>
          <w:rFonts w:hint="eastAsia" w:ascii="仿宋" w:hAnsi="仿宋" w:eastAsia="仿宋" w:cs="仿宋"/>
          <w:b w:val="0"/>
          <w:bCs w:val="0"/>
          <w:sz w:val="32"/>
          <w:szCs w:val="32"/>
          <w:lang w:val="en-US" w:eastAsia="zh-CN"/>
        </w:rPr>
        <w:t>。</w:t>
      </w:r>
    </w:p>
    <w:p w14:paraId="6282A570">
      <w:pPr>
        <w:numPr>
          <w:ilvl w:val="0"/>
          <w:numId w:val="1"/>
        </w:numPr>
        <w:kinsoku w:val="0"/>
        <w:autoSpaceDE w:val="0"/>
        <w:autoSpaceDN w:val="0"/>
        <w:adjustRightInd w:val="0"/>
        <w:snapToGrid w:val="0"/>
        <w:spacing w:line="600" w:lineRule="exact"/>
        <w:ind w:left="0" w:leftChars="0" w:firstLine="644" w:firstLineChars="200"/>
        <w:jc w:val="left"/>
        <w:textAlignment w:val="baseline"/>
        <w:rPr>
          <w:rFonts w:ascii="仿宋" w:hAnsi="仿宋" w:eastAsia="仿宋" w:cs="仿宋"/>
          <w:spacing w:val="6"/>
          <w:sz w:val="31"/>
          <w:szCs w:val="31"/>
        </w:rPr>
      </w:pPr>
      <w:r>
        <w:rPr>
          <w:rFonts w:ascii="楷体" w:hAnsi="楷体" w:eastAsia="楷体" w:cs="楷体"/>
          <w:spacing w:val="6"/>
          <w:sz w:val="31"/>
          <w:szCs w:val="31"/>
        </w:rPr>
        <w:t>绩效目标完成程度</w:t>
      </w:r>
      <w:r>
        <w:rPr>
          <w:rFonts w:ascii="仿宋" w:hAnsi="仿宋" w:eastAsia="仿宋" w:cs="仿宋"/>
          <w:spacing w:val="6"/>
          <w:sz w:val="31"/>
          <w:szCs w:val="31"/>
        </w:rPr>
        <w:t>。</w:t>
      </w:r>
    </w:p>
    <w:p w14:paraId="1360D6E9">
      <w:pPr>
        <w:numPr>
          <w:ilvl w:val="0"/>
          <w:numId w:val="0"/>
        </w:numPr>
        <w:kinsoku w:val="0"/>
        <w:autoSpaceDE w:val="0"/>
        <w:autoSpaceDN w:val="0"/>
        <w:adjustRightInd w:val="0"/>
        <w:snapToGrid w:val="0"/>
        <w:spacing w:line="600" w:lineRule="exact"/>
        <w:ind w:leftChars="200"/>
        <w:jc w:val="left"/>
        <w:textAlignment w:val="baseline"/>
        <w:rPr>
          <w:rFonts w:hint="default" w:ascii="Times New Roman" w:hAnsi="Times New Roman" w:eastAsia="仿宋_GB2312" w:cs="Times New Roman"/>
          <w:snapToGrid w:val="0"/>
          <w:color w:val="000000"/>
          <w:kern w:val="0"/>
          <w:sz w:val="32"/>
          <w:szCs w:val="32"/>
          <w:lang w:val="en-US" w:eastAsia="zh-CN"/>
        </w:rPr>
      </w:pPr>
      <w:r>
        <w:rPr>
          <w:rFonts w:hint="eastAsia" w:ascii="Times New Roman" w:hAnsi="Times New Roman" w:eastAsia="仿宋_GB2312" w:cs="Times New Roman"/>
          <w:sz w:val="32"/>
          <w:szCs w:val="32"/>
          <w:lang w:eastAsia="zh-CN"/>
        </w:rPr>
        <w:t>本项目年度预算资金</w:t>
      </w:r>
      <w:r>
        <w:rPr>
          <w:rFonts w:hint="eastAsia" w:ascii="Times New Roman" w:hAnsi="Times New Roman" w:eastAsia="仿宋_GB2312" w:cs="Times New Roman"/>
          <w:sz w:val="32"/>
          <w:szCs w:val="32"/>
          <w:lang w:val="en-US" w:eastAsia="zh-CN"/>
        </w:rPr>
        <w:t>20万元，2024年度完成所有项目。</w:t>
      </w:r>
    </w:p>
    <w:p w14:paraId="24C68BAF">
      <w:pPr>
        <w:spacing w:before="232" w:line="222" w:lineRule="auto"/>
        <w:ind w:firstLine="638" w:firstLineChars="200"/>
        <w:rPr>
          <w:rFonts w:ascii="黑体" w:hAnsi="黑体" w:eastAsia="黑体" w:cs="黑体"/>
          <w:sz w:val="31"/>
          <w:szCs w:val="31"/>
        </w:rPr>
      </w:pPr>
      <w:r>
        <w:rPr>
          <w:rFonts w:ascii="黑体" w:hAnsi="黑体" w:eastAsia="黑体" w:cs="黑体"/>
          <w:b/>
          <w:bCs/>
          <w:spacing w:val="4"/>
          <w:sz w:val="31"/>
          <w:szCs w:val="31"/>
        </w:rPr>
        <w:t>二、部门评价工作开展情况</w:t>
      </w:r>
    </w:p>
    <w:p w14:paraId="33796A29">
      <w:pPr>
        <w:numPr>
          <w:ilvl w:val="0"/>
          <w:numId w:val="0"/>
        </w:numPr>
        <w:kinsoku w:val="0"/>
        <w:autoSpaceDE w:val="0"/>
        <w:autoSpaceDN w:val="0"/>
        <w:adjustRightInd w:val="0"/>
        <w:snapToGrid w:val="0"/>
        <w:spacing w:line="600" w:lineRule="exact"/>
        <w:ind w:firstLine="640" w:firstLineChars="200"/>
        <w:jc w:val="left"/>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根据《中共中央国 务院关于全面实施预算绩效管理的意见》(中发〔2018〕34号)、 《益阳市预算支出绩效评价管理办法》(益财绩〔2022〕405号) 等文件规定，</w:t>
      </w:r>
      <w:r>
        <w:rPr>
          <w:rFonts w:hint="eastAsia" w:ascii="Times New Roman" w:hAnsi="Times New Roman" w:eastAsia="仿宋_GB2312" w:cs="Times New Roman"/>
          <w:sz w:val="32"/>
          <w:szCs w:val="32"/>
          <w:lang w:val="en-US" w:eastAsia="zh-CN"/>
        </w:rPr>
        <w:t>按时</w:t>
      </w:r>
      <w:r>
        <w:rPr>
          <w:rFonts w:hint="eastAsia" w:ascii="Times New Roman" w:hAnsi="Times New Roman" w:eastAsia="仿宋_GB2312" w:cs="Times New Roman"/>
          <w:sz w:val="32"/>
          <w:szCs w:val="32"/>
          <w:lang w:eastAsia="zh-CN"/>
        </w:rPr>
        <w:t>开展2024年度市级预算部门整体支出绩效自评和市级重点项目资金部门评价工作。</w:t>
      </w:r>
    </w:p>
    <w:p w14:paraId="17E72C4A">
      <w:pPr>
        <w:spacing w:before="248" w:line="222" w:lineRule="auto"/>
        <w:ind w:left="684"/>
        <w:rPr>
          <w:rFonts w:ascii="黑体" w:hAnsi="黑体" w:eastAsia="黑体" w:cs="黑体"/>
          <w:sz w:val="31"/>
          <w:szCs w:val="31"/>
        </w:rPr>
      </w:pPr>
      <w:r>
        <w:rPr>
          <w:rFonts w:ascii="黑体" w:hAnsi="黑体" w:eastAsia="黑体" w:cs="黑体"/>
          <w:b/>
          <w:bCs/>
          <w:sz w:val="31"/>
          <w:szCs w:val="31"/>
        </w:rPr>
        <w:t>三、综合评价结论</w:t>
      </w:r>
    </w:p>
    <w:p w14:paraId="31C5D594">
      <w:pPr>
        <w:spacing w:before="237" w:line="381" w:lineRule="auto"/>
        <w:ind w:firstLine="679"/>
        <w:jc w:val="both"/>
        <w:rPr>
          <w:rFonts w:hint="eastAsia" w:ascii="仿宋" w:hAnsi="仿宋" w:eastAsia="仿宋" w:cs="仿宋"/>
          <w:sz w:val="31"/>
          <w:szCs w:val="31"/>
          <w:lang w:eastAsia="zh-CN"/>
        </w:rPr>
      </w:pPr>
      <w:r>
        <w:rPr>
          <w:rFonts w:hint="eastAsia" w:ascii="仿宋_GB2312" w:hAnsi="仿宋" w:eastAsia="仿宋_GB2312" w:cs="仿宋"/>
          <w:color w:val="000000"/>
          <w:sz w:val="32"/>
          <w:szCs w:val="32"/>
          <w:lang w:val="en-US" w:eastAsia="zh-CN"/>
        </w:rPr>
        <w:t>我单位绩效自评结果为98.5分，绩效信息按时间节点及时进行了公开，评价等级为“优秀”。</w:t>
      </w:r>
    </w:p>
    <w:p w14:paraId="198DC61E">
      <w:pPr>
        <w:spacing w:before="2" w:line="212" w:lineRule="auto"/>
        <w:ind w:left="684"/>
        <w:outlineLvl w:val="2"/>
        <w:rPr>
          <w:rFonts w:ascii="黑体" w:hAnsi="黑体" w:eastAsia="黑体" w:cs="黑体"/>
          <w:sz w:val="31"/>
          <w:szCs w:val="31"/>
        </w:rPr>
      </w:pPr>
      <w:r>
        <w:rPr>
          <w:rFonts w:ascii="黑体" w:hAnsi="黑体" w:eastAsia="黑体" w:cs="黑体"/>
          <w:b/>
          <w:bCs/>
          <w:spacing w:val="9"/>
          <w:sz w:val="31"/>
          <w:szCs w:val="31"/>
        </w:rPr>
        <w:t>四、绩效评价指标分析(根据附件评分表，逐项进行分析)</w:t>
      </w:r>
    </w:p>
    <w:p w14:paraId="746FAEBC">
      <w:pPr>
        <w:spacing w:before="296" w:line="224" w:lineRule="auto"/>
        <w:ind w:left="859"/>
        <w:rPr>
          <w:rFonts w:ascii="楷体" w:hAnsi="楷体" w:eastAsia="楷体" w:cs="楷体"/>
          <w:sz w:val="31"/>
          <w:szCs w:val="31"/>
        </w:rPr>
      </w:pPr>
      <w:r>
        <w:rPr>
          <w:rFonts w:ascii="楷体" w:hAnsi="楷体" w:eastAsia="楷体" w:cs="楷体"/>
          <w:spacing w:val="22"/>
          <w:sz w:val="31"/>
          <w:szCs w:val="31"/>
        </w:rPr>
        <w:t>(一)预算支出决策情况</w:t>
      </w:r>
      <w:bookmarkStart w:id="0" w:name="_GoBack"/>
      <w:bookmarkEnd w:id="0"/>
    </w:p>
    <w:p w14:paraId="39938D8B">
      <w:pPr>
        <w:kinsoku w:val="0"/>
        <w:autoSpaceDE w:val="0"/>
        <w:autoSpaceDN w:val="0"/>
        <w:adjustRightInd w:val="0"/>
        <w:snapToGrid w:val="0"/>
        <w:spacing w:line="600" w:lineRule="exact"/>
        <w:ind w:firstLine="640" w:firstLineChars="200"/>
        <w:jc w:val="left"/>
        <w:textAlignment w:val="baseline"/>
        <w:rPr>
          <w:rFonts w:ascii="楷体" w:hAnsi="楷体" w:eastAsia="楷体" w:cs="楷体"/>
          <w:spacing w:val="22"/>
          <w:sz w:val="31"/>
          <w:szCs w:val="31"/>
        </w:rPr>
      </w:pPr>
      <w:r>
        <w:rPr>
          <w:rFonts w:hint="eastAsia" w:ascii="仿宋" w:hAnsi="仿宋" w:eastAsia="仿宋" w:cs="仿宋"/>
          <w:b w:val="0"/>
          <w:bCs w:val="0"/>
          <w:sz w:val="32"/>
          <w:szCs w:val="32"/>
          <w:lang w:val="en-US" w:eastAsia="zh-CN"/>
        </w:rPr>
        <w:t>项目资金使用严格按财政的管理规定执行。</w:t>
      </w:r>
    </w:p>
    <w:p w14:paraId="06523419">
      <w:pPr>
        <w:spacing w:before="258" w:line="227" w:lineRule="auto"/>
        <w:ind w:left="859"/>
        <w:rPr>
          <w:rFonts w:ascii="楷体" w:hAnsi="楷体" w:eastAsia="楷体" w:cs="楷体"/>
          <w:sz w:val="31"/>
          <w:szCs w:val="31"/>
        </w:rPr>
      </w:pPr>
      <w:r>
        <w:rPr>
          <w:rFonts w:ascii="楷体" w:hAnsi="楷体" w:eastAsia="楷体" w:cs="楷体"/>
          <w:spacing w:val="22"/>
          <w:sz w:val="31"/>
          <w:szCs w:val="31"/>
        </w:rPr>
        <w:t>(二)预算执行过程情况</w:t>
      </w:r>
    </w:p>
    <w:p w14:paraId="134F25A3">
      <w:pPr>
        <w:kinsoku w:val="0"/>
        <w:autoSpaceDE w:val="0"/>
        <w:autoSpaceDN w:val="0"/>
        <w:adjustRightInd w:val="0"/>
        <w:snapToGrid w:val="0"/>
        <w:spacing w:line="600" w:lineRule="exact"/>
        <w:ind w:firstLine="640" w:firstLineChars="200"/>
        <w:jc w:val="left"/>
        <w:textAlignment w:val="baseline"/>
        <w:outlineLvl w:val="1"/>
        <w:rPr>
          <w:rFonts w:hint="eastAsia" w:ascii="Times New Roman" w:hAnsi="Times New Roman" w:eastAsia="仿宋_GB2312" w:cs="Times New Roman"/>
          <w:sz w:val="32"/>
          <w:szCs w:val="32"/>
          <w:lang w:eastAsia="zh-CN"/>
        </w:rPr>
      </w:pPr>
      <w:r>
        <w:rPr>
          <w:rFonts w:hint="eastAsia" w:ascii="仿宋" w:hAnsi="仿宋" w:eastAsia="仿宋" w:cs="仿宋"/>
          <w:b w:val="0"/>
          <w:bCs w:val="0"/>
          <w:sz w:val="32"/>
          <w:szCs w:val="32"/>
          <w:lang w:val="en-US" w:eastAsia="zh-CN"/>
        </w:rPr>
        <w:t>本单位预算安排工程项目收入20万元，实际支出20万元，用于</w:t>
      </w:r>
      <w:r>
        <w:rPr>
          <w:rFonts w:hint="eastAsia" w:ascii="Times New Roman" w:hAnsi="Times New Roman" w:eastAsia="仿宋_GB2312" w:cs="Times New Roman"/>
          <w:sz w:val="32"/>
          <w:szCs w:val="32"/>
          <w:lang w:val="en-US" w:eastAsia="zh-CN"/>
        </w:rPr>
        <w:t>试验区水毁设备的维修养护</w:t>
      </w:r>
      <w:r>
        <w:rPr>
          <w:rFonts w:hint="eastAsia" w:ascii="仿宋" w:hAnsi="仿宋" w:eastAsia="仿宋" w:cs="仿宋"/>
          <w:b w:val="0"/>
          <w:bCs w:val="0"/>
          <w:sz w:val="32"/>
          <w:szCs w:val="32"/>
          <w:lang w:val="en-US" w:eastAsia="zh-CN"/>
        </w:rPr>
        <w:t>。</w:t>
      </w:r>
    </w:p>
    <w:p w14:paraId="3448FEAA">
      <w:pPr>
        <w:kinsoku w:val="0"/>
        <w:autoSpaceDE w:val="0"/>
        <w:autoSpaceDN w:val="0"/>
        <w:adjustRightInd w:val="0"/>
        <w:snapToGrid w:val="0"/>
        <w:spacing w:line="600" w:lineRule="exact"/>
        <w:ind w:firstLine="640" w:firstLineChars="200"/>
        <w:jc w:val="left"/>
        <w:textAlignment w:val="baseline"/>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本项目工期为11天，开工日期为2024年12月4日，完工日期为12月14日，并于2024年12月15日完成验收。</w:t>
      </w:r>
    </w:p>
    <w:p w14:paraId="73789BB0">
      <w:pPr>
        <w:spacing w:before="234" w:line="223" w:lineRule="auto"/>
        <w:ind w:left="859"/>
        <w:rPr>
          <w:rFonts w:ascii="楷体" w:hAnsi="楷体" w:eastAsia="楷体" w:cs="楷体"/>
          <w:sz w:val="31"/>
          <w:szCs w:val="31"/>
        </w:rPr>
      </w:pPr>
      <w:r>
        <w:rPr>
          <w:rFonts w:ascii="楷体" w:hAnsi="楷体" w:eastAsia="楷体" w:cs="楷体"/>
          <w:spacing w:val="22"/>
          <w:sz w:val="31"/>
          <w:szCs w:val="31"/>
        </w:rPr>
        <w:t>(三)预算支出产出情况</w:t>
      </w:r>
    </w:p>
    <w:p w14:paraId="145F0AE4">
      <w:pPr>
        <w:numPr>
          <w:ilvl w:val="0"/>
          <w:numId w:val="0"/>
        </w:numPr>
        <w:kinsoku w:val="0"/>
        <w:autoSpaceDE w:val="0"/>
        <w:autoSpaceDN w:val="0"/>
        <w:adjustRightInd w:val="0"/>
        <w:snapToGrid w:val="0"/>
        <w:spacing w:line="600" w:lineRule="exact"/>
        <w:ind w:firstLine="640" w:firstLineChars="200"/>
        <w:jc w:val="left"/>
        <w:textAlignment w:val="baseline"/>
        <w:rPr>
          <w:rFonts w:ascii="楷体" w:hAnsi="楷体" w:eastAsia="楷体" w:cs="楷体"/>
          <w:spacing w:val="22"/>
          <w:sz w:val="31"/>
          <w:szCs w:val="31"/>
        </w:rPr>
      </w:pPr>
      <w:r>
        <w:rPr>
          <w:rFonts w:hint="eastAsia" w:ascii="Times New Roman" w:hAnsi="Times New Roman" w:eastAsia="仿宋_GB2312" w:cs="Times New Roman"/>
          <w:sz w:val="32"/>
          <w:szCs w:val="32"/>
          <w:lang w:eastAsia="zh-CN"/>
        </w:rPr>
        <w:t>完成</w:t>
      </w:r>
      <w:r>
        <w:rPr>
          <w:rFonts w:hint="eastAsia" w:ascii="Times New Roman" w:hAnsi="Times New Roman" w:eastAsia="仿宋_GB2312" w:cs="Times New Roman"/>
          <w:sz w:val="32"/>
          <w:szCs w:val="32"/>
          <w:lang w:val="en-US" w:eastAsia="zh-CN"/>
        </w:rPr>
        <w:t>水利科技推广中心维修试验区设备维修养护，确保灌溉试验等运行正常</w:t>
      </w:r>
      <w:r>
        <w:rPr>
          <w:rFonts w:hint="eastAsia" w:ascii="Times New Roman" w:hAnsi="Times New Roman" w:eastAsia="仿宋_GB2312" w:cs="Times New Roman"/>
          <w:sz w:val="32"/>
          <w:szCs w:val="32"/>
          <w:lang w:eastAsia="zh-CN"/>
        </w:rPr>
        <w:t>。</w:t>
      </w:r>
    </w:p>
    <w:p w14:paraId="5DB20EC3">
      <w:pPr>
        <w:numPr>
          <w:ilvl w:val="0"/>
          <w:numId w:val="1"/>
        </w:numPr>
        <w:spacing w:before="251" w:line="227" w:lineRule="auto"/>
        <w:ind w:left="0" w:leftChars="0" w:firstLine="708" w:firstLineChars="200"/>
        <w:rPr>
          <w:rFonts w:ascii="楷体" w:hAnsi="楷体" w:eastAsia="楷体" w:cs="楷体"/>
          <w:spacing w:val="22"/>
          <w:sz w:val="31"/>
          <w:szCs w:val="31"/>
        </w:rPr>
      </w:pPr>
      <w:r>
        <w:rPr>
          <w:rFonts w:ascii="楷体" w:hAnsi="楷体" w:eastAsia="楷体" w:cs="楷体"/>
          <w:spacing w:val="22"/>
          <w:sz w:val="31"/>
          <w:szCs w:val="31"/>
        </w:rPr>
        <w:t>预算支出效益情况</w:t>
      </w:r>
    </w:p>
    <w:p w14:paraId="06AD810C">
      <w:pPr>
        <w:spacing w:before="98" w:line="222" w:lineRule="auto"/>
        <w:ind w:firstLine="650" w:firstLineChars="200"/>
        <w:outlineLvl w:val="2"/>
        <w:rPr>
          <w:rFonts w:ascii="黑体" w:hAnsi="黑体" w:eastAsia="黑体" w:cs="黑体"/>
          <w:sz w:val="30"/>
          <w:szCs w:val="30"/>
        </w:rPr>
      </w:pPr>
      <w:r>
        <w:rPr>
          <w:rFonts w:ascii="黑体" w:hAnsi="黑体" w:eastAsia="黑体" w:cs="黑体"/>
          <w:b/>
          <w:bCs/>
          <w:spacing w:val="12"/>
          <w:sz w:val="30"/>
          <w:szCs w:val="30"/>
        </w:rPr>
        <w:t>五、存在的问题和改进措施</w:t>
      </w:r>
    </w:p>
    <w:p w14:paraId="35E0B3EE">
      <w:pPr>
        <w:spacing w:before="253" w:line="382" w:lineRule="auto"/>
        <w:ind w:left="36" w:firstLine="619"/>
        <w:jc w:val="both"/>
        <w:rPr>
          <w:rFonts w:ascii="仿宋" w:hAnsi="仿宋" w:eastAsia="仿宋" w:cs="仿宋"/>
          <w:sz w:val="30"/>
          <w:szCs w:val="30"/>
        </w:rPr>
      </w:pPr>
      <w:r>
        <w:rPr>
          <w:rFonts w:ascii="仿宋" w:hAnsi="仿宋" w:eastAsia="仿宋" w:cs="仿宋"/>
          <w:spacing w:val="22"/>
          <w:sz w:val="30"/>
          <w:szCs w:val="30"/>
        </w:rPr>
        <w:t>包括总体绩效目标和绩效指标未完成的原因和下一步改进</w:t>
      </w:r>
      <w:r>
        <w:rPr>
          <w:rFonts w:ascii="仿宋" w:hAnsi="仿宋" w:eastAsia="仿宋" w:cs="仿宋"/>
          <w:spacing w:val="9"/>
          <w:sz w:val="30"/>
          <w:szCs w:val="30"/>
        </w:rPr>
        <w:t xml:space="preserve"> </w:t>
      </w:r>
      <w:r>
        <w:rPr>
          <w:rFonts w:ascii="仿宋" w:hAnsi="仿宋" w:eastAsia="仿宋" w:cs="仿宋"/>
          <w:spacing w:val="10"/>
          <w:sz w:val="30"/>
          <w:szCs w:val="30"/>
        </w:rPr>
        <w:t>措施，资金安排使用过程中或项目实施过程中存在的问题、改进</w:t>
      </w:r>
      <w:r>
        <w:rPr>
          <w:rFonts w:ascii="仿宋" w:hAnsi="仿宋" w:eastAsia="仿宋" w:cs="仿宋"/>
          <w:sz w:val="30"/>
          <w:szCs w:val="30"/>
        </w:rPr>
        <w:t xml:space="preserve"> </w:t>
      </w:r>
      <w:r>
        <w:rPr>
          <w:rFonts w:ascii="仿宋" w:hAnsi="仿宋" w:eastAsia="仿宋" w:cs="仿宋"/>
          <w:spacing w:val="7"/>
          <w:sz w:val="30"/>
          <w:szCs w:val="30"/>
        </w:rPr>
        <w:t>措施和有关建议等。</w:t>
      </w:r>
    </w:p>
    <w:p w14:paraId="4E340891">
      <w:pPr>
        <w:spacing w:before="7" w:line="222" w:lineRule="auto"/>
        <w:ind w:left="656"/>
        <w:rPr>
          <w:rFonts w:ascii="黑体" w:hAnsi="黑体" w:eastAsia="黑体" w:cs="黑体"/>
          <w:sz w:val="30"/>
          <w:szCs w:val="30"/>
        </w:rPr>
      </w:pPr>
      <w:r>
        <w:rPr>
          <w:rFonts w:ascii="黑体" w:hAnsi="黑体" w:eastAsia="黑体" w:cs="黑体"/>
          <w:spacing w:val="16"/>
          <w:sz w:val="30"/>
          <w:szCs w:val="30"/>
        </w:rPr>
        <w:t>六、部门评价结果拟应用和公开情况</w:t>
      </w:r>
    </w:p>
    <w:p w14:paraId="29BD0D74">
      <w:pPr>
        <w:spacing w:before="248" w:line="221" w:lineRule="auto"/>
        <w:ind w:left="656"/>
        <w:rPr>
          <w:rFonts w:ascii="黑体" w:hAnsi="黑体" w:eastAsia="黑体" w:cs="黑体"/>
          <w:sz w:val="30"/>
          <w:szCs w:val="30"/>
        </w:rPr>
      </w:pPr>
      <w:r>
        <w:rPr>
          <w:rFonts w:ascii="黑体" w:hAnsi="黑体" w:eastAsia="黑体" w:cs="黑体"/>
          <w:spacing w:val="15"/>
          <w:sz w:val="30"/>
          <w:szCs w:val="30"/>
        </w:rPr>
        <w:t>七、其他需要说明的问题</w:t>
      </w:r>
    </w:p>
    <w:p w14:paraId="24335A96">
      <w:pPr>
        <w:pStyle w:val="2"/>
        <w:spacing w:line="268" w:lineRule="auto"/>
      </w:pPr>
    </w:p>
    <w:p w14:paraId="556C0199">
      <w:pPr>
        <w:pStyle w:val="2"/>
        <w:spacing w:line="269" w:lineRule="auto"/>
        <w:ind w:firstLine="640" w:firstLineChars="200"/>
        <w:rPr>
          <w:rFonts w:hint="eastAsia" w:ascii="仿宋" w:hAnsi="仿宋" w:eastAsia="仿宋" w:cs="仿宋"/>
          <w:snapToGrid w:val="0"/>
          <w:color w:val="000000"/>
          <w:spacing w:val="10"/>
          <w:kern w:val="0"/>
          <w:sz w:val="30"/>
          <w:szCs w:val="30"/>
          <w:lang w:val="en-US" w:eastAsia="zh-CN" w:bidi="ar-SA"/>
        </w:rPr>
      </w:pPr>
      <w:r>
        <w:rPr>
          <w:rFonts w:hint="eastAsia" w:ascii="仿宋" w:hAnsi="仿宋" w:eastAsia="仿宋" w:cs="仿宋"/>
          <w:snapToGrid w:val="0"/>
          <w:color w:val="000000"/>
          <w:spacing w:val="10"/>
          <w:kern w:val="0"/>
          <w:sz w:val="30"/>
          <w:szCs w:val="30"/>
          <w:lang w:val="en-US" w:eastAsia="zh-CN" w:bidi="ar-SA"/>
        </w:rPr>
        <w:t>无</w:t>
      </w:r>
    </w:p>
    <w:p w14:paraId="55B327B3">
      <w:pPr>
        <w:pStyle w:val="2"/>
        <w:spacing w:line="269" w:lineRule="auto"/>
      </w:pPr>
    </w:p>
    <w:p w14:paraId="051161C4">
      <w:pPr>
        <w:spacing w:before="98" w:line="222" w:lineRule="auto"/>
        <w:ind w:left="656"/>
        <w:rPr>
          <w:rFonts w:ascii="仿宋" w:hAnsi="仿宋" w:eastAsia="仿宋" w:cs="仿宋"/>
          <w:sz w:val="30"/>
          <w:szCs w:val="30"/>
        </w:rPr>
      </w:pPr>
      <w:r>
        <w:rPr>
          <w:rFonts w:ascii="仿宋" w:hAnsi="仿宋" w:eastAsia="仿宋" w:cs="仿宋"/>
          <w:spacing w:val="14"/>
          <w:sz w:val="30"/>
          <w:szCs w:val="30"/>
        </w:rPr>
        <w:t>附件：部门评价绩效指标评分表</w:t>
      </w:r>
    </w:p>
    <w:sectPr>
      <w:headerReference r:id="rId7" w:type="default"/>
      <w:footerReference r:id="rId8" w:type="default"/>
      <w:pgSz w:w="11900" w:h="16840"/>
      <w:pgMar w:top="400" w:right="1390" w:bottom="1271" w:left="1440"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05450">
    <w:pPr>
      <w:spacing w:before="1" w:line="232" w:lineRule="auto"/>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1BB80">
    <w:pPr>
      <w:spacing w:line="234" w:lineRule="auto"/>
      <w:ind w:left="189"/>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F5A5F">
    <w:pPr>
      <w:spacing w:before="81" w:line="224" w:lineRule="auto"/>
      <w:ind w:left="14"/>
      <w:rPr>
        <w:rFonts w:ascii="黑体" w:hAnsi="黑体" w:eastAsia="黑体" w:cs="黑体"/>
        <w:sz w:val="31"/>
        <w:szCs w:val="31"/>
      </w:rPr>
    </w:pPr>
    <w:r>
      <w:rPr>
        <w:rFonts w:ascii="黑体" w:hAnsi="黑体" w:eastAsia="黑体" w:cs="黑体"/>
        <w:b/>
        <w:bCs/>
        <w:spacing w:val="24"/>
        <w:sz w:val="31"/>
        <w:szCs w:val="31"/>
      </w:rPr>
      <w:t>附件6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07DD1">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4C8C68"/>
    <w:multiLevelType w:val="singleLevel"/>
    <w:tmpl w:val="124C8C68"/>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8C492B"/>
    <w:rsid w:val="14B051F1"/>
    <w:rsid w:val="17005FBC"/>
    <w:rsid w:val="1E676920"/>
    <w:rsid w:val="2E3F239E"/>
    <w:rsid w:val="34BB30CA"/>
    <w:rsid w:val="369C7176"/>
    <w:rsid w:val="377D6D5D"/>
    <w:rsid w:val="39273424"/>
    <w:rsid w:val="39CE38A0"/>
    <w:rsid w:val="3A1F234D"/>
    <w:rsid w:val="46625A9C"/>
    <w:rsid w:val="4E3E0B9C"/>
    <w:rsid w:val="4FD96283"/>
    <w:rsid w:val="520D01DE"/>
    <w:rsid w:val="527C7EE5"/>
    <w:rsid w:val="5EEE3F19"/>
    <w:rsid w:val="5FE21E41"/>
    <w:rsid w:val="60305534"/>
    <w:rsid w:val="652F7FDC"/>
    <w:rsid w:val="655A393D"/>
    <w:rsid w:val="6BCF6E80"/>
    <w:rsid w:val="774E15A1"/>
    <w:rsid w:val="77CB0E43"/>
    <w:rsid w:val="797C2E06"/>
    <w:rsid w:val="7FA547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799</Words>
  <Characters>845</Characters>
  <TotalTime>0</TotalTime>
  <ScaleCrop>false</ScaleCrop>
  <LinksUpToDate>false</LinksUpToDate>
  <CharactersWithSpaces>872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2025-04-28T14:10:00Z</dcterms:created>
  <dc:creator>Lenovo</dc:creator>
  <cp:lastModifiedBy>咖啡</cp:lastModifiedBy>
  <dcterms:modified xsi:type="dcterms:W3CDTF">2025-04-28T09:22:31Z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2025-04-28T14:10:54Z</vt:filetime>
  </property>
  <property fmtid="{D5CDD505-2E9C-101B-9397-08002B2CF9AE}" pid="4" name="UsrData">
    <vt:lpwstr>680f1be7da9aad0020c3082cwl</vt:lpwstr>
  </property>
  <property fmtid="{D5CDD505-2E9C-101B-9397-08002B2CF9AE}" pid="5" name="KSOTemplateDocerSaveRecord">
    <vt:lpwstr>eyJoZGlkIjoiNGI3M2Q5MDY5MDQwZjdjM2Q0MjFhNzdkZTE4MzhlNTgiLCJ1c2VySWQiOiIyMzQ5NjQ1MDAifQ==</vt:lpwstr>
  </property>
  <property fmtid="{D5CDD505-2E9C-101B-9397-08002B2CF9AE}" pid="6" name="KSOProductBuildVer">
    <vt:lpwstr>2052-12.1.0.20784</vt:lpwstr>
  </property>
  <property fmtid="{D5CDD505-2E9C-101B-9397-08002B2CF9AE}" pid="7" name="ICV">
    <vt:lpwstr>CC4A28C7A45D4FD6A48E78FB23606A90_12</vt:lpwstr>
  </property>
</Properties>
</file>