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DBDAE">
      <w:pPr>
        <w:ind w:firstLine="723" w:firstLineChars="200"/>
        <w:jc w:val="center"/>
        <w:rPr>
          <w:rFonts w:hint="eastAsia" w:ascii="黑体" w:hAnsi="黑体" w:eastAsia="黑体" w:cs="黑体"/>
          <w:b/>
          <w:color w:val="000000"/>
          <w:kern w:val="0"/>
          <w:sz w:val="36"/>
          <w:szCs w:val="36"/>
        </w:rPr>
      </w:pPr>
      <w:r>
        <w:rPr>
          <w:rFonts w:hint="eastAsia" w:ascii="黑体" w:hAnsi="黑体" w:eastAsia="黑体" w:cs="黑体"/>
          <w:b/>
          <w:color w:val="000000"/>
          <w:kern w:val="0"/>
          <w:sz w:val="36"/>
          <w:szCs w:val="36"/>
        </w:rPr>
        <w:t>202</w:t>
      </w:r>
      <w:r>
        <w:rPr>
          <w:rFonts w:hint="eastAsia" w:ascii="黑体" w:hAnsi="黑体" w:eastAsia="黑体" w:cs="黑体"/>
          <w:b/>
          <w:color w:val="000000"/>
          <w:kern w:val="0"/>
          <w:sz w:val="36"/>
          <w:szCs w:val="36"/>
          <w:lang w:val="en-US" w:eastAsia="zh-CN"/>
        </w:rPr>
        <w:t>3</w:t>
      </w:r>
      <w:r>
        <w:rPr>
          <w:rFonts w:hint="eastAsia" w:ascii="黑体" w:hAnsi="黑体" w:eastAsia="黑体" w:cs="黑体"/>
          <w:b/>
          <w:color w:val="000000"/>
          <w:kern w:val="0"/>
          <w:sz w:val="36"/>
          <w:szCs w:val="36"/>
        </w:rPr>
        <w:t>年度上海联络处整体支出绩效评价报告</w:t>
      </w:r>
    </w:p>
    <w:p w14:paraId="55D71A97">
      <w:pPr>
        <w:ind w:firstLine="640" w:firstLineChars="200"/>
        <w:jc w:val="left"/>
        <w:rPr>
          <w:rFonts w:ascii="宋体" w:hAnsi="宋体" w:cs="黑体"/>
          <w:color w:val="000000"/>
          <w:kern w:val="0"/>
          <w:sz w:val="32"/>
          <w:szCs w:val="32"/>
        </w:rPr>
      </w:pPr>
    </w:p>
    <w:p w14:paraId="20BBADFE">
      <w:pPr>
        <w:widowControl/>
        <w:shd w:val="clear" w:color="auto" w:fill="FFFFFF"/>
        <w:spacing w:line="540" w:lineRule="atLeast"/>
        <w:jc w:val="left"/>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一、部门概况</w:t>
      </w:r>
    </w:p>
    <w:p w14:paraId="4EE93428">
      <w:pPr>
        <w:widowControl/>
        <w:shd w:val="clear" w:color="auto" w:fill="FFFFFF"/>
        <w:spacing w:line="600" w:lineRule="atLeast"/>
        <w:rPr>
          <w:rFonts w:ascii="微软雅黑" w:hAnsi="微软雅黑" w:eastAsia="微软雅黑" w:cs="宋体"/>
          <w:color w:val="333333"/>
          <w:kern w:val="0"/>
          <w:szCs w:val="21"/>
        </w:rPr>
      </w:pPr>
      <w:r>
        <w:rPr>
          <w:rFonts w:hint="eastAsia" w:ascii="宋体" w:hAnsi="宋体" w:cs="宋体"/>
          <w:b/>
          <w:bCs/>
          <w:color w:val="333333"/>
          <w:kern w:val="0"/>
          <w:sz w:val="32"/>
          <w:szCs w:val="32"/>
        </w:rPr>
        <w:t>   </w:t>
      </w:r>
      <w:r>
        <w:rPr>
          <w:rFonts w:hint="eastAsia" w:ascii="仿宋" w:hAnsi="仿宋" w:eastAsia="仿宋" w:cs="宋体"/>
          <w:b/>
          <w:bCs/>
          <w:color w:val="333333"/>
          <w:kern w:val="0"/>
          <w:sz w:val="32"/>
          <w:szCs w:val="32"/>
        </w:rPr>
        <w:t>（一）部门基本情况</w:t>
      </w:r>
    </w:p>
    <w:p w14:paraId="0C9DF90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1、部门组织机构及人员。本部门2023年末编制人数3人，其中：行政编制3人，临聘人员1人，退休人员1人，实有人数5人。</w:t>
      </w:r>
    </w:p>
    <w:p w14:paraId="6AF1D35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2、部门职能概述。主要职责有：为收集了解上海地区重要经济信息、沟通与上海市有关部门工作联系，配合益阳有关部门和单位在上海及长江三角洲地区开展联络沟通、招商引资等各项工作。</w:t>
      </w:r>
    </w:p>
    <w:p w14:paraId="5D09B9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（二）部门内部管理情况</w:t>
      </w:r>
    </w:p>
    <w:p w14:paraId="3DC9BF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结合联络处实际情况重新制定内部管理制度。2023年，为认真贯彻执行中央八项规定和财经政策、法规、制度，加强监督，维护财经纪律，根据《中华人民共和国会计法》、《会计基础工作规范》的要求，结合我处实际情况更新制定《益阳市人民政府驻上海联络处财务管理制度》、《益阳市人民政府驻上海联络处差旅费管理办法》、《益阳市人民政府驻上海联络处公务接待管理制度》、《益阳市人民政府驻上海联络处固定资产管理办法》等制度，使我处的内部管理工作规范化、制度化。</w:t>
      </w:r>
    </w:p>
    <w:p w14:paraId="76DDB6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二是合理科学的编制预算。成立益阳市人民政府驻上海联络处预算绩效管理工作领导小组，制订《益阳市人民政府驻上海联络处预算管理办法》</w:t>
      </w:r>
      <w:bookmarkStart w:id="0" w:name="_GoBack"/>
      <w:bookmarkEnd w:id="0"/>
      <w:r>
        <w:rPr>
          <w:rFonts w:hint="eastAsia" w:ascii="仿宋" w:hAnsi="仿宋" w:eastAsia="仿宋" w:cs="仿宋"/>
          <w:sz w:val="32"/>
          <w:szCs w:val="32"/>
          <w:lang w:val="en-US" w:eastAsia="zh-CN"/>
        </w:rPr>
        <w:t>，进一步加强部门预算收支的统一管理；合理界定部门预算支出范围，完善支出标准体系，规范和细化预算编制，加强支出的分类管理，统筹安排各项支出，全面推进预决算公开透明。</w:t>
      </w:r>
    </w:p>
    <w:p w14:paraId="251A41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严格对“三公经费”管理。严格公务接待，我处公务接待坚持节约简朴、严禁奢侈浪费的原则，加强对本单位公务接待费用列支的管理和监督，建立健全公务接待审批制度，明确公务接待范围和接待标准。严格公车管理。强化对车辆维修、加油、保险等环节的内部控制，严格执行公务用车管理和审批。</w:t>
      </w:r>
    </w:p>
    <w:p w14:paraId="08DB37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（三）2023年度重点工作任务及完成情况</w:t>
      </w:r>
    </w:p>
    <w:p w14:paraId="47F64B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所做主要工作(一)深入开展主题教育，理想信念有新提升。今年来，我处支部按照市政府办党组的统一安排，牢牢把握“学思想、强党性、重实践、建新功”的总要求，深入开展了学习贯彻习近平新时代中国特色社会主义思想主题教育。一是加强理论学习。今年来，我处支部组织集中学习5次，开展学习交流、专题研讨5次，个人自学每天至少2个小时，做学习笔记20篇以上，按质按量撰写并交流了学习心得体会。原原本本学习了党的二十大报告、《中国共产党章程(修正案)》,重点学习了《习近平新时代中国特色社会主义思想专题摘编》《习近平新时代中国特色社会主义思想学习纲要》《习近平新时代中国特色社会主义思想的世界观和方法论专题摘编》《习近平关于调查研究论述摘编》、省驻沪办党委编印的《支部理论学习提示》等内容。二是参加集中培训。参加了省驻沪单位党委组织开展的学习贯彻党的“二十大精神集中轮训研讨班”“学习贯彻习近平新时代中国特色社会主义思想主题教育读书班”“支部书记(党务干部)能力提升暨党员党性教育培训班”、党委理论学习中心组(扩大)会议专题学习习近平总书记文化思想、益阳市委党校“市管干部学习贯彻党的二十大精神集中轮训研讨班”等。三是学习上级精神。坚持做到每次召开支部会议都安排传达学习内容。今年来，我处认真学习了习近平总书记视察湖南、上海重要讲话和重要指示批示精神，及时跟进学习习近平总书记重要讲话、文章等，传达学习了省委书记沈晓明在省政府驻北京办事处、驻上海办事处调研时的讲话精神和市委、市政府重要会议精神等。通过开展主题教育，全处同志加强政治理论学习，对照初心使命，深刻检视不足，常学常新、常学常悟，学有所获、学以致用，进一步增强了政治判断力、政治领悟力、政治执行力，更加坚定了理想信念，更加领会了方针政策，更加增强了做好新形势下联络处工作的信心和决心。(二)不断夯实党建基础，支部建设有新成效。一是创建“四抓四促”党建品牌。今年来，结合工作实际，我处支部创建了抓教育促提升、抓管理促规范、抓联络促发展、抓廉洁促自律“四抓四促”党建品牌，主题教育、内部管理、联络服务、廉洁自律等各项工作都取得明显成效。二是认真召开组织生活会。今年我处支部召开组织生活会3次。2月24日，我处支部高质量召开了2022年度组织生活会，支部全体党员参加，入党积极分子、群团代表列席，省驻沪单位党委联点负责同志到会指导并作点评。会前，支部书记与党员、党员与党员之间分别开展了谈心谈话，达到了相互提醒、团结统一、促进工作的效果。每位党员同志认真撰写了党性分析材料，会上认真开展了批评与自我批评，查摆了问题，提出了整改措施和整改时限，会议取得实实在在的效果。三是开展主题党日活动。3月8日，支部全体党员赴南京开展了“铭记历史、自强不息”主题党日活动，瞻仰了侵华日军南京大屠杀遇难同胞纪念馆并缅怀逝者，5月7日瞻仰了四方仓库抗战纪念馆，同志们表示一定要牢记历史，不忘过去，珍爱和平，自强不息。参加了省驻沪单位党委举办的“凝心聚力奋进新征程”系列活动，6月30日瞻仰了张闻天故居、黄炎培故居。四是着力推进为民办实事。联系安化黑茶、沅江黄金芦菇、南县稻虾米等生产企业，了解生产经营情况，联络上海茶叶协会、上海统华食品物流公司、上海云间粮仓等，积极推进“益品”入沪，拓宽销售渠道，帮助企业破解产品销售难题。拜访华东师大教师教育发展学院负责人，积极引进华东师大优质教育资源与益阳合作，帮助破解我市教育综合改革难题。深入乡友企业——湖南罗博思达环保科技有限公司和湖南白云新能源科技有限公司，现场了解企业生产经营情况，积极联系乡友资源，努力帮助企业拓宽销售渠道，纾解企业困难。五是扎实做好党务基础工作。今年来，召开支部会议8次，支部书记讲党课3次，党员上微党课2次、支部书记述职评议2次、民主评议党员1次、完成干部平时考核3次、参加志愿服务2次。按时收缴党费，扎实推进支部“五化建设”,为全市创建文明城市作出努力。按质按量完成了省办党组、驻沪单位党委和市政府办党组交办的各项工作任务。(三)开展“百日冲刺”行动，招商引资有新突破。今年来，我处坚决落实市委、市政府牢固树立“项目为王”招商理念、开展精准招商的要求，特别是按照全市开展招商引资“百日冲刺”行动的部署安排，我处进行了认真研究，制定了“百日冲刺”行动方案，提出了目标，明确了措施，压实了责任。今年我处拜访知名乡友40多人次，考察商会、企业等60多家次，陪同客商来益调研考察7批20余人次，收集上报有价值的招商信息9条。促成上海新城控股、上海中同投资、上海新空直升机、国电投融晟公司等企业负责人来益阳考察；参加省政府驻沪办“四大一促”活动，考察长三角区域企业，加强对接联系，积极牵线搭桥；参访了上海市湖南商会、上海市杭州商会、恒为科技、沪东中华造船集团、江南造船集团、中冶天工南方公司等商会和企业；考察了格科微电子、德耐尔节能科技、达明机器人、上海先导集团、无锡恒大电子等企业，与高层就来益考察、投资进行座谈交流。今年，经我处协调对接，浙江铭煌生物质燃料有限公司和辽宁金亚生物质能源有限公司共投资5亿多元，在安化龙塘镇、桃江武潭镇建设竹产业项目，目前两个项目进展顺利。(四)积极主动拜访联络，综合服务有新作为。一是加大宣传。利用参加调研座谈会、湘商回归工作推进会、合作发展对接研讨会、产业招商专题研讨会、商会联谊会等活动，大力推介益阳产业特点、资源优势、营商环境、招商政策等，擦亮“益山益水，益美益阳”名片，提高益阳的美誉度和影响力。二是主动拜访。认真筹建益阳市政协上海委员工作室，收集整理并更新了80多位知名乡友信息，加强联络拜访，增进乡情乡谊。主动拜访上海市政府合作交流办、上海商会会长联合会、上海市智能制造产业协会等行业协会，促进益沪两地在经济技术、人才、商贸等方面的交流与合作。三是搞好服务。今年来，我处做好8位厅级领导的政务服务工作，做好了市直相关部门和县市区负责人赴上海的协调、联络工作。协助市委组织部、市发改委、市商务局等部门组织的近200名党员干部赴苏州干部学院和浦东干部学院参加培训学习的协调联络工作。做好了市领导参加第六届“进博会”的相关协调服务工作。(五)全面加强从严治党，廉洁自律有新高度。一是加强学习。今年来，支部组织深入学习了《中国共产党廉洁自律准则》《中国共产党纪律处分条例》《中央“八项规定”及实施细则》,认真学习了市政府办党组《2023年党风廉政建设工作要点》、驻市政府办纪检监察组《廉政提醒》。二是以案释纪。学习了《湖北多名干部违规吃喝被处理》《益阳南县通报4起违反中央八项规定精神典型案例》《湖南通报6起违反中央八项规定精神典型问题》《湖南通报8起乡村振兴领域不正之风和腐败问题案例》,收看电视专题片《永远吹冲锋号》等3次，学习《清风益阳》3次，参观了省驻沪单位党委举办的警示教育专题巡展。三是深入排查廉政风险点。根据《市政府办机关纪委2023年关于开展廉政风险排查防控工作的通知》,认真研究并上报了《益阳市政府驻上海联络处廉政风险点暨防范措施一览表》,排查廉政风险点三处，列举了六种表现形式，明确了六项防控措施，压实了防控责任。四是严格规范内部管理。今年来，市委市政府深入开展“执行力提升年”“能力素质提升年”“营商环境提升年”三项行动，同时制定了办文、办会、办事等方面一系列规章制度。我处坚决5业协会等行业协会，促进益沪两地在经济技术、人才、商贸等方面的交流与合作。三是搞好服务。今年来，我处做好8位厅级领导的政务服务工作，做好了市直相关部门和县市区负责人赴上海的协调、联络工作。协助市委组织部、市发改委、市商务局等部门组织的近200名党员干部赴苏州干部学院和浦东干部学院参加培训学习的协调联络工作。做好了市领导参加第六届“进博会”的相关协调服务工作。(五)全面加强从严治党，廉洁自律有新高度。一是加强学习。今年来，支部组织深入学习了《中国共产党廉洁自律准则》《中国共产党纪律处分条例》《中央“八项规定”及实施细则》,认真学习了市政府办党组《2023年党风廉政建设工作要点》、驻市政府办纪检监察组《廉政提醒》。二是以案释纪。学习了《湖北多名干部违规吃喝被处理》《益阳南县通报4起违反中央八项规定精神典型案例》《湖南通报6起违反中央八项规定精神典型问题》《湖南通报8起乡村振兴领域不正之风和腐败问题案例》,收看电视专题片《永远吹冲锋号》等3次，学习《清风益阳》3次，参观了省驻沪单位党委举办的警示教育专题巡展。三是深入排查廉政风险点。根据《市政府办机关纪委2023年关于开展廉政风险排查防控工作的通知》,认真研究并上报了《益阳市政府驻上海联络处廉政风险点暨防范措施一览表》,排查廉政风险点三处，列举了六种表现形式，明确了六项防控措施，压实了防控责任。四是严格规范内部管理。今年来，市委市政府深入开展“执行力提升年”“能力素质提升年”“营商环境提升年”三项行动，同时制定了办文、办会、办事等方面一系列规章制度。我处坚决落实市委市政府工作要求，坚决做到靠制度管权、以制度管人、按制度办事。五是认真履行“一岗双责”。按照职责分工，支部书记切实履行好党风廉政建设第一责任人责任，对全处党风廉政建设负总责，做到与业务工作一起部署、一起落实，其他党员干部负责抓好职责范围内的党风廉政建设，全面压实廉政责任。认真贯彻落实中央“八项规定”及实施细则精神，驰而不息纠治“四风”,全处党员干部始终保持奋发有为、干事创业、清正廉洁的良好精神状态。</w:t>
      </w:r>
    </w:p>
    <w:p w14:paraId="47E376A9">
      <w:pPr>
        <w:widowControl/>
        <w:shd w:val="clear" w:color="auto" w:fill="FFFFFF"/>
        <w:spacing w:line="600" w:lineRule="atLeast"/>
        <w:rPr>
          <w:rFonts w:ascii="微软雅黑" w:hAnsi="微软雅黑" w:eastAsia="微软雅黑" w:cs="宋体"/>
          <w:color w:val="333333"/>
          <w:kern w:val="0"/>
          <w:szCs w:val="21"/>
        </w:rPr>
      </w:pPr>
      <w:r>
        <w:rPr>
          <w:rFonts w:hint="eastAsia" w:ascii="宋体" w:hAnsi="宋体" w:cs="宋体"/>
          <w:color w:val="333333"/>
          <w:kern w:val="0"/>
          <w:sz w:val="32"/>
          <w:szCs w:val="32"/>
        </w:rPr>
        <w:t xml:space="preserve">   </w:t>
      </w:r>
      <w:r>
        <w:rPr>
          <w:rFonts w:hint="eastAsia" w:ascii="黑体" w:hAnsi="黑体" w:eastAsia="黑体" w:cs="宋体"/>
          <w:color w:val="333333"/>
          <w:kern w:val="0"/>
          <w:sz w:val="32"/>
          <w:szCs w:val="32"/>
        </w:rPr>
        <w:t>二、部门整体支出管理及使用情况</w:t>
      </w:r>
    </w:p>
    <w:p w14:paraId="378F74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财政局年初批复2023年度部门预算支出97.06万元。当年实际财政拨款收入114.76万元；实际支出107.51万元，其中基本支出107.45万元内含工资福利支出52.61万元，还有商品服务类支出51.47万元，主要用于办事处办公用房租赁。根据评价体系，我单位自评得分95分。</w:t>
      </w:r>
    </w:p>
    <w:p w14:paraId="299B1EF8">
      <w:pPr>
        <w:widowControl/>
        <w:shd w:val="clear" w:color="auto" w:fill="FFFFFF"/>
        <w:spacing w:line="420" w:lineRule="atLeast"/>
        <w:rPr>
          <w:rFonts w:ascii="微软雅黑" w:hAnsi="微软雅黑" w:eastAsia="微软雅黑" w:cs="宋体"/>
          <w:color w:val="333333"/>
          <w:kern w:val="0"/>
          <w:szCs w:val="21"/>
        </w:rPr>
      </w:pPr>
      <w:r>
        <w:rPr>
          <w:rFonts w:hint="eastAsia" w:ascii="宋体" w:hAnsi="宋体" w:cs="宋体"/>
          <w:color w:val="333333"/>
          <w:kern w:val="0"/>
          <w:sz w:val="32"/>
          <w:szCs w:val="32"/>
        </w:rPr>
        <w:t>  </w:t>
      </w:r>
      <w:r>
        <w:rPr>
          <w:rFonts w:hint="eastAsia" w:ascii="黑体" w:hAnsi="黑体" w:eastAsia="黑体" w:cs="宋体"/>
          <w:color w:val="333333"/>
          <w:kern w:val="0"/>
          <w:sz w:val="32"/>
          <w:szCs w:val="32"/>
        </w:rPr>
        <w:t>三、部门整体支出绩效情况</w:t>
      </w:r>
    </w:p>
    <w:p w14:paraId="3F194F81">
      <w:pPr>
        <w:widowControl/>
        <w:shd w:val="clear" w:color="auto" w:fill="FFFFFF"/>
        <w:spacing w:line="420" w:lineRule="atLeast"/>
        <w:rPr>
          <w:rFonts w:ascii="微软雅黑" w:hAnsi="微软雅黑" w:eastAsia="微软雅黑" w:cs="宋体"/>
          <w:color w:val="333333"/>
          <w:kern w:val="0"/>
          <w:szCs w:val="21"/>
        </w:rPr>
      </w:pPr>
      <w:r>
        <w:rPr>
          <w:rFonts w:hint="eastAsia" w:ascii="宋体" w:hAnsi="宋体" w:cs="宋体"/>
          <w:b/>
          <w:bCs/>
          <w:color w:val="333333"/>
          <w:kern w:val="0"/>
          <w:sz w:val="32"/>
          <w:szCs w:val="32"/>
        </w:rPr>
        <w:t>  </w:t>
      </w:r>
      <w:r>
        <w:rPr>
          <w:rFonts w:hint="eastAsia" w:ascii="仿宋" w:hAnsi="仿宋" w:eastAsia="仿宋" w:cs="宋体"/>
          <w:b/>
          <w:bCs/>
          <w:color w:val="333333"/>
          <w:kern w:val="0"/>
          <w:sz w:val="32"/>
          <w:szCs w:val="32"/>
        </w:rPr>
        <w:t>(一)评价得分。</w:t>
      </w:r>
    </w:p>
    <w:p w14:paraId="310F0B02">
      <w:pPr>
        <w:widowControl/>
        <w:shd w:val="clear" w:color="auto" w:fill="FFFFFF"/>
        <w:ind w:firstLine="645"/>
        <w:jc w:val="left"/>
        <w:rPr>
          <w:rFonts w:ascii="微软雅黑" w:hAnsi="微软雅黑" w:eastAsia="微软雅黑" w:cs="宋体"/>
          <w:color w:val="333333"/>
          <w:kern w:val="0"/>
          <w:szCs w:val="21"/>
        </w:rPr>
      </w:pPr>
      <w:r>
        <w:rPr>
          <w:rFonts w:hint="eastAsia" w:ascii="仿宋" w:hAnsi="仿宋" w:eastAsia="仿宋" w:cs="仿宋"/>
          <w:sz w:val="32"/>
          <w:szCs w:val="32"/>
          <w:lang w:val="en-US" w:eastAsia="zh-CN"/>
        </w:rPr>
        <w:t>根据评价体系，我单位自评得分95分,自评结果为合格。</w:t>
      </w:r>
    </w:p>
    <w:p w14:paraId="05279680">
      <w:pPr>
        <w:widowControl/>
        <w:shd w:val="clear" w:color="auto" w:fill="FFFFFF"/>
        <w:ind w:firstLine="645"/>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(二)部门履职及履职效益情况。</w:t>
      </w:r>
    </w:p>
    <w:p w14:paraId="06B1D522">
      <w:pPr>
        <w:widowControl/>
        <w:shd w:val="clear" w:color="auto" w:fill="FFFFFF"/>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在市委、市政府的正确领导下，联络处全面学习贯彻落实习近平新时代中国特色社会主义思想，以改革的精神和创新的理念，主动担当、勇于争先，切实加强自身建设，纵深推进从严治党，扎实开展对标对表活动，进一步推进招商、人才服务等各项重点工作,不断提升服务能力水平，积极推动经济社会发展,各项工作实现稳步提升。</w:t>
      </w:r>
    </w:p>
    <w:p w14:paraId="6B3794BF">
      <w:pPr>
        <w:widowControl/>
        <w:shd w:val="clear" w:color="auto" w:fill="FFFFFF"/>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预算配置来情况来看，预算资金覆盖沪办所有工作的需求，“三公”经费没有超过预算安排，沪办2023年预算资金能保障单位正常运转需要，分配办法科学，分配结果合理，能保证我处人员经费和单位全面工作任务完成。</w:t>
      </w:r>
    </w:p>
    <w:p w14:paraId="52355F48">
      <w:pPr>
        <w:widowControl/>
        <w:shd w:val="clear" w:color="auto" w:fill="FFFFFF"/>
        <w:ind w:firstLine="645"/>
        <w:jc w:val="left"/>
        <w:rPr>
          <w:rFonts w:ascii="微软雅黑" w:hAnsi="微软雅黑" w:eastAsia="微软雅黑" w:cs="宋体"/>
          <w:color w:val="333333"/>
          <w:kern w:val="0"/>
          <w:szCs w:val="21"/>
        </w:rPr>
      </w:pPr>
      <w:r>
        <w:rPr>
          <w:rFonts w:hint="eastAsia" w:ascii="仿宋" w:hAnsi="仿宋" w:eastAsia="仿宋" w:cs="宋体"/>
          <w:color w:val="333333"/>
          <w:kern w:val="0"/>
          <w:sz w:val="30"/>
          <w:szCs w:val="30"/>
        </w:rPr>
        <w:t>从预算执行来看，严格制度执行，特别是“三公”经费的预算控制。支出总额控制在预算总额以内，本年部门预算未进行预算相关事项的调整；本年财政预算资金有部分结余，经费总体控制较好。</w:t>
      </w:r>
    </w:p>
    <w:p w14:paraId="27E8E3EE">
      <w:pPr>
        <w:widowControl/>
        <w:shd w:val="clear" w:color="auto" w:fill="FFFFFF"/>
        <w:ind w:firstLine="645"/>
        <w:jc w:val="left"/>
        <w:rPr>
          <w:rFonts w:ascii="微软雅黑" w:hAnsi="微软雅黑" w:eastAsia="微软雅黑" w:cs="宋体"/>
          <w:color w:val="333333"/>
          <w:kern w:val="0"/>
          <w:szCs w:val="21"/>
        </w:rPr>
      </w:pPr>
      <w:r>
        <w:rPr>
          <w:rFonts w:hint="eastAsia" w:ascii="仿宋" w:hAnsi="仿宋" w:eastAsia="仿宋" w:cs="宋体"/>
          <w:color w:val="333333"/>
          <w:kern w:val="0"/>
          <w:sz w:val="30"/>
          <w:szCs w:val="30"/>
        </w:rPr>
        <w:t>预算管理方面，制度执行总体较为有效，但仍需进一步强化执行制度，资金使用管理需进一步加强。</w:t>
      </w:r>
    </w:p>
    <w:p w14:paraId="30647DE5">
      <w:pPr>
        <w:widowControl/>
        <w:shd w:val="clear" w:color="auto" w:fill="FFFFFF"/>
        <w:ind w:firstLine="645"/>
        <w:jc w:val="left"/>
        <w:rPr>
          <w:rFonts w:ascii="微软雅黑" w:hAnsi="微软雅黑" w:eastAsia="微软雅黑" w:cs="宋体"/>
          <w:color w:val="333333"/>
          <w:kern w:val="0"/>
          <w:szCs w:val="21"/>
        </w:rPr>
      </w:pPr>
      <w:r>
        <w:rPr>
          <w:rFonts w:hint="eastAsia" w:ascii="仿宋" w:hAnsi="仿宋" w:eastAsia="仿宋" w:cs="宋体"/>
          <w:color w:val="333333"/>
          <w:kern w:val="0"/>
          <w:sz w:val="30"/>
          <w:szCs w:val="30"/>
        </w:rPr>
        <w:t>资产管理方面，建立了资产管理制度，定期进行了盘点和资产清理，总体执行较好。</w:t>
      </w:r>
    </w:p>
    <w:p w14:paraId="3A7E73EF">
      <w:pPr>
        <w:widowControl/>
        <w:shd w:val="clear" w:color="auto" w:fill="FFFFFF"/>
        <w:ind w:firstLine="645"/>
        <w:jc w:val="left"/>
        <w:rPr>
          <w:rFonts w:ascii="仿宋" w:hAnsi="仿宋" w:eastAsia="仿宋" w:cs="宋体"/>
          <w:color w:val="333333"/>
          <w:kern w:val="0"/>
          <w:sz w:val="30"/>
          <w:szCs w:val="30"/>
        </w:rPr>
      </w:pPr>
      <w:r>
        <w:rPr>
          <w:rFonts w:hint="eastAsia"/>
        </w:rPr>
        <w:t xml:space="preserve">    </w:t>
      </w:r>
      <w:r>
        <w:rPr>
          <w:rFonts w:hint="eastAsia" w:ascii="仿宋" w:hAnsi="仿宋" w:eastAsia="仿宋" w:cs="宋体"/>
          <w:color w:val="333333"/>
          <w:kern w:val="0"/>
          <w:sz w:val="30"/>
          <w:szCs w:val="30"/>
        </w:rPr>
        <w:t xml:space="preserve">  最后上海办事处无重点项目绩效。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OWM3ODg2N2NhNjk5ZTEyMDY3ZWRiODBjZWM2MGQifQ=="/>
  </w:docVars>
  <w:rsids>
    <w:rsidRoot w:val="00A82AA6"/>
    <w:rsid w:val="000D2480"/>
    <w:rsid w:val="00192214"/>
    <w:rsid w:val="003846C0"/>
    <w:rsid w:val="005566C6"/>
    <w:rsid w:val="005926AF"/>
    <w:rsid w:val="00697315"/>
    <w:rsid w:val="00736EF2"/>
    <w:rsid w:val="007553D0"/>
    <w:rsid w:val="00767389"/>
    <w:rsid w:val="00A82AA6"/>
    <w:rsid w:val="00E70BBB"/>
    <w:rsid w:val="00E95871"/>
    <w:rsid w:val="00F27524"/>
    <w:rsid w:val="045C0D2B"/>
    <w:rsid w:val="23193E08"/>
    <w:rsid w:val="434B2420"/>
    <w:rsid w:val="4607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4654</Words>
  <Characters>4763</Characters>
  <Lines>27</Lines>
  <Paragraphs>7</Paragraphs>
  <TotalTime>1</TotalTime>
  <ScaleCrop>false</ScaleCrop>
  <LinksUpToDate>false</LinksUpToDate>
  <CharactersWithSpaces>4781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2022-09-23T01:09:00Z</dcterms:created>
  <dc:creator>A</dc:creator>
  <cp:lastModifiedBy>Administrator</cp:lastModifiedBy>
  <dcterms:modified xsi:type="dcterms:W3CDTF">2024-09-24T00:33:40Z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63449D1308444E1C96F76D3BC7F4D529_13</vt:lpwstr>
  </property>
</Properties>
</file>