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Nimbus Roman" w:hAnsi="Nimbus Roman" w:eastAsia="方正小标宋_GBK" w:cs="Nimbus Roman"/>
          <w:b w:val="0"/>
          <w:bCs w:val="0"/>
          <w:sz w:val="44"/>
          <w:szCs w:val="44"/>
          <w:lang w:val="en-US" w:eastAsia="zh-CN"/>
        </w:rPr>
      </w:pPr>
      <w:r>
        <w:rPr>
          <w:rFonts w:hint="default" w:ascii="Nimbus Roman" w:hAnsi="Nimbus Roman" w:eastAsia="方正小标宋_GBK" w:cs="Nimbus Roman"/>
          <w:b w:val="0"/>
          <w:bCs w:val="0"/>
          <w:sz w:val="44"/>
          <w:szCs w:val="44"/>
          <w:lang w:val="en-US" w:eastAsia="zh-CN"/>
        </w:rPr>
        <w:t>益阳市文化旅游广电体育局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Nimbus Roman" w:hAnsi="Nimbus Roman" w:eastAsia="方正小标宋_GBK" w:cs="Nimbus Roman"/>
          <w:b w:val="0"/>
          <w:bCs w:val="0"/>
          <w:sz w:val="44"/>
          <w:szCs w:val="44"/>
          <w:lang w:val="en-US" w:eastAsia="zh-CN"/>
        </w:rPr>
      </w:pPr>
      <w:r>
        <w:rPr>
          <w:rFonts w:hint="default" w:ascii="Nimbus Roman" w:hAnsi="Nimbus Roman" w:eastAsia="方正小标宋_GBK" w:cs="Nimbus Roman"/>
          <w:b w:val="0"/>
          <w:bCs w:val="0"/>
          <w:sz w:val="44"/>
          <w:szCs w:val="44"/>
          <w:lang w:val="en-US" w:eastAsia="zh-CN"/>
        </w:rPr>
        <w:t>关于2022年度送戏下乡、演艺惠民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Nimbus Roman" w:hAnsi="Nimbus Roman" w:eastAsia="方正小标宋_GBK" w:cs="Nimbus Roman"/>
          <w:b w:val="0"/>
          <w:bCs w:val="0"/>
          <w:sz w:val="44"/>
          <w:szCs w:val="44"/>
          <w:lang w:val="en-US" w:eastAsia="zh-CN"/>
        </w:rPr>
      </w:pPr>
      <w:r>
        <w:rPr>
          <w:rFonts w:hint="default" w:ascii="Nimbus Roman" w:hAnsi="Nimbus Roman" w:eastAsia="方正小标宋_GBK" w:cs="Nimbus Roman"/>
          <w:b w:val="0"/>
          <w:bCs w:val="0"/>
          <w:sz w:val="44"/>
          <w:szCs w:val="44"/>
          <w:lang w:val="en-US" w:eastAsia="zh-CN"/>
        </w:rPr>
        <w:t>及周末广场电影专项资金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Nimbus Roman" w:hAnsi="Nimbus Roman" w:eastAsia="方正小标宋_GBK" w:cs="Nimbus Roman"/>
          <w:b w:val="0"/>
          <w:bCs w:val="0"/>
          <w:sz w:val="44"/>
          <w:szCs w:val="44"/>
          <w:lang w:val="en-US" w:eastAsia="zh-CN"/>
        </w:rPr>
      </w:pPr>
      <w:r>
        <w:rPr>
          <w:rFonts w:hint="default" w:ascii="Nimbus Roman" w:hAnsi="Nimbus Roman" w:eastAsia="方正小标宋_GBK" w:cs="Nimbus Roman"/>
          <w:b w:val="0"/>
          <w:bCs w:val="0"/>
          <w:sz w:val="44"/>
          <w:szCs w:val="44"/>
          <w:lang w:val="en-US" w:eastAsia="zh-CN"/>
        </w:rPr>
        <w:t>绩效自评报告</w:t>
      </w:r>
    </w:p>
    <w:p>
      <w:pPr>
        <w:keepNext w:val="0"/>
        <w:keepLines w:val="0"/>
        <w:pageBreakBefore w:val="0"/>
        <w:widowControl w:val="0"/>
        <w:kinsoku/>
        <w:wordWrap/>
        <w:overflowPunct/>
        <w:autoSpaceDE/>
        <w:autoSpaceDN/>
        <w:bidi w:val="0"/>
        <w:adjustRightInd/>
        <w:snapToGrid/>
        <w:spacing w:line="580" w:lineRule="exact"/>
        <w:ind w:left="0" w:firstLine="640" w:firstLineChars="200"/>
        <w:jc w:val="both"/>
        <w:textAlignment w:val="auto"/>
        <w:rPr>
          <w:rFonts w:hint="default" w:ascii="Nimbus Roman" w:hAnsi="Nimbus Roman" w:eastAsia="仿宋" w:cs="Nimbus Roman"/>
          <w:sz w:val="32"/>
          <w:szCs w:val="32"/>
        </w:rPr>
      </w:pPr>
    </w:p>
    <w:p>
      <w:pPr>
        <w:keepNext w:val="0"/>
        <w:keepLines w:val="0"/>
        <w:pageBreakBefore w:val="0"/>
        <w:widowControl w:val="0"/>
        <w:kinsoku/>
        <w:wordWrap/>
        <w:overflowPunct/>
        <w:autoSpaceDE/>
        <w:autoSpaceDN/>
        <w:bidi w:val="0"/>
        <w:adjustRightInd/>
        <w:snapToGrid/>
        <w:spacing w:line="580" w:lineRule="exact"/>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益阳市财政局：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kern w:val="28"/>
          <w:sz w:val="32"/>
          <w:szCs w:val="32"/>
        </w:rPr>
        <w:t>为加强财政支出管理</w:t>
      </w:r>
      <w:r>
        <w:rPr>
          <w:rFonts w:hint="eastAsia" w:ascii="Nimbus Roman" w:hAnsi="Nimbus Roman" w:eastAsia="仿宋" w:cs="Nimbus Roman"/>
          <w:kern w:val="28"/>
          <w:sz w:val="32"/>
          <w:szCs w:val="32"/>
          <w:lang w:eastAsia="zh-CN"/>
        </w:rPr>
        <w:t>、</w:t>
      </w:r>
      <w:r>
        <w:rPr>
          <w:rFonts w:hint="default" w:ascii="Nimbus Roman" w:hAnsi="Nimbus Roman" w:eastAsia="仿宋" w:cs="Nimbus Roman"/>
          <w:kern w:val="28"/>
          <w:sz w:val="32"/>
          <w:szCs w:val="32"/>
        </w:rPr>
        <w:t>增强预算单位支出责任，根据《中共湖南省委办公厅湖南省人民政府办公厅关于全面实施预算绩效管理的实施意见》（湘办发〔2019〕10号）、</w:t>
      </w:r>
      <w:r>
        <w:rPr>
          <w:rFonts w:hint="default" w:ascii="Nimbus Roman" w:hAnsi="Nimbus Roman" w:eastAsia="仿宋" w:cs="Nimbus Roman"/>
          <w:sz w:val="32"/>
          <w:szCs w:val="32"/>
        </w:rPr>
        <w:t>《益阳市财政局关于转发〈湖南省预算绩效管理工作规程（试行）〉的通知》（益财绩〔2014〕126号）、《益阳市财政局关于开展202</w:t>
      </w:r>
      <w:r>
        <w:rPr>
          <w:rFonts w:hint="default" w:ascii="Nimbus Roman" w:hAnsi="Nimbus Roman" w:eastAsia="仿宋" w:cs="Nimbus Roman"/>
          <w:sz w:val="32"/>
          <w:szCs w:val="32"/>
          <w:lang w:val="en-US" w:eastAsia="zh-CN"/>
        </w:rPr>
        <w:t>2</w:t>
      </w:r>
      <w:r>
        <w:rPr>
          <w:rFonts w:hint="default" w:ascii="Nimbus Roman" w:hAnsi="Nimbus Roman" w:eastAsia="仿宋" w:cs="Nimbus Roman"/>
          <w:sz w:val="32"/>
          <w:szCs w:val="32"/>
        </w:rPr>
        <w:t>年度</w:t>
      </w:r>
      <w:r>
        <w:rPr>
          <w:rFonts w:hint="default" w:ascii="Nimbus Roman" w:hAnsi="Nimbus Roman" w:eastAsia="仿宋" w:cs="Nimbus Roman"/>
          <w:sz w:val="32"/>
          <w:szCs w:val="32"/>
          <w:lang w:eastAsia="zh-CN"/>
        </w:rPr>
        <w:t>部门</w:t>
      </w:r>
      <w:r>
        <w:rPr>
          <w:rFonts w:hint="default" w:ascii="Nimbus Roman" w:hAnsi="Nimbus Roman" w:eastAsia="仿宋" w:cs="Nimbus Roman"/>
          <w:sz w:val="32"/>
          <w:szCs w:val="32"/>
        </w:rPr>
        <w:t>绩效自评工作的通知》等文件精神，我局组织对202</w:t>
      </w:r>
      <w:r>
        <w:rPr>
          <w:rFonts w:hint="default" w:ascii="Nimbus Roman" w:hAnsi="Nimbus Roman" w:eastAsia="仿宋" w:cs="Nimbus Roman"/>
          <w:sz w:val="32"/>
          <w:szCs w:val="32"/>
          <w:lang w:val="en-US" w:eastAsia="zh-CN"/>
        </w:rPr>
        <w:t>2</w:t>
      </w:r>
      <w:r>
        <w:rPr>
          <w:rFonts w:hint="default" w:ascii="Nimbus Roman" w:hAnsi="Nimbus Roman" w:eastAsia="仿宋" w:cs="Nimbus Roman"/>
          <w:sz w:val="32"/>
          <w:szCs w:val="32"/>
        </w:rPr>
        <w:t>年度送戏下乡、演艺惠民及周末广场电影项目资金（以下简称该项目资金）开展了绩效自评。现将有关情况报告如下：</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一、基本情况</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楷体" w:cs="Nimbus Roman"/>
          <w:sz w:val="32"/>
          <w:szCs w:val="32"/>
        </w:rPr>
        <w:t>（一）项目单位基本情况</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市文化旅游广电体育局（以下简称市文旅广体局）是市人民政府工作部门，主要负责贯彻执行党和政府有关文化、文物、旅游、广电和体育的法律法规和方针政策，统筹规划全市文化、文物、旅游、广电和体育领域事业发展，拟定发展规划并组织实施，推进全市文化、文物、旅游、广电和体育公共服务体系建设，实施文化惠民工程等。局机关现有人员编制46人，内设办公室、</w:t>
      </w:r>
      <w:r>
        <w:rPr>
          <w:rFonts w:hint="eastAsia" w:ascii="Nimbus Roman" w:hAnsi="Nimbus Roman" w:eastAsia="仿宋" w:cs="Nimbus Roman"/>
          <w:sz w:val="32"/>
          <w:szCs w:val="32"/>
          <w:lang w:eastAsia="zh-CN"/>
        </w:rPr>
        <w:t>财务</w:t>
      </w:r>
      <w:r>
        <w:rPr>
          <w:rFonts w:hint="default" w:ascii="Nimbus Roman" w:hAnsi="Nimbus Roman" w:eastAsia="仿宋" w:cs="Nimbus Roman"/>
          <w:sz w:val="32"/>
          <w:szCs w:val="32"/>
        </w:rPr>
        <w:t>科等21个科室，下设市文化馆、市电影文化传媒有限公司（以下简称市电影公司）等13个</w:t>
      </w:r>
      <w:r>
        <w:rPr>
          <w:rFonts w:hint="eastAsia" w:ascii="Nimbus Roman" w:hAnsi="Nimbus Roman" w:eastAsia="仿宋" w:cs="Nimbus Roman"/>
          <w:sz w:val="32"/>
          <w:szCs w:val="32"/>
          <w:lang w:eastAsia="zh-CN"/>
        </w:rPr>
        <w:t>二级</w:t>
      </w:r>
      <w:r>
        <w:rPr>
          <w:rFonts w:hint="default" w:ascii="Nimbus Roman" w:hAnsi="Nimbus Roman" w:eastAsia="仿宋" w:cs="Nimbus Roman"/>
          <w:sz w:val="32"/>
          <w:szCs w:val="32"/>
        </w:rPr>
        <w:t>单位。</w:t>
      </w:r>
    </w:p>
    <w:p>
      <w:pPr>
        <w:keepNext w:val="0"/>
        <w:keepLines w:val="0"/>
        <w:pageBreakBefore w:val="0"/>
        <w:kinsoku/>
        <w:wordWrap/>
        <w:overflowPunct/>
        <w:topLinePunct/>
        <w:autoSpaceDE/>
        <w:autoSpaceDN/>
        <w:bidi w:val="0"/>
        <w:adjustRightInd/>
        <w:snapToGrid/>
        <w:spacing w:line="60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楷体" w:cs="Nimbus Roman"/>
          <w:sz w:val="32"/>
          <w:szCs w:val="32"/>
        </w:rPr>
        <w:t>（二）项目基本情况</w:t>
      </w:r>
    </w:p>
    <w:p>
      <w:pPr>
        <w:keepNext w:val="0"/>
        <w:keepLines w:val="0"/>
        <w:pageBreakBefore w:val="0"/>
        <w:kinsoku/>
        <w:wordWrap/>
        <w:overflowPunct/>
        <w:topLinePunct/>
        <w:autoSpaceDE/>
        <w:autoSpaceDN/>
        <w:bidi w:val="0"/>
        <w:adjustRightInd/>
        <w:snapToGrid/>
        <w:spacing w:line="60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为深入推进文化惠民工程，弘扬地方传统文化，丰富城乡居民业余生活，根据《湖南省“演艺惠民</w:t>
      </w:r>
      <w:r>
        <w:rPr>
          <w:rFonts w:hint="eastAsia" w:ascii="Nimbus Roman" w:hAnsi="Nimbus Roman" w:eastAsia="仿宋" w:cs="Nimbus Roman"/>
          <w:sz w:val="32"/>
          <w:szCs w:val="32"/>
          <w:lang w:val="en-US" w:eastAsia="zh-CN"/>
        </w:rPr>
        <w:t xml:space="preserve"> </w:t>
      </w:r>
      <w:r>
        <w:rPr>
          <w:rFonts w:hint="default" w:ascii="Nimbus Roman" w:hAnsi="Nimbus Roman" w:eastAsia="仿宋" w:cs="Nimbus Roman"/>
          <w:sz w:val="32"/>
          <w:szCs w:val="32"/>
        </w:rPr>
        <w:t>送戏下乡”工程实施方案》（湘文艺</w:t>
      </w:r>
      <w:r>
        <w:rPr>
          <w:rFonts w:hint="eastAsia" w:hAnsi="仿宋" w:eastAsia="仿宋" w:cs="仿宋"/>
          <w:color w:val="000000" w:themeColor="text1"/>
          <w:sz w:val="32"/>
          <w14:textFill>
            <w14:solidFill>
              <w14:schemeClr w14:val="tx1"/>
            </w14:solidFill>
          </w14:textFill>
        </w:rPr>
        <w:t>〔</w:t>
      </w:r>
      <w:r>
        <w:rPr>
          <w:rFonts w:hint="default" w:ascii="Nimbus Roman" w:hAnsi="Nimbus Roman" w:eastAsia="仿宋" w:cs="Nimbus Roman"/>
          <w:sz w:val="32"/>
          <w:szCs w:val="32"/>
        </w:rPr>
        <w:t>2009</w:t>
      </w:r>
      <w:r>
        <w:rPr>
          <w:rFonts w:hint="eastAsia" w:hAnsi="仿宋" w:eastAsia="仿宋" w:cs="仿宋"/>
          <w:color w:val="000000" w:themeColor="text1"/>
          <w:sz w:val="32"/>
          <w14:textFill>
            <w14:solidFill>
              <w14:schemeClr w14:val="tx1"/>
            </w14:solidFill>
          </w14:textFill>
        </w:rPr>
        <w:t>〕</w:t>
      </w:r>
      <w:r>
        <w:rPr>
          <w:rFonts w:hint="default" w:ascii="Nimbus Roman" w:hAnsi="Nimbus Roman" w:eastAsia="仿宋" w:cs="Nimbus Roman"/>
          <w:sz w:val="32"/>
          <w:szCs w:val="32"/>
        </w:rPr>
        <w:t>172号）等文件精神，市委宣传部、市文旅广体局决定在全市城乡开展“益阳花鼓大戏台</w:t>
      </w:r>
      <w:r>
        <w:rPr>
          <w:rFonts w:hint="eastAsia" w:ascii="Nimbus Roman" w:hAnsi="Nimbus Roman" w:eastAsia="仿宋" w:cs="Nimbus Roman"/>
          <w:sz w:val="32"/>
          <w:szCs w:val="32"/>
          <w:lang w:val="en-US" w:eastAsia="zh-CN"/>
        </w:rPr>
        <w:t xml:space="preserve"> </w:t>
      </w:r>
      <w:r>
        <w:rPr>
          <w:rFonts w:hint="default" w:ascii="Nimbus Roman" w:hAnsi="Nimbus Roman" w:eastAsia="仿宋" w:cs="Nimbus Roman"/>
          <w:sz w:val="32"/>
          <w:szCs w:val="32"/>
        </w:rPr>
        <w:t>送戏惠民”活动（以下简称送戏下乡项目），建立益阳花鼓大戏台长效机制。同时，为解决进城务工、城市低收入等人员文化生活需要，决定在中心城区各广场设立周末电影院，定期播放</w:t>
      </w:r>
      <w:r>
        <w:rPr>
          <w:rFonts w:hint="eastAsia" w:ascii="Nimbus Roman" w:hAnsi="Nimbus Roman" w:eastAsia="仿宋" w:cs="Nimbus Roman"/>
          <w:sz w:val="32"/>
          <w:szCs w:val="32"/>
          <w:lang w:eastAsia="zh-CN"/>
        </w:rPr>
        <w:t>公益</w:t>
      </w:r>
      <w:r>
        <w:rPr>
          <w:rFonts w:hint="default" w:ascii="Nimbus Roman" w:hAnsi="Nimbus Roman" w:eastAsia="仿宋" w:cs="Nimbus Roman"/>
          <w:sz w:val="32"/>
          <w:szCs w:val="32"/>
        </w:rPr>
        <w:t>电影（以下简称周末广场电影项目）。</w:t>
      </w:r>
    </w:p>
    <w:p>
      <w:pPr>
        <w:keepNext w:val="0"/>
        <w:keepLines w:val="0"/>
        <w:pageBreakBefore w:val="0"/>
        <w:kinsoku/>
        <w:wordWrap/>
        <w:overflowPunct/>
        <w:topLinePunct/>
        <w:autoSpaceDE/>
        <w:autoSpaceDN/>
        <w:bidi w:val="0"/>
        <w:adjustRightInd/>
        <w:snapToGrid/>
        <w:spacing w:line="600" w:lineRule="exact"/>
        <w:ind w:left="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楷体" w:cs="Nimbus Roman"/>
          <w:sz w:val="32"/>
          <w:szCs w:val="32"/>
        </w:rPr>
        <w:t>（三）绩效目标完成情况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1.</w:t>
      </w:r>
      <w:r>
        <w:rPr>
          <w:rFonts w:hint="eastAsia" w:ascii="Nimbus Roman" w:hAnsi="Nimbus Roman" w:eastAsia="仿宋" w:cs="Nimbus Roman"/>
          <w:kern w:val="2"/>
          <w:sz w:val="32"/>
          <w:szCs w:val="32"/>
          <w:lang w:val="en-US" w:eastAsia="zh-CN" w:bidi="ar-SA"/>
        </w:rPr>
        <w:t xml:space="preserve"> </w:t>
      </w:r>
      <w:r>
        <w:rPr>
          <w:rFonts w:hint="default" w:ascii="Nimbus Roman" w:hAnsi="Nimbus Roman" w:eastAsia="仿宋" w:cs="Nimbus Roman"/>
          <w:kern w:val="2"/>
          <w:sz w:val="32"/>
          <w:szCs w:val="32"/>
          <w:lang w:val="en-US" w:eastAsia="zh-CN" w:bidi="ar-SA"/>
        </w:rPr>
        <w:t>送戏下乡项目。根据《2022年“强国复兴有我·益阳花鼓大戏台——送戏惠民”活动实施方案》，经过认真组织，在全市城乡完成了全年送戏惠民各项任务。一是对全市85个乡镇和乡村振兴点进行送戏下乡，二是11月14-23日在高新区山乡巨变广场举办第十届花鼓戏汇演，三是开展周末花鼓剧场活动，四是组织戏曲进校园活动等。</w:t>
      </w:r>
    </w:p>
    <w:p>
      <w:pPr>
        <w:keepNext w:val="0"/>
        <w:keepLines w:val="0"/>
        <w:pageBreakBefore w:val="0"/>
        <w:kinsoku/>
        <w:wordWrap/>
        <w:overflowPunct/>
        <w:topLinePunct/>
        <w:autoSpaceDE/>
        <w:autoSpaceDN/>
        <w:bidi w:val="0"/>
        <w:adjustRightInd/>
        <w:snapToGrid/>
        <w:spacing w:line="62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2.</w:t>
      </w:r>
      <w:r>
        <w:rPr>
          <w:rFonts w:hint="eastAsia" w:ascii="Nimbus Roman" w:hAnsi="Nimbus Roman" w:eastAsia="仿宋" w:cs="Nimbus Roman"/>
          <w:sz w:val="32"/>
          <w:szCs w:val="32"/>
          <w:lang w:val="en-US" w:eastAsia="zh-CN"/>
        </w:rPr>
        <w:t xml:space="preserve"> </w:t>
      </w:r>
      <w:r>
        <w:rPr>
          <w:rFonts w:hint="default" w:ascii="Nimbus Roman" w:hAnsi="Nimbus Roman" w:eastAsia="仿宋" w:cs="Nimbus Roman"/>
          <w:sz w:val="32"/>
          <w:szCs w:val="32"/>
        </w:rPr>
        <w:t>周末广场电影项目。市中心城区共建立了21个固定放映点，覆盖55个社区、20个广场</w:t>
      </w:r>
      <w:r>
        <w:rPr>
          <w:rFonts w:hint="default" w:ascii="Nimbus Roman" w:hAnsi="Nimbus Roman" w:eastAsia="仿宋" w:cs="Nimbus Roman"/>
          <w:sz w:val="32"/>
          <w:szCs w:val="32"/>
          <w:lang w:val="en-US" w:eastAsia="zh-CN"/>
        </w:rPr>
        <w:t>小区</w:t>
      </w:r>
      <w:r>
        <w:rPr>
          <w:rFonts w:hint="default" w:ascii="Nimbus Roman" w:hAnsi="Nimbus Roman" w:eastAsia="仿宋" w:cs="Nimbus Roman"/>
          <w:sz w:val="32"/>
          <w:szCs w:val="32"/>
        </w:rPr>
        <w:t>、1所大专院校。202</w:t>
      </w:r>
      <w:r>
        <w:rPr>
          <w:rFonts w:hint="default" w:ascii="Nimbus Roman" w:hAnsi="Nimbus Roman" w:eastAsia="仿宋" w:cs="Nimbus Roman"/>
          <w:sz w:val="32"/>
          <w:szCs w:val="32"/>
          <w:lang w:val="en-US" w:eastAsia="zh-CN"/>
        </w:rPr>
        <w:t>2</w:t>
      </w:r>
      <w:r>
        <w:rPr>
          <w:rFonts w:hint="default" w:ascii="Nimbus Roman" w:hAnsi="Nimbus Roman" w:eastAsia="仿宋" w:cs="Nimbus Roman"/>
          <w:sz w:val="32"/>
          <w:szCs w:val="32"/>
        </w:rPr>
        <w:t>年计划放映1000场次，实际完成放映10</w:t>
      </w:r>
      <w:r>
        <w:rPr>
          <w:rFonts w:hint="default" w:ascii="Nimbus Roman" w:hAnsi="Nimbus Roman" w:eastAsia="仿宋" w:cs="Nimbus Roman"/>
          <w:sz w:val="32"/>
          <w:szCs w:val="32"/>
          <w:lang w:val="en-US" w:eastAsia="zh-CN"/>
        </w:rPr>
        <w:t>10</w:t>
      </w:r>
      <w:r>
        <w:rPr>
          <w:rFonts w:hint="default" w:ascii="Nimbus Roman" w:hAnsi="Nimbus Roman" w:eastAsia="仿宋" w:cs="Nimbus Roman"/>
          <w:sz w:val="32"/>
          <w:szCs w:val="32"/>
        </w:rPr>
        <w:t>场，观众近2</w:t>
      </w:r>
      <w:r>
        <w:rPr>
          <w:rFonts w:hint="default" w:ascii="Nimbus Roman" w:hAnsi="Nimbus Roman" w:eastAsia="仿宋" w:cs="Nimbus Roman"/>
          <w:sz w:val="32"/>
          <w:szCs w:val="32"/>
          <w:lang w:val="en-US" w:eastAsia="zh-CN"/>
        </w:rPr>
        <w:t>3</w:t>
      </w:r>
      <w:r>
        <w:rPr>
          <w:rFonts w:hint="default" w:ascii="Nimbus Roman" w:hAnsi="Nimbus Roman" w:eastAsia="仿宋" w:cs="Nimbus Roman"/>
          <w:sz w:val="32"/>
          <w:szCs w:val="32"/>
        </w:rPr>
        <w:t>万人次。</w:t>
      </w:r>
    </w:p>
    <w:p>
      <w:pPr>
        <w:keepNext w:val="0"/>
        <w:keepLines w:val="0"/>
        <w:pageBreakBefore w:val="0"/>
        <w:numPr>
          <w:ilvl w:val="0"/>
          <w:numId w:val="0"/>
        </w:numPr>
        <w:kinsoku/>
        <w:wordWrap/>
        <w:overflowPunct/>
        <w:topLinePunct/>
        <w:autoSpaceDE/>
        <w:autoSpaceDN/>
        <w:bidi w:val="0"/>
        <w:adjustRightInd/>
        <w:snapToGrid/>
        <w:spacing w:line="62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bCs/>
          <w:sz w:val="32"/>
          <w:szCs w:val="32"/>
        </w:rPr>
        <w:t>二、项目资金使用管理情况</w:t>
      </w:r>
    </w:p>
    <w:p>
      <w:pPr>
        <w:keepNext w:val="0"/>
        <w:keepLines w:val="0"/>
        <w:pageBreakBefore w:val="0"/>
        <w:kinsoku/>
        <w:wordWrap/>
        <w:overflowPunct/>
        <w:autoSpaceDE/>
        <w:autoSpaceDN/>
        <w:bidi w:val="0"/>
        <w:adjustRightInd/>
        <w:snapToGrid/>
        <w:spacing w:line="620" w:lineRule="exact"/>
        <w:ind w:left="0" w:firstLine="640" w:firstLineChars="200"/>
        <w:jc w:val="both"/>
        <w:textAlignment w:val="auto"/>
        <w:rPr>
          <w:rFonts w:hint="default" w:ascii="Nimbus Roman" w:hAnsi="Nimbus Roman" w:eastAsia="仿宋" w:cs="Nimbus Roman"/>
          <w:sz w:val="32"/>
          <w:szCs w:val="32"/>
          <w:highlight w:val="none"/>
          <w:lang w:eastAsia="zh-CN"/>
        </w:rPr>
      </w:pPr>
      <w:r>
        <w:rPr>
          <w:rFonts w:hint="default" w:ascii="Nimbus Roman" w:hAnsi="Nimbus Roman" w:eastAsia="仿宋" w:cs="Nimbus Roman"/>
          <w:sz w:val="32"/>
          <w:szCs w:val="32"/>
          <w:highlight w:val="none"/>
        </w:rPr>
        <w:t>202</w:t>
      </w:r>
      <w:r>
        <w:rPr>
          <w:rFonts w:hint="default" w:ascii="Nimbus Roman" w:hAnsi="Nimbus Roman" w:eastAsia="仿宋" w:cs="Nimbus Roman"/>
          <w:sz w:val="32"/>
          <w:szCs w:val="32"/>
          <w:highlight w:val="none"/>
          <w:lang w:val="en-US" w:eastAsia="zh-CN"/>
        </w:rPr>
        <w:t>2</w:t>
      </w:r>
      <w:r>
        <w:rPr>
          <w:rFonts w:hint="default" w:ascii="Nimbus Roman" w:hAnsi="Nimbus Roman" w:eastAsia="仿宋" w:cs="Nimbus Roman"/>
          <w:sz w:val="32"/>
          <w:szCs w:val="32"/>
          <w:highlight w:val="none"/>
        </w:rPr>
        <w:t>年</w:t>
      </w:r>
      <w:r>
        <w:rPr>
          <w:rFonts w:hint="default" w:ascii="Nimbus Roman" w:hAnsi="Nimbus Roman" w:eastAsia="仿宋" w:cs="Nimbus Roman"/>
          <w:sz w:val="32"/>
          <w:szCs w:val="32"/>
          <w:highlight w:val="none"/>
          <w:lang w:eastAsia="zh-CN"/>
        </w:rPr>
        <w:t>送戏下乡项目预算资金</w:t>
      </w:r>
      <w:r>
        <w:rPr>
          <w:rFonts w:hint="default" w:ascii="Nimbus Roman" w:hAnsi="Nimbus Roman" w:eastAsia="仿宋" w:cs="Nimbus Roman"/>
          <w:sz w:val="32"/>
          <w:szCs w:val="32"/>
          <w:highlight w:val="none"/>
          <w:lang w:val="en-US" w:eastAsia="zh-CN"/>
        </w:rPr>
        <w:t>145.5万元</w:t>
      </w:r>
      <w:r>
        <w:rPr>
          <w:rFonts w:hint="default" w:ascii="Nimbus Roman" w:hAnsi="Nimbus Roman" w:eastAsia="仿宋" w:cs="Nimbus Roman"/>
          <w:sz w:val="32"/>
          <w:szCs w:val="32"/>
          <w:highlight w:val="none"/>
        </w:rPr>
        <w:t>，其中送戏下乡项目资金</w:t>
      </w:r>
      <w:r>
        <w:rPr>
          <w:rFonts w:hint="default" w:ascii="Nimbus Roman" w:hAnsi="Nimbus Roman" w:eastAsia="仿宋" w:cs="Nimbus Roman"/>
          <w:sz w:val="32"/>
          <w:szCs w:val="32"/>
          <w:highlight w:val="none"/>
          <w:lang w:val="en-US" w:eastAsia="zh-CN"/>
        </w:rPr>
        <w:t>85.5</w:t>
      </w:r>
      <w:r>
        <w:rPr>
          <w:rFonts w:hint="default" w:ascii="Nimbus Roman" w:hAnsi="Nimbus Roman" w:eastAsia="仿宋" w:cs="Nimbus Roman"/>
          <w:sz w:val="32"/>
          <w:szCs w:val="32"/>
          <w:highlight w:val="none"/>
        </w:rPr>
        <w:t>万元，另市委宣传部从文化产业引导资金中安排送戏下乡</w:t>
      </w:r>
      <w:r>
        <w:rPr>
          <w:rFonts w:hint="default" w:ascii="Nimbus Roman" w:hAnsi="Nimbus Roman" w:eastAsia="仿宋" w:cs="Nimbus Roman"/>
          <w:sz w:val="32"/>
          <w:szCs w:val="32"/>
          <w:highlight w:val="none"/>
          <w:shd w:val="clear"/>
        </w:rPr>
        <w:t>项目</w:t>
      </w:r>
      <w:r>
        <w:rPr>
          <w:rFonts w:hint="default" w:ascii="Nimbus Roman" w:hAnsi="Nimbus Roman" w:eastAsia="仿宋" w:cs="Nimbus Roman"/>
          <w:sz w:val="32"/>
          <w:szCs w:val="32"/>
          <w:highlight w:val="none"/>
          <w:lang w:eastAsia="zh-CN"/>
        </w:rPr>
        <w:t>资金60万元。送戏下乡项目</w:t>
      </w:r>
      <w:r>
        <w:rPr>
          <w:rFonts w:hint="eastAsia" w:ascii="Nimbus Roman" w:hAnsi="Nimbus Roman" w:eastAsia="仿宋" w:cs="Nimbus Roman"/>
          <w:sz w:val="32"/>
          <w:szCs w:val="32"/>
          <w:highlight w:val="none"/>
          <w:lang w:eastAsia="zh-CN"/>
        </w:rPr>
        <w:t>全年</w:t>
      </w:r>
      <w:r>
        <w:rPr>
          <w:rFonts w:hint="default" w:ascii="Nimbus Roman" w:hAnsi="Nimbus Roman" w:eastAsia="仿宋" w:cs="Nimbus Roman"/>
          <w:sz w:val="32"/>
          <w:szCs w:val="32"/>
          <w:highlight w:val="none"/>
          <w:lang w:eastAsia="zh-CN"/>
        </w:rPr>
        <w:t>共支出</w:t>
      </w:r>
      <w:r>
        <w:rPr>
          <w:rFonts w:hint="default" w:ascii="Nimbus Roman" w:hAnsi="Nimbus Roman" w:eastAsia="仿宋" w:cs="Nimbus Roman"/>
          <w:sz w:val="32"/>
          <w:szCs w:val="32"/>
          <w:highlight w:val="none"/>
          <w:lang w:val="en-US" w:eastAsia="zh-CN"/>
        </w:rPr>
        <w:t>145.5</w:t>
      </w:r>
      <w:r>
        <w:rPr>
          <w:rFonts w:hint="default" w:ascii="Nimbus Roman" w:hAnsi="Nimbus Roman" w:eastAsia="仿宋" w:cs="Nimbus Roman"/>
          <w:sz w:val="32"/>
          <w:szCs w:val="32"/>
          <w:highlight w:val="none"/>
          <w:lang w:eastAsia="zh-CN"/>
        </w:rPr>
        <w:t>万元，用于支付剧团演出场次补贴</w:t>
      </w:r>
      <w:r>
        <w:rPr>
          <w:rFonts w:hint="default" w:ascii="Nimbus Roman" w:hAnsi="Nimbus Roman" w:eastAsia="仿宋" w:cs="Nimbus Roman"/>
          <w:sz w:val="32"/>
          <w:szCs w:val="32"/>
          <w:highlight w:val="none"/>
          <w:lang w:val="en-US" w:eastAsia="zh-CN"/>
        </w:rPr>
        <w:t>、</w:t>
      </w:r>
      <w:r>
        <w:rPr>
          <w:rFonts w:hint="default" w:ascii="Nimbus Roman" w:hAnsi="Nimbus Roman" w:eastAsia="仿宋" w:cs="Nimbus Roman"/>
          <w:sz w:val="32"/>
          <w:szCs w:val="32"/>
          <w:highlight w:val="none"/>
          <w:lang w:eastAsia="zh-CN"/>
        </w:rPr>
        <w:t>舞台搭建、场地租赁、工作经费等。</w:t>
      </w:r>
    </w:p>
    <w:p>
      <w:pPr>
        <w:keepNext w:val="0"/>
        <w:keepLines w:val="0"/>
        <w:pageBreakBefore w:val="0"/>
        <w:kinsoku/>
        <w:wordWrap/>
        <w:overflowPunct/>
        <w:autoSpaceDE/>
        <w:autoSpaceDN/>
        <w:bidi w:val="0"/>
        <w:adjustRightInd/>
        <w:snapToGrid/>
        <w:spacing w:line="620" w:lineRule="exact"/>
        <w:ind w:left="0" w:firstLine="640" w:firstLineChars="200"/>
        <w:jc w:val="both"/>
        <w:textAlignment w:val="auto"/>
        <w:rPr>
          <w:rFonts w:hint="default" w:ascii="Nimbus Roman" w:hAnsi="Nimbus Roman" w:eastAsia="仿宋" w:cs="Nimbus Roman"/>
          <w:sz w:val="32"/>
          <w:szCs w:val="32"/>
        </w:rPr>
      </w:pPr>
      <w:r>
        <w:rPr>
          <w:rFonts w:hint="eastAsia" w:ascii="Nimbus Roman" w:hAnsi="Nimbus Roman" w:eastAsia="仿宋" w:cs="Nimbus Roman"/>
          <w:sz w:val="32"/>
          <w:szCs w:val="32"/>
          <w:highlight w:val="none"/>
          <w:lang w:val="en-US" w:eastAsia="zh-CN"/>
        </w:rPr>
        <w:t>2022年</w:t>
      </w:r>
      <w:r>
        <w:rPr>
          <w:rFonts w:hint="default" w:ascii="Nimbus Roman" w:hAnsi="Nimbus Roman" w:eastAsia="仿宋" w:cs="Nimbus Roman"/>
          <w:sz w:val="32"/>
          <w:szCs w:val="32"/>
          <w:highlight w:val="none"/>
          <w:lang w:eastAsia="zh-CN"/>
        </w:rPr>
        <w:t>周末广场电影项目</w:t>
      </w:r>
      <w:r>
        <w:rPr>
          <w:rFonts w:hint="eastAsia" w:ascii="Nimbus Roman" w:hAnsi="Nimbus Roman" w:eastAsia="仿宋" w:cs="Nimbus Roman"/>
          <w:sz w:val="32"/>
          <w:szCs w:val="32"/>
          <w:highlight w:val="none"/>
          <w:lang w:eastAsia="zh-CN"/>
        </w:rPr>
        <w:t>预算</w:t>
      </w:r>
      <w:r>
        <w:rPr>
          <w:rFonts w:hint="default" w:ascii="Nimbus Roman" w:hAnsi="Nimbus Roman" w:eastAsia="仿宋" w:cs="Nimbus Roman"/>
          <w:sz w:val="32"/>
          <w:szCs w:val="32"/>
          <w:highlight w:val="none"/>
          <w:lang w:eastAsia="zh-CN"/>
        </w:rPr>
        <w:t>资金</w:t>
      </w:r>
      <w:r>
        <w:rPr>
          <w:rFonts w:hint="default" w:ascii="Nimbus Roman" w:hAnsi="Nimbus Roman" w:eastAsia="仿宋" w:cs="Nimbus Roman"/>
          <w:sz w:val="32"/>
          <w:szCs w:val="32"/>
          <w:highlight w:val="none"/>
          <w:lang w:val="en-US" w:eastAsia="zh-CN"/>
        </w:rPr>
        <w:t>137.75</w:t>
      </w:r>
      <w:r>
        <w:rPr>
          <w:rFonts w:hint="default" w:ascii="Nimbus Roman" w:hAnsi="Nimbus Roman" w:eastAsia="仿宋" w:cs="Nimbus Roman"/>
          <w:sz w:val="32"/>
          <w:szCs w:val="32"/>
          <w:highlight w:val="none"/>
          <w:lang w:eastAsia="zh-CN"/>
        </w:rPr>
        <w:t>万元，</w:t>
      </w:r>
      <w:r>
        <w:rPr>
          <w:rFonts w:hint="eastAsia" w:ascii="Nimbus Roman" w:hAnsi="Nimbus Roman" w:eastAsia="仿宋" w:cs="Nimbus Roman"/>
          <w:sz w:val="32"/>
          <w:szCs w:val="32"/>
          <w:highlight w:val="none"/>
          <w:lang w:eastAsia="zh-CN"/>
        </w:rPr>
        <w:t>全年</w:t>
      </w:r>
      <w:r>
        <w:rPr>
          <w:rFonts w:hint="default" w:ascii="Nimbus Roman" w:hAnsi="Nimbus Roman" w:eastAsia="仿宋" w:cs="Nimbus Roman"/>
          <w:sz w:val="32"/>
          <w:szCs w:val="32"/>
          <w:highlight w:val="none"/>
          <w:lang w:eastAsia="zh-CN"/>
        </w:rPr>
        <w:t>共</w:t>
      </w:r>
      <w:r>
        <w:rPr>
          <w:rFonts w:hint="default" w:ascii="Nimbus Roman" w:hAnsi="Nimbus Roman" w:eastAsia="仿宋" w:cs="Nimbus Roman"/>
          <w:sz w:val="32"/>
          <w:szCs w:val="32"/>
          <w:highlight w:val="none"/>
          <w:shd w:val="clear"/>
          <w:lang w:eastAsia="zh-CN"/>
        </w:rPr>
        <w:t>支出</w:t>
      </w:r>
      <w:r>
        <w:rPr>
          <w:rFonts w:hint="default" w:ascii="Nimbus Roman" w:hAnsi="Nimbus Roman" w:eastAsia="仿宋" w:cs="Nimbus Roman"/>
          <w:sz w:val="32"/>
          <w:szCs w:val="32"/>
          <w:highlight w:val="none"/>
          <w:shd w:val="clear"/>
          <w:lang w:val="en-US" w:eastAsia="zh-CN"/>
        </w:rPr>
        <w:t>151.2</w:t>
      </w:r>
      <w:r>
        <w:rPr>
          <w:rFonts w:hint="default" w:ascii="Nimbus Roman" w:hAnsi="Nimbus Roman" w:eastAsia="仿宋" w:cs="Nimbus Roman"/>
          <w:sz w:val="32"/>
          <w:szCs w:val="32"/>
          <w:highlight w:val="none"/>
          <w:shd w:val="clear"/>
          <w:lang w:eastAsia="zh-CN"/>
        </w:rPr>
        <w:t>万元</w:t>
      </w:r>
      <w:r>
        <w:rPr>
          <w:rFonts w:hint="eastAsia" w:ascii="Nimbus Roman" w:hAnsi="Nimbus Roman" w:eastAsia="仿宋" w:cs="Nimbus Roman"/>
          <w:sz w:val="32"/>
          <w:szCs w:val="32"/>
          <w:highlight w:val="none"/>
          <w:shd w:val="clear"/>
          <w:lang w:eastAsia="zh-CN"/>
        </w:rPr>
        <w:t>，其中超出部分使用自有资金弥补。支出组</w:t>
      </w:r>
      <w:r>
        <w:rPr>
          <w:rFonts w:hint="eastAsia" w:ascii="Nimbus Roman" w:hAnsi="Nimbus Roman" w:eastAsia="仿宋" w:cs="Nimbus Roman"/>
          <w:sz w:val="32"/>
          <w:szCs w:val="32"/>
          <w:highlight w:val="none"/>
          <w:lang w:eastAsia="zh-CN"/>
        </w:rPr>
        <w:t>成包括</w:t>
      </w:r>
      <w:r>
        <w:rPr>
          <w:rFonts w:hint="default" w:ascii="Nimbus Roman" w:hAnsi="Nimbus Roman" w:eastAsia="仿宋" w:cs="Nimbus Roman"/>
          <w:sz w:val="32"/>
          <w:szCs w:val="32"/>
          <w:highlight w:val="none"/>
          <w:lang w:eastAsia="zh-CN"/>
        </w:rPr>
        <w:t>放映费(含人员工资)</w:t>
      </w:r>
      <w:r>
        <w:rPr>
          <w:rFonts w:hint="default" w:ascii="Nimbus Roman" w:hAnsi="Nimbus Roman" w:eastAsia="仿宋" w:cs="Nimbus Roman"/>
          <w:sz w:val="32"/>
          <w:szCs w:val="32"/>
          <w:highlight w:val="none"/>
          <w:lang w:val="en-US" w:eastAsia="zh-CN"/>
        </w:rPr>
        <w:t>138</w:t>
      </w:r>
      <w:r>
        <w:rPr>
          <w:rFonts w:hint="default" w:ascii="Nimbus Roman" w:hAnsi="Nimbus Roman" w:eastAsia="仿宋" w:cs="Nimbus Roman"/>
          <w:sz w:val="32"/>
          <w:szCs w:val="32"/>
          <w:highlight w:val="none"/>
          <w:lang w:eastAsia="zh-CN"/>
        </w:rPr>
        <w:t>万元，设备运输费(含油料费)、宣传费</w:t>
      </w:r>
      <w:r>
        <w:rPr>
          <w:rFonts w:hint="default" w:ascii="Nimbus Roman" w:hAnsi="Nimbus Roman" w:eastAsia="仿宋" w:cs="Nimbus Roman"/>
          <w:sz w:val="32"/>
          <w:szCs w:val="32"/>
        </w:rPr>
        <w:t>3万元，运输车辆维护、保险费</w:t>
      </w:r>
      <w:r>
        <w:rPr>
          <w:rFonts w:hint="default" w:ascii="Nimbus Roman" w:hAnsi="Nimbus Roman" w:eastAsia="仿宋" w:cs="Nimbus Roman"/>
          <w:sz w:val="32"/>
          <w:szCs w:val="32"/>
          <w:lang w:val="en-US" w:eastAsia="zh-CN"/>
        </w:rPr>
        <w:t>4.2</w:t>
      </w:r>
      <w:r>
        <w:rPr>
          <w:rFonts w:hint="default" w:ascii="Nimbus Roman" w:hAnsi="Nimbus Roman" w:eastAsia="仿宋" w:cs="Nimbus Roman"/>
          <w:sz w:val="32"/>
          <w:szCs w:val="32"/>
        </w:rPr>
        <w:t>万元</w:t>
      </w:r>
      <w:r>
        <w:rPr>
          <w:rFonts w:hint="default" w:ascii="Nimbus Roman" w:hAnsi="Nimbus Roman" w:eastAsia="仿宋" w:cs="Nimbus Roman"/>
          <w:sz w:val="32"/>
          <w:szCs w:val="32"/>
          <w:lang w:eastAsia="zh-CN"/>
        </w:rPr>
        <w:t>，</w:t>
      </w:r>
      <w:r>
        <w:rPr>
          <w:rFonts w:hint="default" w:ascii="Nimbus Roman" w:hAnsi="Nimbus Roman" w:eastAsia="仿宋" w:cs="Nimbus Roman"/>
          <w:sz w:val="32"/>
          <w:szCs w:val="32"/>
        </w:rPr>
        <w:t>放映设备折旧费6万元。</w:t>
      </w:r>
    </w:p>
    <w:p>
      <w:pPr>
        <w:keepNext w:val="0"/>
        <w:keepLines w:val="0"/>
        <w:pageBreakBefore w:val="0"/>
        <w:kinsoku/>
        <w:wordWrap/>
        <w:overflowPunct/>
        <w:autoSpaceDE/>
        <w:autoSpaceDN/>
        <w:bidi w:val="0"/>
        <w:adjustRightInd/>
        <w:snapToGrid/>
        <w:spacing w:line="62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bCs/>
          <w:sz w:val="32"/>
          <w:szCs w:val="32"/>
        </w:rPr>
        <w:t>三、项目组织实施管理情况</w:t>
      </w:r>
    </w:p>
    <w:p>
      <w:pPr>
        <w:pStyle w:val="9"/>
        <w:keepNext w:val="0"/>
        <w:keepLines w:val="0"/>
        <w:pageBreakBefore w:val="0"/>
        <w:widowControl/>
        <w:suppressLineNumbers w:val="0"/>
        <w:shd w:val="clear"/>
        <w:kinsoku/>
        <w:wordWrap/>
        <w:overflowPunct/>
        <w:autoSpaceDE/>
        <w:autoSpaceDN/>
        <w:bidi w:val="0"/>
        <w:adjustRightInd/>
        <w:snapToGrid/>
        <w:spacing w:before="0" w:beforeAutospacing="0" w:after="0" w:afterAutospacing="0" w:line="620" w:lineRule="exact"/>
        <w:ind w:left="0" w:right="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一是制定实施方案。年初，市文旅广体局、市电影公司制定当年送戏下乡、周末广场电影计划，确定演出（放映）地点、演出（放映）场次、演出（放映）剧目等</w:t>
      </w:r>
      <w:r>
        <w:rPr>
          <w:rFonts w:hint="eastAsia" w:ascii="Nimbus Roman" w:hAnsi="Nimbus Roman" w:eastAsia="仿宋" w:cs="Nimbus Roman"/>
          <w:kern w:val="2"/>
          <w:sz w:val="32"/>
          <w:szCs w:val="32"/>
          <w:lang w:val="en-US" w:eastAsia="zh-CN" w:bidi="ar-SA"/>
        </w:rPr>
        <w:t>；</w:t>
      </w:r>
      <w:r>
        <w:rPr>
          <w:rFonts w:hint="default" w:ascii="Nimbus Roman" w:hAnsi="Nimbus Roman" w:eastAsia="仿宋" w:cs="Nimbus Roman"/>
          <w:kern w:val="2"/>
          <w:sz w:val="32"/>
          <w:szCs w:val="32"/>
          <w:lang w:val="en-US" w:eastAsia="zh-CN" w:bidi="ar-SA"/>
        </w:rPr>
        <w:t>制定《“强国复兴有我·益阳花鼓大戏台——送戏惠民”益阳市第十届花鼓戏汇演方案》《2022年益阳市戏曲（非遗）进校园实施方案》</w:t>
      </w:r>
      <w:r>
        <w:rPr>
          <w:rFonts w:hint="eastAsia" w:ascii="Nimbus Roman" w:hAnsi="Nimbus Roman" w:eastAsia="仿宋" w:cs="Nimbus Roman"/>
          <w:kern w:val="2"/>
          <w:sz w:val="32"/>
          <w:szCs w:val="32"/>
          <w:lang w:val="en-US" w:eastAsia="zh-CN" w:bidi="ar-SA"/>
        </w:rPr>
        <w:t>，</w:t>
      </w:r>
      <w:r>
        <w:rPr>
          <w:rFonts w:hint="default" w:ascii="Nimbus Roman" w:hAnsi="Nimbus Roman" w:eastAsia="仿宋" w:cs="Nimbus Roman"/>
          <w:kern w:val="2"/>
          <w:sz w:val="32"/>
          <w:szCs w:val="32"/>
          <w:lang w:val="en-US" w:eastAsia="zh-CN" w:bidi="ar-SA"/>
        </w:rPr>
        <w:t>召开“益阳花鼓大戏台”送戏下乡演出剧目质量提高座谈会和送戏下乡工作会议等。</w:t>
      </w:r>
    </w:p>
    <w:p>
      <w:pPr>
        <w:pStyle w:val="9"/>
        <w:keepNext w:val="0"/>
        <w:keepLines w:val="0"/>
        <w:pageBreakBefore w:val="0"/>
        <w:widowControl/>
        <w:suppressLineNumbers w:val="0"/>
        <w:shd w:val="clear"/>
        <w:kinsoku/>
        <w:wordWrap/>
        <w:overflowPunct/>
        <w:autoSpaceDE/>
        <w:autoSpaceDN/>
        <w:bidi w:val="0"/>
        <w:adjustRightInd/>
        <w:snapToGrid/>
        <w:spacing w:before="0" w:beforeAutospacing="0" w:after="0" w:afterAutospacing="0" w:line="590" w:lineRule="exact"/>
        <w:ind w:left="0" w:righ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kern w:val="2"/>
          <w:sz w:val="32"/>
          <w:szCs w:val="32"/>
          <w:lang w:val="en-US" w:eastAsia="zh-CN" w:bidi="ar-SA"/>
        </w:rPr>
        <w:t>二是规范管理项目运行。周末广场电影项目实行六个统一，即统一放映时间、统一公益宣传片、统一放映流程、统一市场经营、统一放映节目、统一规范管理。送戏下乡项目实行公开招标，按照年度演出计划与具备相对稳定演员队伍、固定排练场所、流动演出舞台车和其他基本演出条件的剧团签订演出合同，明确双方权</w:t>
      </w:r>
      <w:r>
        <w:rPr>
          <w:rFonts w:hint="default" w:ascii="Nimbus Roman" w:hAnsi="Nimbus Roman" w:eastAsia="仿宋" w:cs="Nimbus Roman"/>
          <w:sz w:val="32"/>
          <w:szCs w:val="32"/>
        </w:rPr>
        <w:t>利义务</w:t>
      </w:r>
      <w:r>
        <w:rPr>
          <w:rFonts w:hint="eastAsia" w:ascii="Nimbus Roman" w:hAnsi="Nimbus Roman" w:eastAsia="仿宋" w:cs="Nimbus Roman"/>
          <w:sz w:val="32"/>
          <w:szCs w:val="32"/>
          <w:lang w:eastAsia="zh-CN"/>
        </w:rPr>
        <w:t>，</w:t>
      </w:r>
      <w:r>
        <w:rPr>
          <w:rFonts w:hint="default" w:ascii="Nimbus Roman" w:hAnsi="Nimbus Roman" w:eastAsia="仿宋" w:cs="Nimbus Roman"/>
          <w:sz w:val="32"/>
          <w:szCs w:val="32"/>
          <w:lang w:eastAsia="zh-CN"/>
        </w:rPr>
        <w:t>并公示演出信息，</w:t>
      </w:r>
      <w:r>
        <w:rPr>
          <w:rFonts w:hint="default" w:ascii="Nimbus Roman" w:hAnsi="Nimbus Roman" w:eastAsia="仿宋" w:cs="Nimbus Roman"/>
          <w:kern w:val="2"/>
          <w:sz w:val="32"/>
          <w:szCs w:val="32"/>
          <w:lang w:val="en-US" w:eastAsia="zh-CN" w:bidi="ar-SA"/>
        </w:rPr>
        <w:t>网站上提前发布《“强国复兴有我·益阳花鼓大戏台——送戏惠民”演出日程安排表》，包括演出时间</w:t>
      </w:r>
      <w:r>
        <w:rPr>
          <w:rFonts w:hint="eastAsia" w:ascii="Nimbus Roman" w:hAnsi="Nimbus Roman" w:eastAsia="仿宋" w:cs="Nimbus Roman"/>
          <w:kern w:val="2"/>
          <w:sz w:val="32"/>
          <w:szCs w:val="32"/>
          <w:lang w:val="en-US" w:eastAsia="zh-CN" w:bidi="ar-SA"/>
        </w:rPr>
        <w:t>、</w:t>
      </w:r>
      <w:r>
        <w:rPr>
          <w:rFonts w:hint="default" w:ascii="Nimbus Roman" w:hAnsi="Nimbus Roman" w:eastAsia="仿宋" w:cs="Nimbus Roman"/>
          <w:kern w:val="2"/>
          <w:sz w:val="32"/>
          <w:szCs w:val="32"/>
          <w:lang w:val="en-US" w:eastAsia="zh-CN" w:bidi="ar-SA"/>
        </w:rPr>
        <w:t>地点、演出单位等信息。</w:t>
      </w:r>
    </w:p>
    <w:p>
      <w:pPr>
        <w:keepNext w:val="0"/>
        <w:keepLines w:val="0"/>
        <w:pageBreakBefore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三是</w:t>
      </w:r>
      <w:r>
        <w:rPr>
          <w:rFonts w:hint="eastAsia" w:ascii="Nimbus Roman" w:hAnsi="Nimbus Roman" w:eastAsia="仿宋" w:cs="Nimbus Roman"/>
          <w:sz w:val="32"/>
          <w:szCs w:val="32"/>
          <w:lang w:eastAsia="zh-CN"/>
        </w:rPr>
        <w:t>按照计划</w:t>
      </w:r>
      <w:r>
        <w:rPr>
          <w:rFonts w:hint="default" w:ascii="Nimbus Roman" w:hAnsi="Nimbus Roman" w:eastAsia="仿宋" w:cs="Nimbus Roman"/>
          <w:sz w:val="32"/>
          <w:szCs w:val="32"/>
        </w:rPr>
        <w:t>实施演出（放映）。各剧团、市电影公司按照演出（放映）计划和要求，组织人员赴指定地点演出（放映）。电影放映结束后，放映员填制电影放映回执单，并附2张现场照片，经所在社区签章认可后，作为放映验收依据。</w:t>
      </w:r>
    </w:p>
    <w:p>
      <w:pPr>
        <w:keepNext w:val="0"/>
        <w:keepLines w:val="0"/>
        <w:pageBreakBefore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四是组织验收考核。成立了送戏下乡、周末广场电影项目监督检查工作组，采取定期、不定期方式，对送戏下乡、周末广场电影项目实施监督检查。周末广场电影项目还在每个放映点设立了监督员，电影放映结束后，由监督员按要求对放映时间、影片内容、放映质量等进行监督，并征求观众意见。</w:t>
      </w:r>
    </w:p>
    <w:p>
      <w:pPr>
        <w:keepNext w:val="0"/>
        <w:keepLines w:val="0"/>
        <w:pageBreakBefore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bCs/>
          <w:sz w:val="32"/>
          <w:szCs w:val="32"/>
        </w:rPr>
        <w:t>四、绩效评价工作情况</w:t>
      </w:r>
    </w:p>
    <w:p>
      <w:pPr>
        <w:keepNext w:val="0"/>
        <w:keepLines w:val="0"/>
        <w:pageBreakBefore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楷体" w:cs="Nimbus Roman"/>
          <w:sz w:val="32"/>
          <w:szCs w:val="32"/>
        </w:rPr>
      </w:pPr>
      <w:r>
        <w:rPr>
          <w:rFonts w:hint="default" w:ascii="Nimbus Roman" w:hAnsi="Nimbus Roman" w:eastAsia="楷体" w:cs="Nimbus Roman"/>
          <w:sz w:val="32"/>
          <w:szCs w:val="32"/>
        </w:rPr>
        <w:t>（一）绩效评价目的</w:t>
      </w:r>
    </w:p>
    <w:p>
      <w:pPr>
        <w:keepNext w:val="0"/>
        <w:keepLines w:val="0"/>
        <w:pageBreakBefore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通过开展送戏下乡、周末广场电影项目绩效评价，全面了解、分析该项目资金分配、使用及管理等情况，督促项目</w:t>
      </w:r>
    </w:p>
    <w:p>
      <w:pPr>
        <w:keepNext w:val="0"/>
        <w:keepLines w:val="0"/>
        <w:pageBreakBefore w:val="0"/>
        <w:widowControl w:val="0"/>
        <w:kinsoku/>
        <w:wordWrap/>
        <w:overflowPunct/>
        <w:topLinePunct/>
        <w:autoSpaceDE/>
        <w:autoSpaceDN/>
        <w:bidi w:val="0"/>
        <w:adjustRightInd/>
        <w:snapToGrid/>
        <w:spacing w:line="560" w:lineRule="exact"/>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单位进一步完善项目申报、实施等程序，规范资金分配、使用及管理，切实提高财政资金使用效益。</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楷体" w:cs="Nimbus Roman"/>
          <w:sz w:val="32"/>
          <w:szCs w:val="32"/>
        </w:rPr>
      </w:pPr>
      <w:r>
        <w:rPr>
          <w:rFonts w:hint="default" w:ascii="Nimbus Roman" w:hAnsi="Nimbus Roman" w:eastAsia="楷体" w:cs="Nimbus Roman"/>
          <w:sz w:val="32"/>
          <w:szCs w:val="32"/>
        </w:rPr>
        <w:t>（二）绩效评价工作过程</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按照相关政策规定和《通知》文件要求，我局抽调专人成立了绩效评价工作组，明确了工作职责</w:t>
      </w:r>
      <w:r>
        <w:rPr>
          <w:rFonts w:hint="default" w:ascii="Nimbus Roman" w:hAnsi="Nimbus Roman" w:eastAsia="仿宋" w:cs="Nimbus Roman"/>
          <w:sz w:val="32"/>
          <w:szCs w:val="32"/>
          <w:lang w:eastAsia="zh-CN"/>
        </w:rPr>
        <w:t>及</w:t>
      </w:r>
      <w:r>
        <w:rPr>
          <w:rFonts w:hint="default" w:ascii="Nimbus Roman" w:hAnsi="Nimbus Roman" w:eastAsia="仿宋" w:cs="Nimbus Roman"/>
          <w:sz w:val="32"/>
          <w:szCs w:val="32"/>
        </w:rPr>
        <w:t>绩效评价时间，召开了相关会议，收集了相关资料，对照绩效评价内容逐条逐项组织开展自评，得出评价结论，形成绩效评价自评报告。</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sz w:val="32"/>
          <w:szCs w:val="32"/>
        </w:rPr>
        <w:t>五、</w:t>
      </w:r>
      <w:r>
        <w:rPr>
          <w:rFonts w:hint="default" w:ascii="Nimbus Roman" w:hAnsi="Nimbus Roman" w:eastAsia="黑体" w:cs="Nimbus Roman"/>
          <w:bCs/>
          <w:sz w:val="32"/>
          <w:szCs w:val="32"/>
        </w:rPr>
        <w:t>绩效评价结果和主要绩效</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根据该项目资金绩效评价指标体系和绩效检查情况，该项目整体绩效分值100分，实得9</w:t>
      </w:r>
      <w:r>
        <w:rPr>
          <w:rFonts w:hint="default" w:ascii="Nimbus Roman" w:hAnsi="Nimbus Roman" w:eastAsia="仿宋" w:cs="Nimbus Roman"/>
          <w:sz w:val="32"/>
          <w:szCs w:val="32"/>
          <w:lang w:val="en-US" w:eastAsia="zh-CN"/>
        </w:rPr>
        <w:t>5</w:t>
      </w:r>
      <w:r>
        <w:rPr>
          <w:rFonts w:hint="default" w:ascii="Nimbus Roman" w:hAnsi="Nimbus Roman" w:eastAsia="仿宋" w:cs="Nimbus Roman"/>
          <w:sz w:val="32"/>
          <w:szCs w:val="32"/>
        </w:rPr>
        <w:t>分。主要绩效表现在：</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送戏下乡、演艺惠民及周末广场电影项目是加快完善公共文化服务体系，实现文化与政治、经济、社会协调发展的需要；是实现公民文化权益的重要举措和</w:t>
      </w:r>
      <w:r>
        <w:rPr>
          <w:rFonts w:hint="eastAsia" w:ascii="Nimbus Roman" w:hAnsi="Nimbus Roman" w:eastAsia="仿宋" w:cs="Nimbus Roman"/>
          <w:sz w:val="32"/>
          <w:szCs w:val="32"/>
          <w:lang w:val="en-US" w:eastAsia="zh-CN"/>
        </w:rPr>
        <w:t>重</w:t>
      </w:r>
      <w:r>
        <w:rPr>
          <w:rFonts w:hint="default" w:ascii="Nimbus Roman" w:hAnsi="Nimbus Roman" w:eastAsia="仿宋" w:cs="Nimbus Roman"/>
          <w:sz w:val="32"/>
          <w:szCs w:val="32"/>
          <w:lang w:val="en-US" w:eastAsia="zh-CN"/>
        </w:rPr>
        <w:t>要手段；丰富了人民群众文化生活</w:t>
      </w:r>
      <w:r>
        <w:rPr>
          <w:rFonts w:hint="eastAsia" w:ascii="Nimbus Roman" w:hAnsi="Nimbus Roman" w:eastAsia="仿宋" w:cs="Nimbus Roman"/>
          <w:sz w:val="32"/>
          <w:szCs w:val="32"/>
          <w:lang w:val="en-US" w:eastAsia="zh-CN"/>
        </w:rPr>
        <w:t>，</w:t>
      </w:r>
      <w:r>
        <w:rPr>
          <w:rFonts w:hint="default" w:ascii="Nimbus Roman" w:hAnsi="Nimbus Roman" w:eastAsia="仿宋" w:cs="Nimbus Roman"/>
          <w:sz w:val="32"/>
          <w:szCs w:val="32"/>
          <w:lang w:val="en-US" w:eastAsia="zh-CN"/>
        </w:rPr>
        <w:t>满足了老百姓日益增长的文化需求。</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楷体" w:cs="Nimbus Roman"/>
          <w:sz w:val="32"/>
          <w:szCs w:val="32"/>
          <w:lang w:val="en-US" w:eastAsia="zh-CN"/>
        </w:rPr>
      </w:pPr>
      <w:r>
        <w:rPr>
          <w:rFonts w:hint="default" w:ascii="Nimbus Roman" w:hAnsi="Nimbus Roman" w:eastAsia="楷体" w:cs="Nimbus Roman"/>
          <w:sz w:val="32"/>
          <w:szCs w:val="32"/>
          <w:lang w:val="en-US" w:eastAsia="zh-CN"/>
        </w:rPr>
        <w:t>（一）文化传承，丰富精神文化需求</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在市中心城区设立周末电影放映点，丰富了进城务工、城乡低收入等人员文化生活，通过精选充满正能量的影片，让人民群众了解党的历史，教育人民热爱党、热爱祖国，珍惜来之不易的幸福生活。同时，通过送戏下乡活动，将花鼓戏送到城乡居民家门口</w:t>
      </w:r>
      <w:r>
        <w:rPr>
          <w:rFonts w:hint="eastAsia" w:ascii="Nimbus Roman" w:hAnsi="Nimbus Roman" w:eastAsia="仿宋" w:cs="Nimbus Roman"/>
          <w:sz w:val="32"/>
          <w:szCs w:val="32"/>
          <w:lang w:eastAsia="zh-CN"/>
        </w:rPr>
        <w:t>，</w:t>
      </w:r>
      <w:r>
        <w:rPr>
          <w:rFonts w:hint="default" w:ascii="Nimbus Roman" w:hAnsi="Nimbus Roman" w:eastAsia="仿宋" w:cs="Nimbus Roman"/>
          <w:sz w:val="32"/>
          <w:szCs w:val="32"/>
        </w:rPr>
        <w:t>让一度陷入低谷的花鼓艺术重焕生机，有效推动了地方文化发展，</w:t>
      </w:r>
      <w:r>
        <w:rPr>
          <w:rFonts w:hint="eastAsia" w:ascii="Nimbus Roman" w:hAnsi="Nimbus Roman" w:eastAsia="仿宋" w:cs="Nimbus Roman"/>
          <w:sz w:val="32"/>
          <w:szCs w:val="32"/>
          <w:lang w:eastAsia="zh-CN"/>
        </w:rPr>
        <w:t>丰富群众文化生活，</w:t>
      </w:r>
      <w:r>
        <w:rPr>
          <w:rFonts w:hint="default" w:ascii="Nimbus Roman" w:hAnsi="Nimbus Roman" w:eastAsia="仿宋" w:cs="Nimbus Roman"/>
          <w:sz w:val="32"/>
          <w:szCs w:val="32"/>
        </w:rPr>
        <w:t>融洽了党群干群关系。</w:t>
      </w:r>
    </w:p>
    <w:p>
      <w:pPr>
        <w:keepNext w:val="0"/>
        <w:keepLines w:val="0"/>
        <w:pageBreakBefore w:val="0"/>
        <w:kinsoku/>
        <w:wordWrap/>
        <w:overflowPunct/>
        <w:topLinePunct/>
        <w:autoSpaceDE/>
        <w:autoSpaceDN/>
        <w:bidi w:val="0"/>
        <w:adjustRightInd/>
        <w:snapToGrid/>
        <w:spacing w:line="560" w:lineRule="exact"/>
        <w:ind w:left="0" w:firstLine="640" w:firstLineChars="200"/>
        <w:jc w:val="both"/>
        <w:textAlignment w:val="auto"/>
        <w:rPr>
          <w:rFonts w:hint="default" w:ascii="Nimbus Roman" w:hAnsi="Nimbus Roman" w:eastAsia="楷体" w:cs="Nimbus Roman"/>
          <w:sz w:val="32"/>
          <w:szCs w:val="32"/>
          <w:lang w:val="en-US" w:eastAsia="zh-CN"/>
        </w:rPr>
      </w:pPr>
      <w:r>
        <w:rPr>
          <w:rFonts w:hint="default" w:ascii="Nimbus Roman" w:hAnsi="Nimbus Roman" w:eastAsia="楷体" w:cs="Nimbus Roman"/>
          <w:sz w:val="32"/>
          <w:szCs w:val="32"/>
          <w:lang w:val="en-US" w:eastAsia="zh-CN"/>
        </w:rPr>
        <w:t>（二）喜闻乐见，贴近群众日常生活</w:t>
      </w:r>
    </w:p>
    <w:p>
      <w:pPr>
        <w:pStyle w:val="9"/>
        <w:keepNext w:val="0"/>
        <w:keepLines w:val="0"/>
        <w:pageBreakBefore w:val="0"/>
        <w:widowControl/>
        <w:numPr>
          <w:ilvl w:val="0"/>
          <w:numId w:val="0"/>
        </w:numPr>
        <w:suppressLineNumbers w:val="0"/>
        <w:shd w:val="clear"/>
        <w:kinsoku/>
        <w:wordWrap/>
        <w:overflowPunct/>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演出内容为传统或现代花鼓戏，体到了本地特色，内容健康，群众喜闻乐见。制定了集中巡演工作方案，收集了各区县（市）共83个乡镇演出点。遴选花鼓戏汇演中优秀剧团，对剧团和演出点（包括乡村振兴点）进行了合理安排，并在局网站进行了公布。</w:t>
      </w:r>
      <w:r>
        <w:rPr>
          <w:rFonts w:hint="eastAsia" w:ascii="Nimbus Roman" w:hAnsi="Nimbus Roman" w:eastAsia="仿宋" w:cs="Nimbus Roman"/>
          <w:kern w:val="2"/>
          <w:sz w:val="32"/>
          <w:szCs w:val="32"/>
          <w:lang w:val="en-US" w:eastAsia="zh-CN" w:bidi="ar-SA"/>
        </w:rPr>
        <w:t>如</w:t>
      </w:r>
      <w:r>
        <w:rPr>
          <w:rFonts w:hint="default" w:ascii="Nimbus Roman" w:hAnsi="Nimbus Roman" w:eastAsia="仿宋" w:cs="Nimbus Roman"/>
          <w:kern w:val="2"/>
          <w:sz w:val="32"/>
          <w:szCs w:val="32"/>
          <w:lang w:val="en-US" w:eastAsia="zh-CN" w:bidi="ar-SA"/>
        </w:rPr>
        <w:t>在“文化和自然遗产日”组织赫山区奎星花鼓戏剧团在市民文化中心演出大型花鼓戏《百寿图》，得到群众的赞誉。</w:t>
      </w:r>
    </w:p>
    <w:p>
      <w:pPr>
        <w:keepNext w:val="0"/>
        <w:keepLines w:val="0"/>
        <w:pageBreakBefore w:val="0"/>
        <w:shd w:val="clear"/>
        <w:kinsoku/>
        <w:wordWrap/>
        <w:overflowPunct/>
        <w:topLinePunct/>
        <w:autoSpaceDE/>
        <w:autoSpaceDN/>
        <w:bidi w:val="0"/>
        <w:adjustRightInd/>
        <w:snapToGrid/>
        <w:spacing w:line="600" w:lineRule="exact"/>
        <w:ind w:left="0" w:firstLine="640" w:firstLineChars="200"/>
        <w:jc w:val="both"/>
        <w:textAlignment w:val="auto"/>
        <w:rPr>
          <w:rFonts w:hint="default" w:ascii="Nimbus Roman" w:hAnsi="Nimbus Roman" w:eastAsia="楷体" w:cs="Nimbus Roman"/>
          <w:sz w:val="32"/>
          <w:szCs w:val="32"/>
          <w:lang w:val="en-US" w:eastAsia="zh-CN"/>
        </w:rPr>
      </w:pPr>
      <w:r>
        <w:rPr>
          <w:rFonts w:hint="default" w:ascii="Nimbus Roman" w:hAnsi="Nimbus Roman" w:eastAsia="楷体" w:cs="Nimbus Roman"/>
          <w:sz w:val="32"/>
          <w:szCs w:val="32"/>
          <w:lang w:val="en-US" w:eastAsia="zh-CN"/>
        </w:rPr>
        <w:t>（三）戏剧进校园，扩大受众面积</w:t>
      </w:r>
    </w:p>
    <w:p>
      <w:pPr>
        <w:pStyle w:val="9"/>
        <w:keepNext w:val="0"/>
        <w:keepLines w:val="0"/>
        <w:pageBreakBefore w:val="0"/>
        <w:widowControl/>
        <w:suppressLineNumbers w:val="0"/>
        <w:shd w:val="clear"/>
        <w:kinsoku/>
        <w:wordWrap/>
        <w:overflow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与市教育局联系确定了10所市中心城区学校，并于6月份、9月份、10月份在龙洲学校、桃花仑小学等6所中小学校开展了</w:t>
      </w:r>
      <w:r>
        <w:rPr>
          <w:rFonts w:hint="eastAsia" w:ascii="Nimbus Roman" w:hAnsi="Nimbus Roman" w:eastAsia="仿宋" w:cs="Nimbus Roman"/>
          <w:kern w:val="2"/>
          <w:sz w:val="32"/>
          <w:szCs w:val="32"/>
          <w:lang w:val="en-US" w:eastAsia="zh-CN" w:bidi="ar-SA"/>
        </w:rPr>
        <w:t>戏剧进校园</w:t>
      </w:r>
      <w:r>
        <w:rPr>
          <w:rFonts w:hint="default" w:ascii="Nimbus Roman" w:hAnsi="Nimbus Roman" w:eastAsia="仿宋" w:cs="Nimbus Roman"/>
          <w:kern w:val="2"/>
          <w:sz w:val="32"/>
          <w:szCs w:val="32"/>
          <w:lang w:val="en-US" w:eastAsia="zh-CN" w:bidi="ar-SA"/>
        </w:rPr>
        <w:t>活动</w:t>
      </w:r>
      <w:r>
        <w:rPr>
          <w:rFonts w:hint="eastAsia" w:ascii="Nimbus Roman" w:hAnsi="Nimbus Roman" w:eastAsia="仿宋" w:cs="Nimbus Roman"/>
          <w:kern w:val="2"/>
          <w:sz w:val="32"/>
          <w:szCs w:val="32"/>
          <w:lang w:val="en-US" w:eastAsia="zh-CN" w:bidi="ar-SA"/>
        </w:rPr>
        <w:t>，受到学生欢迎</w:t>
      </w:r>
      <w:r>
        <w:rPr>
          <w:rFonts w:hint="default" w:ascii="Nimbus Roman" w:hAnsi="Nimbus Roman" w:eastAsia="仿宋" w:cs="Nimbus Roman"/>
          <w:kern w:val="2"/>
          <w:sz w:val="32"/>
          <w:szCs w:val="32"/>
          <w:lang w:val="en-US" w:eastAsia="zh-CN" w:bidi="ar-SA"/>
        </w:rPr>
        <w:t>。</w:t>
      </w:r>
    </w:p>
    <w:p>
      <w:pPr>
        <w:keepNext w:val="0"/>
        <w:keepLines w:val="0"/>
        <w:pageBreakBefore w:val="0"/>
        <w:shd w:val="clear"/>
        <w:kinsoku/>
        <w:wordWrap/>
        <w:overflowPunct/>
        <w:topLinePunct/>
        <w:autoSpaceDE/>
        <w:autoSpaceDN/>
        <w:bidi w:val="0"/>
        <w:adjustRightInd/>
        <w:snapToGrid/>
        <w:spacing w:line="600" w:lineRule="exact"/>
        <w:ind w:left="0" w:firstLine="640" w:firstLineChars="200"/>
        <w:jc w:val="both"/>
        <w:textAlignment w:val="auto"/>
        <w:rPr>
          <w:rFonts w:hint="default" w:ascii="Nimbus Roman" w:hAnsi="Nimbus Roman" w:eastAsia="楷体" w:cs="Nimbus Roman"/>
          <w:sz w:val="32"/>
          <w:szCs w:val="32"/>
          <w:lang w:val="en-US" w:eastAsia="zh-CN"/>
        </w:rPr>
      </w:pPr>
      <w:r>
        <w:rPr>
          <w:rFonts w:hint="default" w:ascii="Nimbus Roman" w:hAnsi="Nimbus Roman" w:eastAsia="楷体" w:cs="Nimbus Roman"/>
          <w:sz w:val="32"/>
          <w:szCs w:val="32"/>
          <w:lang w:val="en-US" w:eastAsia="zh-CN"/>
        </w:rPr>
        <w:t>（四）依托网络平台，做到线上线下全覆盖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迎合群众在线看戏需求，依托网络平台，以直播和录播的方式播放优秀送戏节目，提高送戏节目的质量</w:t>
      </w:r>
      <w:r>
        <w:rPr>
          <w:rFonts w:hint="eastAsia" w:ascii="Nimbus Roman" w:hAnsi="Nimbus Roman" w:eastAsia="仿宋" w:cs="Nimbus Roman"/>
          <w:kern w:val="2"/>
          <w:sz w:val="32"/>
          <w:szCs w:val="32"/>
          <w:lang w:val="en-US" w:eastAsia="zh-CN" w:bidi="ar-SA"/>
        </w:rPr>
        <w:t>，</w:t>
      </w:r>
      <w:r>
        <w:rPr>
          <w:rFonts w:hint="default" w:ascii="Nimbus Roman" w:hAnsi="Nimbus Roman" w:eastAsia="仿宋" w:cs="Nimbus Roman"/>
          <w:kern w:val="2"/>
          <w:sz w:val="32"/>
          <w:szCs w:val="32"/>
          <w:lang w:val="en-US" w:eastAsia="zh-CN" w:bidi="ar-SA"/>
        </w:rPr>
        <w:t>增强送戏过程中的互动，</w:t>
      </w:r>
      <w:r>
        <w:rPr>
          <w:rFonts w:hint="eastAsia" w:ascii="Nimbus Roman" w:hAnsi="Nimbus Roman" w:eastAsia="仿宋" w:cs="Nimbus Roman"/>
          <w:kern w:val="2"/>
          <w:sz w:val="32"/>
          <w:szCs w:val="32"/>
          <w:lang w:val="en-US" w:eastAsia="zh-CN" w:bidi="ar-SA"/>
        </w:rPr>
        <w:t>提高</w:t>
      </w:r>
      <w:r>
        <w:rPr>
          <w:rFonts w:hint="default" w:ascii="Nimbus Roman" w:hAnsi="Nimbus Roman" w:eastAsia="仿宋" w:cs="Nimbus Roman"/>
          <w:kern w:val="2"/>
          <w:sz w:val="32"/>
          <w:szCs w:val="32"/>
          <w:lang w:val="en-US" w:eastAsia="zh-CN" w:bidi="ar-SA"/>
        </w:rPr>
        <w:t>群众看戏热情。其中第十届花鼓戏汇演共组织3个国有剧团和16个民间剧团于11月14-23日在高新区山乡巨变广场进行了演出，并同步网络直播</w:t>
      </w:r>
      <w:r>
        <w:rPr>
          <w:rFonts w:hint="eastAsia" w:ascii="Nimbus Roman" w:hAnsi="Nimbus Roman" w:eastAsia="仿宋" w:cs="Nimbus Roman"/>
          <w:kern w:val="2"/>
          <w:sz w:val="32"/>
          <w:szCs w:val="32"/>
          <w:lang w:val="en-US" w:eastAsia="zh-CN" w:bidi="ar-SA"/>
        </w:rPr>
        <w:t>，</w:t>
      </w:r>
      <w:r>
        <w:rPr>
          <w:rFonts w:hint="default" w:ascii="Nimbus Roman" w:hAnsi="Nimbus Roman" w:eastAsia="仿宋" w:cs="Nimbus Roman"/>
          <w:kern w:val="2"/>
          <w:sz w:val="32"/>
          <w:szCs w:val="32"/>
          <w:lang w:val="en-US" w:eastAsia="zh-CN" w:bidi="ar-SA"/>
        </w:rPr>
        <w:t>现场观众1.8万人，直播点击量40</w:t>
      </w:r>
      <w:r>
        <w:rPr>
          <w:rFonts w:hint="eastAsia" w:ascii="Nimbus Roman" w:hAnsi="Nimbus Roman" w:eastAsia="仿宋" w:cs="Nimbus Roman"/>
          <w:kern w:val="2"/>
          <w:sz w:val="32"/>
          <w:szCs w:val="32"/>
          <w:lang w:val="en-US" w:eastAsia="zh-CN" w:bidi="ar-SA"/>
        </w:rPr>
        <w:t>余</w:t>
      </w:r>
      <w:r>
        <w:rPr>
          <w:rFonts w:hint="default" w:ascii="Nimbus Roman" w:hAnsi="Nimbus Roman" w:eastAsia="仿宋" w:cs="Nimbus Roman"/>
          <w:kern w:val="2"/>
          <w:sz w:val="32"/>
          <w:szCs w:val="32"/>
          <w:lang w:val="en-US" w:eastAsia="zh-CN" w:bidi="ar-SA"/>
        </w:rPr>
        <w:t>万人。</w:t>
      </w:r>
    </w:p>
    <w:p>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contextualSpacing/>
        <w:jc w:val="both"/>
        <w:textAlignment w:val="auto"/>
        <w:rPr>
          <w:rFonts w:hint="default" w:ascii="Nimbus Roman" w:hAnsi="Nimbus Roman" w:eastAsia="黑体" w:cs="Nimbus Roman"/>
          <w:color w:val="000000" w:themeColor="text1"/>
          <w:sz w:val="32"/>
          <w:lang w:eastAsia="zh-CN"/>
          <w14:textFill>
            <w14:solidFill>
              <w14:schemeClr w14:val="tx1"/>
            </w14:solidFill>
          </w14:textFill>
        </w:rPr>
      </w:pPr>
      <w:r>
        <w:rPr>
          <w:rFonts w:hint="default" w:ascii="Nimbus Roman" w:hAnsi="Nimbus Roman" w:eastAsia="黑体" w:cs="Nimbus Roman"/>
          <w:color w:val="000000" w:themeColor="text1"/>
          <w:sz w:val="32"/>
          <w:lang w:eastAsia="zh-CN"/>
          <w14:textFill>
            <w14:solidFill>
              <w14:schemeClr w14:val="tx1"/>
            </w14:solidFill>
          </w14:textFill>
        </w:rPr>
        <w:t>六</w:t>
      </w:r>
      <w:r>
        <w:rPr>
          <w:rFonts w:hint="default" w:ascii="Nimbus Roman" w:hAnsi="Nimbus Roman" w:eastAsia="黑体" w:cs="Nimbus Roman"/>
          <w:color w:val="000000" w:themeColor="text1"/>
          <w:sz w:val="32"/>
          <w14:textFill>
            <w14:solidFill>
              <w14:schemeClr w14:val="tx1"/>
            </w14:solidFill>
          </w14:textFill>
        </w:rPr>
        <w:t>、存在的问题</w:t>
      </w:r>
      <w:r>
        <w:rPr>
          <w:rFonts w:hint="default" w:ascii="Nimbus Roman" w:hAnsi="Nimbus Roman" w:eastAsia="黑体" w:cs="Nimbus Roman"/>
          <w:color w:val="000000" w:themeColor="text1"/>
          <w:sz w:val="32"/>
          <w:lang w:eastAsia="zh-CN"/>
          <w14:textFill>
            <w14:solidFill>
              <w14:schemeClr w14:val="tx1"/>
            </w14:solidFill>
          </w14:textFill>
        </w:rPr>
        <w:t>及改进措施</w:t>
      </w:r>
    </w:p>
    <w:p>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contextualSpacing/>
        <w:jc w:val="both"/>
        <w:textAlignment w:val="auto"/>
        <w:rPr>
          <w:rFonts w:hint="default" w:ascii="Nimbus Roman" w:hAnsi="Nimbus Roman" w:eastAsia="楷体" w:cs="Nimbus Roman"/>
          <w:bCs/>
          <w:color w:val="000000" w:themeColor="text1"/>
          <w:sz w:val="32"/>
          <w:lang w:eastAsia="zh-CN"/>
          <w14:textFill>
            <w14:solidFill>
              <w14:schemeClr w14:val="tx1"/>
            </w14:solidFill>
          </w14:textFill>
        </w:rPr>
      </w:pPr>
      <w:r>
        <w:rPr>
          <w:rFonts w:hint="default" w:ascii="Nimbus Roman" w:hAnsi="Nimbus Roman" w:eastAsia="楷体" w:cs="Nimbus Roman"/>
          <w:bCs/>
          <w:color w:val="000000" w:themeColor="text1"/>
          <w:sz w:val="32"/>
          <w14:textFill>
            <w14:solidFill>
              <w14:schemeClr w14:val="tx1"/>
            </w14:solidFill>
          </w14:textFill>
        </w:rPr>
        <w:t>（一）</w:t>
      </w:r>
      <w:r>
        <w:rPr>
          <w:rFonts w:hint="default" w:ascii="Nimbus Roman" w:hAnsi="Nimbus Roman" w:eastAsia="楷体" w:cs="Nimbus Roman"/>
          <w:bCs/>
          <w:color w:val="000000" w:themeColor="text1"/>
          <w:sz w:val="32"/>
          <w:lang w:eastAsia="zh-CN"/>
          <w14:textFill>
            <w14:solidFill>
              <w14:schemeClr w14:val="tx1"/>
            </w14:solidFill>
          </w14:textFill>
        </w:rPr>
        <w:t>存在的问题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受众面相对较窄。活动观众以中老年人和部分留守妇女儿童居多，青壮年观众较少，受益群众层次不均衡。</w:t>
      </w:r>
    </w:p>
    <w:p>
      <w:pPr>
        <w:pStyle w:val="2"/>
        <w:keepNext w:val="0"/>
        <w:keepLines w:val="0"/>
        <w:pageBreakBefore w:val="0"/>
        <w:numPr>
          <w:ilvl w:val="0"/>
          <w:numId w:val="1"/>
        </w:numPr>
        <w:shd w:val="clear"/>
        <w:kinsoku/>
        <w:wordWrap/>
        <w:overflowPunct/>
        <w:autoSpaceDE/>
        <w:autoSpaceDN/>
        <w:bidi w:val="0"/>
        <w:adjustRightInd/>
        <w:snapToGrid/>
        <w:spacing w:line="600" w:lineRule="exact"/>
        <w:ind w:left="0" w:leftChars="0" w:firstLine="640" w:firstLineChars="200"/>
        <w:jc w:val="both"/>
        <w:textAlignment w:val="auto"/>
        <w:rPr>
          <w:rFonts w:hint="default" w:ascii="Nimbus Roman" w:hAnsi="Nimbus Roman" w:eastAsia="仿宋" w:cs="Nimbus Roman"/>
          <w:i w:val="0"/>
          <w:caps w:val="0"/>
          <w:color w:val="333333"/>
          <w:spacing w:val="0"/>
          <w:sz w:val="32"/>
          <w:szCs w:val="32"/>
          <w:shd w:val="clear" w:fill="FFFFFF"/>
        </w:rPr>
      </w:pPr>
      <w:r>
        <w:rPr>
          <w:rFonts w:hint="default" w:ascii="Nimbus Roman" w:hAnsi="Nimbus Roman" w:eastAsia="楷体" w:cs="Nimbus Roman"/>
          <w:b w:val="0"/>
          <w:bCs/>
          <w:color w:val="000000" w:themeColor="text1"/>
          <w:kern w:val="2"/>
          <w:sz w:val="32"/>
          <w:szCs w:val="24"/>
          <w:lang w:val="en-US" w:eastAsia="zh-CN" w:bidi="ar-SA"/>
          <w14:textFill>
            <w14:solidFill>
              <w14:schemeClr w14:val="tx1"/>
            </w14:solidFill>
          </w14:textFill>
        </w:rPr>
        <w:t>改进措施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结合时代特点，创新传统剧目。除了传统优秀戏曲名段的传承，更要结合时代特点创新戏曲剧目，将更多具有时代感的优秀故事和人物编入戏曲剧目，或加入一些现代曲艺内容，以便适合多年龄段和不同文化层次群众的需求。了解群众喜闻乐见的剧种或节目，创作贴近本地文化的节目，不断丰富节目类型和节目内容。</w:t>
      </w:r>
    </w:p>
    <w:p>
      <w:pPr>
        <w:keepNext w:val="0"/>
        <w:keepLines w:val="0"/>
        <w:pageBreakBefore w:val="0"/>
        <w:widowControl/>
        <w:shd w:val="clear"/>
        <w:kinsoku/>
        <w:wordWrap/>
        <w:overflowPunct/>
        <w:autoSpaceDE/>
        <w:autoSpaceDN/>
        <w:bidi w:val="0"/>
        <w:adjustRightInd/>
        <w:snapToGrid/>
        <w:spacing w:line="600" w:lineRule="exact"/>
        <w:ind w:left="0" w:firstLine="640" w:firstLineChars="200"/>
        <w:jc w:val="both"/>
        <w:textAlignment w:val="auto"/>
        <w:rPr>
          <w:rFonts w:hint="default" w:ascii="Nimbus Roman" w:hAnsi="Nimbus Roman" w:eastAsia="黑体" w:cs="Nimbus Roman"/>
          <w:color w:val="000000" w:themeColor="text1"/>
          <w:sz w:val="32"/>
          <w14:textFill>
            <w14:solidFill>
              <w14:schemeClr w14:val="tx1"/>
            </w14:solidFill>
          </w14:textFill>
        </w:rPr>
      </w:pPr>
      <w:r>
        <w:rPr>
          <w:rFonts w:hint="default" w:ascii="Nimbus Roman" w:hAnsi="Nimbus Roman" w:eastAsia="黑体" w:cs="Nimbus Roman"/>
          <w:color w:val="000000" w:themeColor="text1"/>
          <w:sz w:val="32"/>
          <w:lang w:eastAsia="zh-CN"/>
          <w14:textFill>
            <w14:solidFill>
              <w14:schemeClr w14:val="tx1"/>
            </w14:solidFill>
          </w14:textFill>
        </w:rPr>
        <w:t>七</w:t>
      </w:r>
      <w:r>
        <w:rPr>
          <w:rFonts w:hint="default" w:ascii="Nimbus Roman" w:hAnsi="Nimbus Roman" w:eastAsia="黑体" w:cs="Nimbus Roman"/>
          <w:color w:val="000000" w:themeColor="text1"/>
          <w:sz w:val="32"/>
          <w14:textFill>
            <w14:solidFill>
              <w14:schemeClr w14:val="tx1"/>
            </w14:solidFill>
          </w14:textFill>
        </w:rPr>
        <w:t>、部门整体支出绩效自评结果公开情况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方正仿宋_GBK" w:cs="Nimbus Roman"/>
          <w:sz w:val="32"/>
          <w:szCs w:val="32"/>
          <w:lang w:val="en-US" w:eastAsia="zh-CN"/>
        </w:rPr>
      </w:pPr>
      <w:r>
        <w:rPr>
          <w:rFonts w:hint="default" w:ascii="Nimbus Roman" w:hAnsi="Nimbus Roman" w:eastAsia="方正仿宋_GBK" w:cs="Nimbus Roman"/>
          <w:sz w:val="32"/>
          <w:szCs w:val="32"/>
          <w:lang w:val="en-US" w:eastAsia="zh-CN"/>
        </w:rPr>
        <w:t>我单位将不断细化绩效评价指标，提高资金使用效益。根据市财政局部门绩效自评工作通知的要求，绩效自评报告将在单位门户网站上公开，</w:t>
      </w:r>
      <w:r>
        <w:rPr>
          <w:rFonts w:hint="eastAsia" w:ascii="Nimbus Roman" w:hAnsi="Nimbus Roman" w:eastAsia="方正仿宋_GBK" w:cs="Nimbus Roman"/>
          <w:sz w:val="32"/>
          <w:szCs w:val="32"/>
          <w:lang w:val="en-US" w:eastAsia="zh-CN"/>
        </w:rPr>
        <w:t>主动</w:t>
      </w:r>
      <w:r>
        <w:rPr>
          <w:rFonts w:hint="default" w:ascii="Nimbus Roman" w:hAnsi="Nimbus Roman" w:eastAsia="方正仿宋_GBK" w:cs="Nimbus Roman"/>
          <w:sz w:val="32"/>
          <w:szCs w:val="32"/>
          <w:lang w:val="en-US" w:eastAsia="zh-CN"/>
        </w:rPr>
        <w:t>接受社会监督。</w:t>
      </w:r>
    </w:p>
    <w:p>
      <w:pPr>
        <w:pStyle w:val="2"/>
        <w:shd w:val="clear"/>
        <w:rPr>
          <w:rFonts w:hint="default"/>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pPr>
      <w:r>
        <w:rPr>
          <w:rFonts w:hint="default" w:ascii="Nimbus Roman" w:hAnsi="Nimbus Roman" w:eastAsia="仿宋" w:cs="Nimbus Roman"/>
          <w:kern w:val="2"/>
          <w:sz w:val="32"/>
          <w:szCs w:val="32"/>
          <w:lang w:val="en-US" w:eastAsia="zh-CN" w:bidi="ar-SA"/>
        </w:rPr>
        <w:t>附件：</w:t>
      </w:r>
      <w:r>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t>2022年度项目支出绩效自评表</w:t>
      </w:r>
    </w:p>
    <w:p>
      <w:pPr>
        <w:pStyle w:val="2"/>
        <w:keepNext w:val="0"/>
        <w:keepLines w:val="0"/>
        <w:pageBreakBefore w:val="0"/>
        <w:shd w:val="clear"/>
        <w:kinsoku/>
        <w:wordWrap/>
        <w:overflowPunct/>
        <w:autoSpaceDE/>
        <w:autoSpaceDN/>
        <w:bidi w:val="0"/>
        <w:adjustRightInd/>
        <w:snapToGrid/>
        <w:spacing w:line="600" w:lineRule="exact"/>
        <w:ind w:left="0" w:firstLine="722" w:firstLineChars="200"/>
        <w:jc w:val="both"/>
        <w:textAlignment w:val="auto"/>
        <w:rPr>
          <w:rFonts w:hint="default" w:ascii="Nimbus Roman" w:hAnsi="Nimbus Roman" w:cs="Nimbus Roman"/>
        </w:rPr>
      </w:pPr>
    </w:p>
    <w:p>
      <w:pPr>
        <w:keepNext w:val="0"/>
        <w:keepLines w:val="0"/>
        <w:pageBreakBefore w:val="0"/>
        <w:kinsoku/>
        <w:wordWrap/>
        <w:overflowPunct/>
        <w:topLinePunct/>
        <w:autoSpaceDE/>
        <w:autoSpaceDN/>
        <w:bidi w:val="0"/>
        <w:adjustRightInd/>
        <w:snapToGrid/>
        <w:spacing w:line="60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 xml:space="preserve">                       </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0" w:firstLine="3968" w:firstLineChars="1240"/>
        <w:contextualSpacing/>
        <w:jc w:val="center"/>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益阳市文化旅游广电体育局</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0" w:firstLine="3968" w:firstLineChars="1240"/>
        <w:contextualSpacing/>
        <w:jc w:val="center"/>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仿宋" w:cs="Nimbus Roman"/>
          <w:kern w:val="2"/>
          <w:sz w:val="32"/>
          <w:szCs w:val="32"/>
          <w:lang w:val="en-US" w:eastAsia="zh-CN" w:bidi="ar-SA"/>
        </w:rPr>
        <w:t>2023年3月1</w:t>
      </w:r>
      <w:r>
        <w:rPr>
          <w:rFonts w:hint="eastAsia" w:ascii="Nimbus Roman" w:hAnsi="Nimbus Roman" w:eastAsia="仿宋" w:cs="Nimbus Roman"/>
          <w:kern w:val="2"/>
          <w:sz w:val="32"/>
          <w:szCs w:val="32"/>
          <w:lang w:val="en-US" w:eastAsia="zh-CN" w:bidi="ar-SA"/>
        </w:rPr>
        <w:t>6</w:t>
      </w:r>
      <w:r>
        <w:rPr>
          <w:rFonts w:hint="default" w:ascii="Nimbus Roman" w:hAnsi="Nimbus Roman" w:eastAsia="仿宋" w:cs="Nimbus Roman"/>
          <w:kern w:val="2"/>
          <w:sz w:val="32"/>
          <w:szCs w:val="32"/>
          <w:lang w:val="en-US" w:eastAsia="zh-CN" w:bidi="ar-SA"/>
        </w:rPr>
        <w:t>日</w:t>
      </w:r>
    </w:p>
    <w:p>
      <w:pPr>
        <w:topLinePunct/>
        <w:spacing w:line="560" w:lineRule="exact"/>
        <w:ind w:firstLine="5120" w:firstLineChars="1600"/>
        <w:jc w:val="both"/>
        <w:rPr>
          <w:rFonts w:hint="default" w:ascii="Nimbus Roman" w:hAnsi="Nimbus Roman" w:eastAsia="仿宋" w:cs="Nimbus Roman"/>
          <w:sz w:val="32"/>
          <w:szCs w:val="32"/>
        </w:rPr>
      </w:pPr>
    </w:p>
    <w:p>
      <w:pPr>
        <w:topLinePunct/>
        <w:spacing w:line="560" w:lineRule="exact"/>
        <w:ind w:firstLine="5120" w:firstLineChars="1600"/>
        <w:jc w:val="both"/>
        <w:rPr>
          <w:rFonts w:hint="default" w:ascii="Nimbus Roman" w:hAnsi="Nimbus Roman" w:eastAsia="仿宋" w:cs="Nimbus Roman"/>
          <w:sz w:val="32"/>
          <w:szCs w:val="32"/>
        </w:rPr>
      </w:pPr>
    </w:p>
    <w:p>
      <w:pPr>
        <w:topLinePunct/>
        <w:spacing w:line="560" w:lineRule="exact"/>
        <w:jc w:val="both"/>
        <w:rPr>
          <w:rFonts w:hint="default" w:ascii="Nimbus Roman" w:hAnsi="Nimbus Roman" w:eastAsia="黑体" w:cs="Nimbus Roman"/>
          <w:sz w:val="36"/>
          <w:szCs w:val="36"/>
        </w:rPr>
      </w:pPr>
    </w:p>
    <w:p>
      <w:pPr>
        <w:topLinePunct/>
        <w:spacing w:line="560" w:lineRule="exact"/>
        <w:jc w:val="both"/>
        <w:rPr>
          <w:rFonts w:hint="default" w:ascii="Nimbus Roman" w:hAnsi="Nimbus Roman" w:eastAsia="黑体" w:cs="Nimbus Roman"/>
          <w:sz w:val="36"/>
          <w:szCs w:val="36"/>
        </w:rPr>
      </w:pPr>
    </w:p>
    <w:p>
      <w:pPr>
        <w:pStyle w:val="2"/>
        <w:rPr>
          <w:rFonts w:hint="default" w:ascii="Nimbus Roman" w:hAnsi="Nimbus Roman" w:eastAsia="黑体" w:cs="Nimbus Roman"/>
          <w:sz w:val="36"/>
          <w:szCs w:val="36"/>
        </w:rPr>
      </w:pPr>
    </w:p>
    <w:p>
      <w:pPr>
        <w:rPr>
          <w:rFonts w:hint="default" w:ascii="Nimbus Roman" w:hAnsi="Nimbus Roman" w:eastAsia="黑体" w:cs="Nimbus Roman"/>
          <w:sz w:val="36"/>
          <w:szCs w:val="36"/>
        </w:rPr>
      </w:pPr>
    </w:p>
    <w:p>
      <w:pPr>
        <w:pStyle w:val="2"/>
        <w:rPr>
          <w:rFonts w:hint="default" w:ascii="Nimbus Roman" w:hAnsi="Nimbus Roman" w:eastAsia="黑体" w:cs="Nimbus Roman"/>
          <w:sz w:val="36"/>
          <w:szCs w:val="36"/>
        </w:rPr>
      </w:pPr>
    </w:p>
    <w:p>
      <w:pPr>
        <w:rPr>
          <w:rFonts w:hint="default"/>
        </w:rPr>
      </w:pP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Nimbus Roman" w:hAnsi="Nimbus Roman" w:eastAsia="方正小标宋_GBK" w:cs="Nimbus Roman"/>
          <w:color w:val="000000"/>
          <w:kern w:val="0"/>
          <w:sz w:val="36"/>
          <w:szCs w:val="36"/>
        </w:rPr>
      </w:pPr>
    </w:p>
    <w:p>
      <w:pPr>
        <w:pStyle w:val="3"/>
        <w:ind w:left="0" w:leftChars="0" w:firstLine="0" w:firstLineChars="0"/>
        <w:jc w:val="both"/>
        <w:rPr>
          <w:rFonts w:hint="default" w:ascii="Nimbus Roman" w:hAnsi="Nimbus Roman" w:eastAsia="方正小标宋_GBK" w:cs="Nimbus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附件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2</w:t>
      </w:r>
      <w:r>
        <w:rPr>
          <w:rFonts w:hint="eastAsia" w:ascii="方正小标宋简体" w:hAnsi="方正小标宋简体" w:eastAsia="方正小标宋简体" w:cs="方正小标宋简体"/>
          <w:color w:val="000000"/>
          <w:kern w:val="0"/>
          <w:sz w:val="44"/>
          <w:szCs w:val="44"/>
        </w:rPr>
        <w:t>年度项目支出绩效自评表</w:t>
      </w:r>
    </w:p>
    <w:tbl>
      <w:tblPr>
        <w:tblStyle w:val="12"/>
        <w:tblW w:w="9658" w:type="dxa"/>
        <w:jc w:val="center"/>
        <w:tblLayout w:type="autofit"/>
        <w:tblCellMar>
          <w:top w:w="0" w:type="dxa"/>
          <w:left w:w="108" w:type="dxa"/>
          <w:bottom w:w="0" w:type="dxa"/>
          <w:right w:w="108" w:type="dxa"/>
        </w:tblCellMar>
      </w:tblPr>
      <w:tblGrid>
        <w:gridCol w:w="1054"/>
        <w:gridCol w:w="1054"/>
        <w:gridCol w:w="1044"/>
        <w:gridCol w:w="1432"/>
        <w:gridCol w:w="1090"/>
        <w:gridCol w:w="1022"/>
        <w:gridCol w:w="950"/>
        <w:gridCol w:w="969"/>
        <w:gridCol w:w="1043"/>
      </w:tblGrid>
      <w:tr>
        <w:tblPrEx>
          <w:tblCellMar>
            <w:top w:w="0" w:type="dxa"/>
            <w:left w:w="108" w:type="dxa"/>
            <w:bottom w:w="0" w:type="dxa"/>
            <w:right w:w="108" w:type="dxa"/>
          </w:tblCellMar>
        </w:tblPrEx>
        <w:trPr>
          <w:trHeight w:val="35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项目名称</w:t>
            </w:r>
          </w:p>
        </w:tc>
        <w:tc>
          <w:tcPr>
            <w:tcW w:w="8592"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val="en-US" w:eastAsia="zh-CN"/>
              </w:rPr>
              <w:t>2022年度</w:t>
            </w:r>
            <w:r>
              <w:rPr>
                <w:rFonts w:hint="default" w:ascii="Nimbus Roman" w:hAnsi="Nimbus Roman" w:eastAsia="仿宋_GB2312" w:cs="Nimbus Roman"/>
                <w:color w:val="000000"/>
                <w:kern w:val="0"/>
                <w:sz w:val="21"/>
                <w:szCs w:val="21"/>
              </w:rPr>
              <w:t>送戏下乡、演艺惠民及周末广场电影</w:t>
            </w:r>
            <w:r>
              <w:rPr>
                <w:rFonts w:hint="default" w:ascii="Nimbus Roman" w:hAnsi="Nimbus Roman" w:eastAsia="仿宋_GB2312" w:cs="Nimbus Roman"/>
                <w:color w:val="000000"/>
                <w:kern w:val="0"/>
                <w:sz w:val="21"/>
                <w:szCs w:val="21"/>
                <w:lang w:eastAsia="zh-CN"/>
              </w:rPr>
              <w:t>资金</w:t>
            </w:r>
          </w:p>
        </w:tc>
      </w:tr>
      <w:tr>
        <w:tblPrEx>
          <w:tblCellMar>
            <w:top w:w="0" w:type="dxa"/>
            <w:left w:w="108" w:type="dxa"/>
            <w:bottom w:w="0" w:type="dxa"/>
            <w:right w:w="108" w:type="dxa"/>
          </w:tblCellMar>
        </w:tblPrEx>
        <w:trPr>
          <w:jc w:val="center"/>
        </w:trPr>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主管部门</w:t>
            </w:r>
          </w:p>
        </w:tc>
        <w:tc>
          <w:tcPr>
            <w:tcW w:w="467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益阳市委宣传部</w:t>
            </w:r>
          </w:p>
        </w:tc>
        <w:tc>
          <w:tcPr>
            <w:tcW w:w="10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实施</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单位</w:t>
            </w:r>
          </w:p>
        </w:tc>
        <w:tc>
          <w:tcPr>
            <w:tcW w:w="288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益阳市文化旅游广电体育局</w:t>
            </w:r>
          </w:p>
        </w:tc>
      </w:tr>
      <w:tr>
        <w:tblPrEx>
          <w:tblCellMar>
            <w:top w:w="0" w:type="dxa"/>
            <w:left w:w="108" w:type="dxa"/>
            <w:bottom w:w="0" w:type="dxa"/>
            <w:right w:w="108" w:type="dxa"/>
          </w:tblCellMar>
        </w:tblPrEx>
        <w:trPr>
          <w:jc w:val="center"/>
        </w:trPr>
        <w:tc>
          <w:tcPr>
            <w:tcW w:w="106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项目资金</w:t>
            </w:r>
            <w:r>
              <w:rPr>
                <w:rFonts w:hint="default" w:ascii="Nimbus Roman" w:hAnsi="Nimbus Roman" w:eastAsia="仿宋_GB2312" w:cs="Nimbus Roman"/>
                <w:color w:val="000000"/>
                <w:kern w:val="0"/>
                <w:sz w:val="21"/>
                <w:szCs w:val="21"/>
              </w:rPr>
              <w:br w:type="textWrapping"/>
            </w:r>
            <w:r>
              <w:rPr>
                <w:rFonts w:hint="default" w:ascii="Nimbus Roman" w:hAnsi="Nimbus Roman" w:eastAsia="仿宋_GB2312" w:cs="Nimbus Roman"/>
                <w:color w:val="000000"/>
                <w:kern w:val="0"/>
                <w:sz w:val="21"/>
                <w:szCs w:val="21"/>
              </w:rPr>
              <w:t>（万元）</w:t>
            </w:r>
          </w:p>
        </w:tc>
        <w:tc>
          <w:tcPr>
            <w:tcW w:w="212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预算数</w:t>
            </w:r>
          </w:p>
        </w:tc>
        <w:tc>
          <w:tcPr>
            <w:tcW w:w="10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预算数</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全年</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执行数</w:t>
            </w:r>
          </w:p>
        </w:tc>
        <w:tc>
          <w:tcPr>
            <w:tcW w:w="96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分值</w:t>
            </w:r>
          </w:p>
        </w:tc>
        <w:tc>
          <w:tcPr>
            <w:tcW w:w="86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执行率</w:t>
            </w:r>
          </w:p>
        </w:tc>
        <w:tc>
          <w:tcPr>
            <w:tcW w:w="10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得分</w:t>
            </w:r>
          </w:p>
        </w:tc>
      </w:tr>
      <w:tr>
        <w:tblPrEx>
          <w:tblCellMar>
            <w:top w:w="0" w:type="dxa"/>
            <w:left w:w="108" w:type="dxa"/>
            <w:bottom w:w="0" w:type="dxa"/>
            <w:right w:w="108" w:type="dxa"/>
          </w:tblCellMar>
        </w:tblPrEx>
        <w:trPr>
          <w:jc w:val="center"/>
        </w:trPr>
        <w:tc>
          <w:tcPr>
            <w:tcW w:w="10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21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年度资金总额</w:t>
            </w:r>
          </w:p>
        </w:tc>
        <w:tc>
          <w:tcPr>
            <w:tcW w:w="14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223.25</w:t>
            </w:r>
          </w:p>
        </w:tc>
        <w:tc>
          <w:tcPr>
            <w:tcW w:w="109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val="en-US" w:eastAsia="zh-CN"/>
              </w:rPr>
              <w:t>223.25</w:t>
            </w:r>
          </w:p>
        </w:tc>
        <w:tc>
          <w:tcPr>
            <w:tcW w:w="103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236.7</w:t>
            </w:r>
          </w:p>
        </w:tc>
        <w:tc>
          <w:tcPr>
            <w:tcW w:w="9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rPr>
              <w:t>1</w:t>
            </w:r>
            <w:r>
              <w:rPr>
                <w:rFonts w:hint="default" w:ascii="Nimbus Roman" w:hAnsi="Nimbus Roman" w:cs="Nimbus Roman"/>
                <w:color w:val="000000"/>
                <w:kern w:val="0"/>
                <w:sz w:val="21"/>
                <w:szCs w:val="21"/>
                <w:lang w:val="en-US" w:eastAsia="zh-CN"/>
              </w:rPr>
              <w:t>0</w:t>
            </w:r>
            <w:r>
              <w:rPr>
                <w:rFonts w:hint="default" w:ascii="Nimbus Roman" w:hAnsi="Nimbus Roman" w:cs="Nimbus Roman"/>
                <w:color w:val="000000"/>
                <w:kern w:val="0"/>
                <w:sz w:val="21"/>
                <w:szCs w:val="21"/>
                <w:lang w:eastAsia="zh-CN"/>
              </w:rPr>
              <w:t>分</w:t>
            </w:r>
          </w:p>
        </w:tc>
        <w:tc>
          <w:tcPr>
            <w:tcW w:w="86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w:t>
            </w:r>
            <w:r>
              <w:rPr>
                <w:rFonts w:hint="eastAsia" w:ascii="Nimbus Roman" w:hAnsi="Nimbus Roman" w:eastAsia="仿宋_GB2312" w:cs="Nimbus Roman"/>
                <w:color w:val="000000"/>
                <w:kern w:val="0"/>
                <w:sz w:val="21"/>
                <w:szCs w:val="21"/>
                <w:lang w:val="en-US" w:eastAsia="zh-CN"/>
              </w:rPr>
              <w:t>06.02</w:t>
            </w:r>
            <w:r>
              <w:rPr>
                <w:rFonts w:hint="default" w:ascii="Nimbus Roman" w:hAnsi="Nimbus Roman" w:eastAsia="仿宋_GB2312" w:cs="Nimbus Roman"/>
                <w:color w:val="000000"/>
                <w:kern w:val="0"/>
                <w:sz w:val="21"/>
                <w:szCs w:val="21"/>
                <w:lang w:val="en-US" w:eastAsia="zh-CN"/>
              </w:rPr>
              <w:t>%</w:t>
            </w:r>
          </w:p>
        </w:tc>
        <w:tc>
          <w:tcPr>
            <w:tcW w:w="10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21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其中：当年财政拨款</w:t>
            </w:r>
          </w:p>
        </w:tc>
        <w:tc>
          <w:tcPr>
            <w:tcW w:w="14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223.25</w:t>
            </w:r>
          </w:p>
        </w:tc>
        <w:tc>
          <w:tcPr>
            <w:tcW w:w="109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223.25</w:t>
            </w:r>
          </w:p>
        </w:tc>
        <w:tc>
          <w:tcPr>
            <w:tcW w:w="103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236.7</w:t>
            </w:r>
          </w:p>
        </w:tc>
        <w:tc>
          <w:tcPr>
            <w:tcW w:w="9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6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w:t>
            </w:r>
            <w:r>
              <w:rPr>
                <w:rFonts w:hint="eastAsia" w:ascii="Nimbus Roman" w:hAnsi="Nimbus Roman" w:eastAsia="仿宋_GB2312" w:cs="Nimbus Roman"/>
                <w:color w:val="000000"/>
                <w:kern w:val="0"/>
                <w:sz w:val="21"/>
                <w:szCs w:val="21"/>
                <w:lang w:val="en-US" w:eastAsia="zh-CN"/>
              </w:rPr>
              <w:t>6.02</w:t>
            </w:r>
            <w:r>
              <w:rPr>
                <w:rFonts w:hint="default" w:ascii="Nimbus Roman" w:hAnsi="Nimbus Roman" w:eastAsia="仿宋_GB2312" w:cs="Nimbus Roman"/>
                <w:color w:val="000000"/>
                <w:kern w:val="0"/>
                <w:sz w:val="21"/>
                <w:szCs w:val="21"/>
                <w:lang w:val="en-US" w:eastAsia="zh-CN"/>
              </w:rPr>
              <w:t>%</w:t>
            </w:r>
          </w:p>
        </w:tc>
        <w:tc>
          <w:tcPr>
            <w:tcW w:w="10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212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上年结转资金</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9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8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212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其他资金</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9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8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年度总体目标</w:t>
            </w:r>
          </w:p>
        </w:tc>
        <w:tc>
          <w:tcPr>
            <w:tcW w:w="467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预期目标</w:t>
            </w:r>
          </w:p>
        </w:tc>
        <w:tc>
          <w:tcPr>
            <w:tcW w:w="391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实际完成情况</w:t>
            </w:r>
          </w:p>
        </w:tc>
      </w:tr>
      <w:tr>
        <w:tblPrEx>
          <w:tblCellMar>
            <w:top w:w="0" w:type="dxa"/>
            <w:left w:w="108" w:type="dxa"/>
            <w:bottom w:w="0" w:type="dxa"/>
            <w:right w:w="108" w:type="dxa"/>
          </w:tblCellMar>
        </w:tblPrEx>
        <w:trPr>
          <w:trHeight w:val="3528" w:hRule="atLeast"/>
          <w:jc w:val="center"/>
        </w:trPr>
        <w:tc>
          <w:tcPr>
            <w:tcW w:w="106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467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按照省市文件精神和建设文化强市的要求，由益阳市文旅广体局在全市城乡开展送戏下乡、演艺惠民及周末广场电影活动，让群众免费在家门口看戏看电影，实现戏曲传承保护和文化惠民的社会效益。</w:t>
            </w:r>
          </w:p>
        </w:tc>
        <w:tc>
          <w:tcPr>
            <w:tcW w:w="3917" w:type="dxa"/>
            <w:gridSpan w:val="4"/>
            <w:tcBorders>
              <w:top w:val="single" w:color="auto" w:sz="4" w:space="0"/>
              <w:left w:val="nil"/>
              <w:bottom w:val="single" w:color="auto" w:sz="4" w:space="0"/>
              <w:right w:val="single" w:color="auto" w:sz="4" w:space="0"/>
            </w:tcBorders>
            <w:noWrap w:val="0"/>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Nimbus Roman" w:hAnsi="Nimbus Roman" w:eastAsia="仿宋_GB2312" w:cs="Nimbus Roman"/>
                <w:color w:val="000000"/>
                <w:kern w:val="0"/>
                <w:sz w:val="21"/>
                <w:szCs w:val="21"/>
                <w:lang w:val="en-US" w:eastAsia="zh-CN" w:bidi="ar-SA"/>
              </w:rPr>
            </w:pPr>
            <w:r>
              <w:rPr>
                <w:rFonts w:hint="default" w:ascii="Nimbus Roman" w:hAnsi="Nimbus Roman" w:eastAsia="仿宋_GB2312" w:cs="Nimbus Roman"/>
                <w:color w:val="000000"/>
                <w:kern w:val="0"/>
                <w:sz w:val="21"/>
                <w:szCs w:val="21"/>
                <w:lang w:val="en-US" w:eastAsia="zh-CN" w:bidi="ar-SA"/>
              </w:rPr>
              <w:t>经过认真组织，在全市城乡完成了全年送戏惠民各项任务。一是对全市85个乡镇和乡村振兴点进行送戏下乡，二是11月14-23日在高新区山乡巨变广场举办第十届花鼓戏汇演，三是开展周末花鼓剧场活动，四是组织戏曲进校园活动等。周末广场电影项目共建立了21个固定放映点，覆盖55个社区、20个广场小区、1所大专院校。2022年计划放映1000场次，实际完成放映1010场，观众近23万人次。</w:t>
            </w:r>
          </w:p>
        </w:tc>
      </w:tr>
      <w:tr>
        <w:tblPrEx>
          <w:tblCellMar>
            <w:top w:w="0" w:type="dxa"/>
            <w:left w:w="108" w:type="dxa"/>
            <w:bottom w:w="0" w:type="dxa"/>
            <w:right w:w="108" w:type="dxa"/>
          </w:tblCellMar>
        </w:tblPrEx>
        <w:trPr>
          <w:jc w:val="center"/>
        </w:trPr>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一级指标</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二级指标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三级指标</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指标值</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完成值</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分值</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得分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改进措施</w:t>
            </w: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(50分)</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数量指标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送戏下乡场次</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达标</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达标</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周末广场电影场次</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1000场</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1010场</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质量指标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送戏惠民演出优质率</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达标</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达标</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时效指标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送戏下乡场次完成时间</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val="en-US" w:eastAsia="zh-CN"/>
              </w:rPr>
              <w:t>2023年12月底前</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val="en-US" w:eastAsia="zh-CN"/>
              </w:rPr>
              <w:t>2023年12月底前</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电影场次完成时间</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2023年12月底前</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val="en-US" w:eastAsia="zh-CN"/>
              </w:rPr>
              <w:t>2023年12月底前</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成本指标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演出场次补贴</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val="en-US" w:eastAsia="zh-CN"/>
              </w:rPr>
              <w:t>5000元/场</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5000元/场</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w:t>
            </w:r>
            <w:r>
              <w:rPr>
                <w:rFonts w:hint="default" w:ascii="Nimbus Roman" w:hAnsi="Nimbus Roman" w:cs="Nimbus Roman"/>
                <w:color w:val="000000"/>
                <w:kern w:val="0"/>
                <w:sz w:val="21"/>
                <w:szCs w:val="21"/>
                <w:lang w:val="en-US" w:eastAsia="zh-CN"/>
              </w:rPr>
              <w:t>40</w:t>
            </w:r>
            <w:r>
              <w:rPr>
                <w:rFonts w:hint="default" w:ascii="Nimbus Roman" w:hAnsi="Nimbus Roman" w:eastAsia="仿宋_GB2312" w:cs="Nimbus Roman"/>
                <w:color w:val="000000"/>
                <w:kern w:val="0"/>
                <w:sz w:val="21"/>
                <w:szCs w:val="21"/>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益指标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促进文化产业发展</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增长</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增长</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9分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益指标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丰富人民群众文化生活需要</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达到</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9分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弘扬传统文化，增强文化自信</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达到</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益指标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促进文化生态良好发展</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达到</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可持续影响指标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保障延续性的演出计划，持续文化输出影响</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达到</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服务对象满意度指标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群众满意度</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达标</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达标</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trHeight w:val="292" w:hRule="atLeast"/>
          <w:jc w:val="center"/>
        </w:trPr>
        <w:tc>
          <w:tcPr>
            <w:tcW w:w="677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总分</w:t>
            </w:r>
          </w:p>
        </w:tc>
        <w:tc>
          <w:tcPr>
            <w:tcW w:w="9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rPr>
              <w:t>100</w:t>
            </w:r>
            <w:r>
              <w:rPr>
                <w:rFonts w:hint="default" w:ascii="Nimbus Roman" w:hAnsi="Nimbus Roman" w:cs="Nimbus Roman"/>
                <w:color w:val="000000"/>
                <w:kern w:val="0"/>
                <w:sz w:val="21"/>
                <w:szCs w:val="21"/>
                <w:lang w:eastAsia="zh-CN"/>
              </w:rPr>
              <w:t>分</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95分</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Nimbus Roman" w:hAnsi="Nimbus Roman" w:eastAsia="仿宋_GB2312" w:cs="Nimbus Roman"/>
                <w:color w:val="000000"/>
                <w:kern w:val="0"/>
                <w:sz w:val="21"/>
                <w:szCs w:val="21"/>
              </w:rPr>
            </w:pPr>
          </w:p>
        </w:tc>
      </w:tr>
    </w:tbl>
    <w:p>
      <w:pPr>
        <w:jc w:val="both"/>
        <w:rPr>
          <w:rFonts w:hint="default" w:ascii="Nimbus Roman" w:hAnsi="Nimbus Roman" w:cs="Nimbus Roman"/>
          <w:spacing w:val="16"/>
          <w:sz w:val="24"/>
          <w:szCs w:val="24"/>
        </w:rPr>
      </w:pPr>
      <w:r>
        <w:rPr>
          <w:rFonts w:hint="default" w:ascii="Nimbus Roman" w:hAnsi="Nimbus Roman" w:eastAsia="仿宋_GB2312" w:cs="Nimbus Roman"/>
          <w:kern w:val="0"/>
          <w:sz w:val="21"/>
          <w:szCs w:val="21"/>
        </w:rPr>
        <w:t>填表人：</w:t>
      </w:r>
      <w:r>
        <w:rPr>
          <w:rFonts w:hint="default" w:ascii="Nimbus Roman" w:hAnsi="Nimbus Roman" w:eastAsia="仿宋_GB2312" w:cs="Nimbus Roman"/>
          <w:kern w:val="0"/>
          <w:sz w:val="21"/>
          <w:szCs w:val="21"/>
          <w:lang w:eastAsia="zh-CN"/>
        </w:rPr>
        <w:t>欧阳萱</w:t>
      </w:r>
      <w:r>
        <w:rPr>
          <w:rFonts w:hint="default" w:ascii="Nimbus Roman" w:hAnsi="Nimbus Roman" w:eastAsia="仿宋_GB2312" w:cs="Nimbus Roman"/>
          <w:kern w:val="0"/>
          <w:sz w:val="21"/>
          <w:szCs w:val="21"/>
        </w:rPr>
        <w:t xml:space="preserve">        填报日期：</w:t>
      </w:r>
      <w:r>
        <w:rPr>
          <w:rFonts w:hint="default" w:ascii="Nimbus Roman" w:hAnsi="Nimbus Roman" w:eastAsia="仿宋_GB2312" w:cs="Nimbus Roman"/>
          <w:kern w:val="0"/>
          <w:sz w:val="21"/>
          <w:szCs w:val="21"/>
          <w:lang w:val="en-US" w:eastAsia="zh-CN"/>
        </w:rPr>
        <w:t>2023年3月1</w:t>
      </w:r>
      <w:r>
        <w:rPr>
          <w:rFonts w:hint="eastAsia" w:ascii="Nimbus Roman" w:hAnsi="Nimbus Roman" w:eastAsia="仿宋_GB2312" w:cs="Nimbus Roman"/>
          <w:kern w:val="0"/>
          <w:sz w:val="21"/>
          <w:szCs w:val="21"/>
          <w:lang w:val="en-US" w:eastAsia="zh-CN"/>
        </w:rPr>
        <w:t>6</w:t>
      </w:r>
      <w:r>
        <w:rPr>
          <w:rFonts w:hint="default" w:ascii="Nimbus Roman" w:hAnsi="Nimbus Roman" w:eastAsia="仿宋_GB2312" w:cs="Nimbus Roman"/>
          <w:kern w:val="0"/>
          <w:sz w:val="21"/>
          <w:szCs w:val="21"/>
          <w:lang w:val="en-US" w:eastAsia="zh-CN"/>
        </w:rPr>
        <w:t>日</w:t>
      </w:r>
      <w:r>
        <w:rPr>
          <w:rFonts w:hint="default" w:ascii="Nimbus Roman" w:hAnsi="Nimbus Roman" w:eastAsia="仿宋_GB2312" w:cs="Nimbus Roman"/>
          <w:kern w:val="0"/>
          <w:sz w:val="21"/>
          <w:szCs w:val="21"/>
        </w:rPr>
        <w:t xml:space="preserve">          联系电话： </w:t>
      </w:r>
      <w:r>
        <w:rPr>
          <w:rFonts w:hint="default" w:ascii="Nimbus Roman" w:hAnsi="Nimbus Roman" w:eastAsia="仿宋_GB2312" w:cs="Nimbus Roman"/>
          <w:kern w:val="0"/>
          <w:sz w:val="21"/>
          <w:szCs w:val="21"/>
          <w:lang w:val="en-US" w:eastAsia="zh-CN"/>
        </w:rPr>
        <w:t>0737-4383310</w:t>
      </w:r>
      <w:r>
        <w:rPr>
          <w:rFonts w:hint="default" w:ascii="Nimbus Roman" w:hAnsi="Nimbus Roman" w:eastAsia="仿宋_GB2312" w:cs="Nimbus Roman"/>
          <w:kern w:val="0"/>
          <w:sz w:val="21"/>
          <w:szCs w:val="21"/>
        </w:rPr>
        <w:t xml:space="preserve">           单位负责人签字：</w:t>
      </w:r>
    </w:p>
    <w:sectPr>
      <w:headerReference r:id="rId3" w:type="default"/>
      <w:footerReference r:id="rId4" w:type="default"/>
      <w:pgSz w:w="11906" w:h="16838"/>
      <w:pgMar w:top="1440" w:right="1803" w:bottom="1712" w:left="1803" w:header="851" w:footer="1134"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w:panose1 w:val="00000500000000000000"/>
    <w:charset w:val="00"/>
    <w:family w:val="auto"/>
    <w:pitch w:val="default"/>
    <w:sig w:usb0="00000287" w:usb1="00000800" w:usb2="00000000" w:usb3="00000000" w:csb0="600000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F3280"/>
    <w:multiLevelType w:val="singleLevel"/>
    <w:tmpl w:val="FE2F3280"/>
    <w:lvl w:ilvl="0" w:tentative="0">
      <w:start w:val="2"/>
      <w:numFmt w:val="chineseCounting"/>
      <w:suff w:val="nothing"/>
      <w:lvlText w:val="（%1）"/>
      <w:lvlJc w:val="left"/>
      <w:pPr>
        <w:ind w:left="5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oNotHyphenateCaps/>
  <w:drawingGridHorizontalSpacing w:val="105"/>
  <w:drawingGridVerticalSpacing w:val="31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TE0NTA4ZDFhNjJjNDI0MGE0MjJkMGJmNTg5MzUifQ=="/>
  </w:docVars>
  <w:rsids>
    <w:rsidRoot w:val="002D6DAF"/>
    <w:rsid w:val="00026036"/>
    <w:rsid w:val="000304A4"/>
    <w:rsid w:val="00035E56"/>
    <w:rsid w:val="0003717A"/>
    <w:rsid w:val="00040BE8"/>
    <w:rsid w:val="00060614"/>
    <w:rsid w:val="00062B3A"/>
    <w:rsid w:val="00062D31"/>
    <w:rsid w:val="00065FE2"/>
    <w:rsid w:val="00066E33"/>
    <w:rsid w:val="00086787"/>
    <w:rsid w:val="00087F33"/>
    <w:rsid w:val="00092EAF"/>
    <w:rsid w:val="000966B7"/>
    <w:rsid w:val="000A289A"/>
    <w:rsid w:val="000D2F40"/>
    <w:rsid w:val="000E6CB8"/>
    <w:rsid w:val="000F3116"/>
    <w:rsid w:val="000F68D6"/>
    <w:rsid w:val="00114EDC"/>
    <w:rsid w:val="00116FD3"/>
    <w:rsid w:val="00124B92"/>
    <w:rsid w:val="00142F9A"/>
    <w:rsid w:val="00144C2C"/>
    <w:rsid w:val="00145167"/>
    <w:rsid w:val="0014630D"/>
    <w:rsid w:val="00146D8D"/>
    <w:rsid w:val="00157746"/>
    <w:rsid w:val="001863A8"/>
    <w:rsid w:val="001A04E5"/>
    <w:rsid w:val="001A5195"/>
    <w:rsid w:val="001B019F"/>
    <w:rsid w:val="001C2A7B"/>
    <w:rsid w:val="001D51FB"/>
    <w:rsid w:val="001E4835"/>
    <w:rsid w:val="001E6A5F"/>
    <w:rsid w:val="001F1D32"/>
    <w:rsid w:val="002049E7"/>
    <w:rsid w:val="00212350"/>
    <w:rsid w:val="00212F3E"/>
    <w:rsid w:val="00214BA7"/>
    <w:rsid w:val="002164B6"/>
    <w:rsid w:val="0022127B"/>
    <w:rsid w:val="00226508"/>
    <w:rsid w:val="0024254A"/>
    <w:rsid w:val="002502C6"/>
    <w:rsid w:val="00280E7D"/>
    <w:rsid w:val="002815F1"/>
    <w:rsid w:val="00282861"/>
    <w:rsid w:val="002840C5"/>
    <w:rsid w:val="00287332"/>
    <w:rsid w:val="002949EE"/>
    <w:rsid w:val="00297CA3"/>
    <w:rsid w:val="002A4C5D"/>
    <w:rsid w:val="002A53E2"/>
    <w:rsid w:val="002A646B"/>
    <w:rsid w:val="002B7D40"/>
    <w:rsid w:val="002C19FB"/>
    <w:rsid w:val="002D0080"/>
    <w:rsid w:val="002D1F54"/>
    <w:rsid w:val="002D4F22"/>
    <w:rsid w:val="002D6020"/>
    <w:rsid w:val="002D6DAF"/>
    <w:rsid w:val="002D70EF"/>
    <w:rsid w:val="002D76CE"/>
    <w:rsid w:val="002E12A4"/>
    <w:rsid w:val="002F40FB"/>
    <w:rsid w:val="002F43D7"/>
    <w:rsid w:val="002F44B7"/>
    <w:rsid w:val="00313600"/>
    <w:rsid w:val="00314F2B"/>
    <w:rsid w:val="003157EA"/>
    <w:rsid w:val="00332C48"/>
    <w:rsid w:val="00335259"/>
    <w:rsid w:val="0033572A"/>
    <w:rsid w:val="0034177C"/>
    <w:rsid w:val="00341B08"/>
    <w:rsid w:val="003427D9"/>
    <w:rsid w:val="00362FB1"/>
    <w:rsid w:val="00366230"/>
    <w:rsid w:val="003672E2"/>
    <w:rsid w:val="00367CE7"/>
    <w:rsid w:val="00381E0E"/>
    <w:rsid w:val="003840B2"/>
    <w:rsid w:val="00385AFE"/>
    <w:rsid w:val="00386A88"/>
    <w:rsid w:val="00394113"/>
    <w:rsid w:val="00395316"/>
    <w:rsid w:val="003A0B47"/>
    <w:rsid w:val="003A0FF9"/>
    <w:rsid w:val="003A29F7"/>
    <w:rsid w:val="003B5436"/>
    <w:rsid w:val="003B6B63"/>
    <w:rsid w:val="003C3271"/>
    <w:rsid w:val="003E17B7"/>
    <w:rsid w:val="003F43F5"/>
    <w:rsid w:val="004126A3"/>
    <w:rsid w:val="00412982"/>
    <w:rsid w:val="0041719D"/>
    <w:rsid w:val="00417E78"/>
    <w:rsid w:val="00421087"/>
    <w:rsid w:val="00430AE5"/>
    <w:rsid w:val="004371B0"/>
    <w:rsid w:val="00440F39"/>
    <w:rsid w:val="004611C5"/>
    <w:rsid w:val="00461D0F"/>
    <w:rsid w:val="00473772"/>
    <w:rsid w:val="00475AA5"/>
    <w:rsid w:val="004772B2"/>
    <w:rsid w:val="00477770"/>
    <w:rsid w:val="00477B40"/>
    <w:rsid w:val="0048035C"/>
    <w:rsid w:val="0049181D"/>
    <w:rsid w:val="004948D0"/>
    <w:rsid w:val="004A51FC"/>
    <w:rsid w:val="004B0D96"/>
    <w:rsid w:val="004D3058"/>
    <w:rsid w:val="004E25CA"/>
    <w:rsid w:val="004E53FA"/>
    <w:rsid w:val="004E7E92"/>
    <w:rsid w:val="004F6B6D"/>
    <w:rsid w:val="00513200"/>
    <w:rsid w:val="00532D25"/>
    <w:rsid w:val="00554F5F"/>
    <w:rsid w:val="00563C9B"/>
    <w:rsid w:val="00567DA2"/>
    <w:rsid w:val="005748D7"/>
    <w:rsid w:val="005753CE"/>
    <w:rsid w:val="005831B0"/>
    <w:rsid w:val="00594AC3"/>
    <w:rsid w:val="005B3509"/>
    <w:rsid w:val="005B6A07"/>
    <w:rsid w:val="005C0127"/>
    <w:rsid w:val="005C0F91"/>
    <w:rsid w:val="005C44D4"/>
    <w:rsid w:val="005E5A8C"/>
    <w:rsid w:val="005E6EAC"/>
    <w:rsid w:val="005E714E"/>
    <w:rsid w:val="005F5A7D"/>
    <w:rsid w:val="005F7B7F"/>
    <w:rsid w:val="006069B1"/>
    <w:rsid w:val="00616DF2"/>
    <w:rsid w:val="00620996"/>
    <w:rsid w:val="006242BA"/>
    <w:rsid w:val="006255AD"/>
    <w:rsid w:val="00627DDE"/>
    <w:rsid w:val="00636946"/>
    <w:rsid w:val="0064219E"/>
    <w:rsid w:val="00643046"/>
    <w:rsid w:val="00656C83"/>
    <w:rsid w:val="00670E50"/>
    <w:rsid w:val="006A546A"/>
    <w:rsid w:val="006B43AF"/>
    <w:rsid w:val="006B70B1"/>
    <w:rsid w:val="006B77AD"/>
    <w:rsid w:val="006C22EE"/>
    <w:rsid w:val="006C3FF0"/>
    <w:rsid w:val="006D0BC2"/>
    <w:rsid w:val="006E74B3"/>
    <w:rsid w:val="006F0646"/>
    <w:rsid w:val="006F2EAB"/>
    <w:rsid w:val="00711B96"/>
    <w:rsid w:val="00723A34"/>
    <w:rsid w:val="00724F49"/>
    <w:rsid w:val="00737CEB"/>
    <w:rsid w:val="00743CF2"/>
    <w:rsid w:val="007600FD"/>
    <w:rsid w:val="0076026B"/>
    <w:rsid w:val="00760696"/>
    <w:rsid w:val="00762DFA"/>
    <w:rsid w:val="00766A67"/>
    <w:rsid w:val="00776A48"/>
    <w:rsid w:val="007B5105"/>
    <w:rsid w:val="007B5C65"/>
    <w:rsid w:val="007B7F39"/>
    <w:rsid w:val="007C0FB6"/>
    <w:rsid w:val="007C1B98"/>
    <w:rsid w:val="007F2443"/>
    <w:rsid w:val="007F3A3E"/>
    <w:rsid w:val="00805D9B"/>
    <w:rsid w:val="008340BC"/>
    <w:rsid w:val="00836916"/>
    <w:rsid w:val="0084384B"/>
    <w:rsid w:val="0084596D"/>
    <w:rsid w:val="00856A83"/>
    <w:rsid w:val="0086609B"/>
    <w:rsid w:val="00867D78"/>
    <w:rsid w:val="00872AA2"/>
    <w:rsid w:val="00881BB9"/>
    <w:rsid w:val="008833CF"/>
    <w:rsid w:val="00890C6B"/>
    <w:rsid w:val="00893997"/>
    <w:rsid w:val="008B0959"/>
    <w:rsid w:val="008B3E81"/>
    <w:rsid w:val="008B6C8E"/>
    <w:rsid w:val="008C0481"/>
    <w:rsid w:val="008C3351"/>
    <w:rsid w:val="008C37A2"/>
    <w:rsid w:val="008C474E"/>
    <w:rsid w:val="008C48A7"/>
    <w:rsid w:val="008E0434"/>
    <w:rsid w:val="008E3905"/>
    <w:rsid w:val="009042EC"/>
    <w:rsid w:val="00913DE9"/>
    <w:rsid w:val="009166FD"/>
    <w:rsid w:val="00923A0A"/>
    <w:rsid w:val="009251D4"/>
    <w:rsid w:val="0092605B"/>
    <w:rsid w:val="009334C3"/>
    <w:rsid w:val="009440E0"/>
    <w:rsid w:val="00962990"/>
    <w:rsid w:val="00963132"/>
    <w:rsid w:val="00964A12"/>
    <w:rsid w:val="00973804"/>
    <w:rsid w:val="00976E33"/>
    <w:rsid w:val="00980BE5"/>
    <w:rsid w:val="009A7531"/>
    <w:rsid w:val="009B14C5"/>
    <w:rsid w:val="009B214F"/>
    <w:rsid w:val="009B4F65"/>
    <w:rsid w:val="009C3C75"/>
    <w:rsid w:val="009C6028"/>
    <w:rsid w:val="009E0E67"/>
    <w:rsid w:val="00A0049E"/>
    <w:rsid w:val="00A028C0"/>
    <w:rsid w:val="00A07DC7"/>
    <w:rsid w:val="00A16EE5"/>
    <w:rsid w:val="00A20D93"/>
    <w:rsid w:val="00A26A17"/>
    <w:rsid w:val="00A30766"/>
    <w:rsid w:val="00A365C0"/>
    <w:rsid w:val="00A54407"/>
    <w:rsid w:val="00A62F13"/>
    <w:rsid w:val="00A64A44"/>
    <w:rsid w:val="00A70B74"/>
    <w:rsid w:val="00A724CF"/>
    <w:rsid w:val="00A848F1"/>
    <w:rsid w:val="00A854F7"/>
    <w:rsid w:val="00A874D3"/>
    <w:rsid w:val="00A90466"/>
    <w:rsid w:val="00A939F9"/>
    <w:rsid w:val="00A9559A"/>
    <w:rsid w:val="00AA024B"/>
    <w:rsid w:val="00AB582A"/>
    <w:rsid w:val="00AC4BF8"/>
    <w:rsid w:val="00AD5782"/>
    <w:rsid w:val="00AD6D0E"/>
    <w:rsid w:val="00AE036F"/>
    <w:rsid w:val="00AE76DC"/>
    <w:rsid w:val="00AF073D"/>
    <w:rsid w:val="00AF7C13"/>
    <w:rsid w:val="00B034C6"/>
    <w:rsid w:val="00B04527"/>
    <w:rsid w:val="00B07E9D"/>
    <w:rsid w:val="00B11A59"/>
    <w:rsid w:val="00B1269A"/>
    <w:rsid w:val="00B13E90"/>
    <w:rsid w:val="00B202F7"/>
    <w:rsid w:val="00B23D9A"/>
    <w:rsid w:val="00B446C7"/>
    <w:rsid w:val="00B62629"/>
    <w:rsid w:val="00B6492B"/>
    <w:rsid w:val="00B6556A"/>
    <w:rsid w:val="00B9088D"/>
    <w:rsid w:val="00BB1A09"/>
    <w:rsid w:val="00BB7575"/>
    <w:rsid w:val="00BC08D7"/>
    <w:rsid w:val="00BC7D37"/>
    <w:rsid w:val="00BD0228"/>
    <w:rsid w:val="00BF4678"/>
    <w:rsid w:val="00C031C0"/>
    <w:rsid w:val="00C133FA"/>
    <w:rsid w:val="00C14E17"/>
    <w:rsid w:val="00C2125D"/>
    <w:rsid w:val="00C22B56"/>
    <w:rsid w:val="00C23991"/>
    <w:rsid w:val="00C32FB9"/>
    <w:rsid w:val="00C332C3"/>
    <w:rsid w:val="00C343B9"/>
    <w:rsid w:val="00C34C62"/>
    <w:rsid w:val="00C44472"/>
    <w:rsid w:val="00C61850"/>
    <w:rsid w:val="00C61F9E"/>
    <w:rsid w:val="00C63E54"/>
    <w:rsid w:val="00C67C2C"/>
    <w:rsid w:val="00C809A6"/>
    <w:rsid w:val="00C91585"/>
    <w:rsid w:val="00CD26C2"/>
    <w:rsid w:val="00CE1C07"/>
    <w:rsid w:val="00CE6B25"/>
    <w:rsid w:val="00CF7865"/>
    <w:rsid w:val="00D26DCD"/>
    <w:rsid w:val="00D35723"/>
    <w:rsid w:val="00D44DCA"/>
    <w:rsid w:val="00D50A15"/>
    <w:rsid w:val="00D54F3E"/>
    <w:rsid w:val="00D562C9"/>
    <w:rsid w:val="00D6046F"/>
    <w:rsid w:val="00D61673"/>
    <w:rsid w:val="00D6333B"/>
    <w:rsid w:val="00D67F8A"/>
    <w:rsid w:val="00D75513"/>
    <w:rsid w:val="00D75BA6"/>
    <w:rsid w:val="00D8788B"/>
    <w:rsid w:val="00DA1E42"/>
    <w:rsid w:val="00DA5327"/>
    <w:rsid w:val="00DA606A"/>
    <w:rsid w:val="00DB5D15"/>
    <w:rsid w:val="00DC4145"/>
    <w:rsid w:val="00DD0E77"/>
    <w:rsid w:val="00DD7C73"/>
    <w:rsid w:val="00DE7244"/>
    <w:rsid w:val="00DF02DB"/>
    <w:rsid w:val="00E055AF"/>
    <w:rsid w:val="00E07B6E"/>
    <w:rsid w:val="00E25312"/>
    <w:rsid w:val="00E27274"/>
    <w:rsid w:val="00E274F9"/>
    <w:rsid w:val="00E30629"/>
    <w:rsid w:val="00E46F80"/>
    <w:rsid w:val="00E54143"/>
    <w:rsid w:val="00E62DEB"/>
    <w:rsid w:val="00E643E3"/>
    <w:rsid w:val="00E65FF0"/>
    <w:rsid w:val="00E6723C"/>
    <w:rsid w:val="00E83CB8"/>
    <w:rsid w:val="00E84F38"/>
    <w:rsid w:val="00E85279"/>
    <w:rsid w:val="00E90C2F"/>
    <w:rsid w:val="00EA0FB2"/>
    <w:rsid w:val="00EA20D7"/>
    <w:rsid w:val="00EA2D16"/>
    <w:rsid w:val="00EA797A"/>
    <w:rsid w:val="00EB2863"/>
    <w:rsid w:val="00EB4908"/>
    <w:rsid w:val="00EC1D1B"/>
    <w:rsid w:val="00ED5F89"/>
    <w:rsid w:val="00EE27DC"/>
    <w:rsid w:val="00EF07A0"/>
    <w:rsid w:val="00EF7705"/>
    <w:rsid w:val="00F0653B"/>
    <w:rsid w:val="00F21819"/>
    <w:rsid w:val="00F26985"/>
    <w:rsid w:val="00F27937"/>
    <w:rsid w:val="00F30C59"/>
    <w:rsid w:val="00F316B5"/>
    <w:rsid w:val="00F336C2"/>
    <w:rsid w:val="00F3435D"/>
    <w:rsid w:val="00F346A4"/>
    <w:rsid w:val="00F359CD"/>
    <w:rsid w:val="00F37BE5"/>
    <w:rsid w:val="00F46531"/>
    <w:rsid w:val="00F474E4"/>
    <w:rsid w:val="00F54583"/>
    <w:rsid w:val="00F54C71"/>
    <w:rsid w:val="00F71039"/>
    <w:rsid w:val="00F8187A"/>
    <w:rsid w:val="00F838C4"/>
    <w:rsid w:val="00F868AB"/>
    <w:rsid w:val="00F92452"/>
    <w:rsid w:val="00FB1DCB"/>
    <w:rsid w:val="00FB2F27"/>
    <w:rsid w:val="00FC3942"/>
    <w:rsid w:val="00FC7FF6"/>
    <w:rsid w:val="00FD27CC"/>
    <w:rsid w:val="00FD49B9"/>
    <w:rsid w:val="06DF3177"/>
    <w:rsid w:val="080C5E6F"/>
    <w:rsid w:val="0A2E39AB"/>
    <w:rsid w:val="0B7429CF"/>
    <w:rsid w:val="0BAB42B8"/>
    <w:rsid w:val="0C630441"/>
    <w:rsid w:val="0E2222D5"/>
    <w:rsid w:val="0F5C4DD4"/>
    <w:rsid w:val="100D5FC3"/>
    <w:rsid w:val="10CA4351"/>
    <w:rsid w:val="133D6DAA"/>
    <w:rsid w:val="14E84921"/>
    <w:rsid w:val="155D1885"/>
    <w:rsid w:val="15D05CE2"/>
    <w:rsid w:val="174CBFB8"/>
    <w:rsid w:val="191463A8"/>
    <w:rsid w:val="1B865557"/>
    <w:rsid w:val="1ECE779C"/>
    <w:rsid w:val="1EDFC72F"/>
    <w:rsid w:val="1F557F4E"/>
    <w:rsid w:val="1FDF2A30"/>
    <w:rsid w:val="1FF31D2D"/>
    <w:rsid w:val="20227927"/>
    <w:rsid w:val="210F77F8"/>
    <w:rsid w:val="22AC7AB5"/>
    <w:rsid w:val="26616061"/>
    <w:rsid w:val="29B80CEA"/>
    <w:rsid w:val="2A016BE6"/>
    <w:rsid w:val="2A0B5232"/>
    <w:rsid w:val="2A76C778"/>
    <w:rsid w:val="2A85052F"/>
    <w:rsid w:val="2AA645E2"/>
    <w:rsid w:val="2AFB4E94"/>
    <w:rsid w:val="2BA325DC"/>
    <w:rsid w:val="2C332891"/>
    <w:rsid w:val="30DD6AE1"/>
    <w:rsid w:val="340B6910"/>
    <w:rsid w:val="358B3A61"/>
    <w:rsid w:val="35ED52CC"/>
    <w:rsid w:val="3677D944"/>
    <w:rsid w:val="36FF85F8"/>
    <w:rsid w:val="39E3E32B"/>
    <w:rsid w:val="3BCEF103"/>
    <w:rsid w:val="3D9AE9F3"/>
    <w:rsid w:val="3D9FA417"/>
    <w:rsid w:val="3EBFBDCF"/>
    <w:rsid w:val="3EE01594"/>
    <w:rsid w:val="3EF79379"/>
    <w:rsid w:val="3F7E5ACF"/>
    <w:rsid w:val="3FB9C903"/>
    <w:rsid w:val="3FBB5A11"/>
    <w:rsid w:val="3FBF3F99"/>
    <w:rsid w:val="3FDF36DE"/>
    <w:rsid w:val="3FE647F5"/>
    <w:rsid w:val="3FF9F92B"/>
    <w:rsid w:val="40160D07"/>
    <w:rsid w:val="421A0655"/>
    <w:rsid w:val="445DC3D9"/>
    <w:rsid w:val="465D16AD"/>
    <w:rsid w:val="47BF8327"/>
    <w:rsid w:val="494A239B"/>
    <w:rsid w:val="4E57277B"/>
    <w:rsid w:val="4E5B509D"/>
    <w:rsid w:val="52D3569F"/>
    <w:rsid w:val="53550CF0"/>
    <w:rsid w:val="53F5EB63"/>
    <w:rsid w:val="541152B4"/>
    <w:rsid w:val="54EA2DFC"/>
    <w:rsid w:val="55EE35CE"/>
    <w:rsid w:val="55F375EC"/>
    <w:rsid w:val="55FDF50B"/>
    <w:rsid w:val="56FF698C"/>
    <w:rsid w:val="57B3191D"/>
    <w:rsid w:val="57CFE017"/>
    <w:rsid w:val="57FF0512"/>
    <w:rsid w:val="5A311DB8"/>
    <w:rsid w:val="5B832F76"/>
    <w:rsid w:val="5BF76215"/>
    <w:rsid w:val="5CDF7725"/>
    <w:rsid w:val="5D59133D"/>
    <w:rsid w:val="5E3EC5C6"/>
    <w:rsid w:val="5EFEA6E5"/>
    <w:rsid w:val="5F5BF5B6"/>
    <w:rsid w:val="5FDFA104"/>
    <w:rsid w:val="5FF6AE97"/>
    <w:rsid w:val="5FFFE5BE"/>
    <w:rsid w:val="61264A0C"/>
    <w:rsid w:val="61D79631"/>
    <w:rsid w:val="66FD6F85"/>
    <w:rsid w:val="674DA26B"/>
    <w:rsid w:val="69A90844"/>
    <w:rsid w:val="69D9313B"/>
    <w:rsid w:val="6A2A7555"/>
    <w:rsid w:val="6AAD19CD"/>
    <w:rsid w:val="6AC912D5"/>
    <w:rsid w:val="6BFF3BC7"/>
    <w:rsid w:val="6C5F32B3"/>
    <w:rsid w:val="6CF9A48D"/>
    <w:rsid w:val="6E4865DB"/>
    <w:rsid w:val="6EF634D5"/>
    <w:rsid w:val="6F6F5D4E"/>
    <w:rsid w:val="6FAFB9DE"/>
    <w:rsid w:val="6FF5BEEA"/>
    <w:rsid w:val="6FFF4787"/>
    <w:rsid w:val="702B0A44"/>
    <w:rsid w:val="725A50C6"/>
    <w:rsid w:val="740B2C95"/>
    <w:rsid w:val="748F6CDF"/>
    <w:rsid w:val="74FE8A45"/>
    <w:rsid w:val="753F85FD"/>
    <w:rsid w:val="75E6DA6B"/>
    <w:rsid w:val="76361F4D"/>
    <w:rsid w:val="766A54D2"/>
    <w:rsid w:val="7676E603"/>
    <w:rsid w:val="76891469"/>
    <w:rsid w:val="76E739B9"/>
    <w:rsid w:val="76EC9455"/>
    <w:rsid w:val="76FAC181"/>
    <w:rsid w:val="777F02A6"/>
    <w:rsid w:val="77B12DBF"/>
    <w:rsid w:val="77DE86AD"/>
    <w:rsid w:val="77FFB69E"/>
    <w:rsid w:val="78DFDDA6"/>
    <w:rsid w:val="78FCC12D"/>
    <w:rsid w:val="792E06D1"/>
    <w:rsid w:val="79956894"/>
    <w:rsid w:val="79B77CFF"/>
    <w:rsid w:val="7A1C28C1"/>
    <w:rsid w:val="7B33E69D"/>
    <w:rsid w:val="7B5F8136"/>
    <w:rsid w:val="7BDEAF8D"/>
    <w:rsid w:val="7BE4A8A7"/>
    <w:rsid w:val="7BFF97B2"/>
    <w:rsid w:val="7CAF6E6F"/>
    <w:rsid w:val="7CF1E256"/>
    <w:rsid w:val="7D2C2C63"/>
    <w:rsid w:val="7D2F2564"/>
    <w:rsid w:val="7D4A0BBE"/>
    <w:rsid w:val="7DB566F2"/>
    <w:rsid w:val="7DBB5D7A"/>
    <w:rsid w:val="7DD10930"/>
    <w:rsid w:val="7DDD1E3D"/>
    <w:rsid w:val="7DF614B7"/>
    <w:rsid w:val="7DFA638F"/>
    <w:rsid w:val="7DFF9A6B"/>
    <w:rsid w:val="7E272FAB"/>
    <w:rsid w:val="7E3FC5F8"/>
    <w:rsid w:val="7E7E15DF"/>
    <w:rsid w:val="7E7F2635"/>
    <w:rsid w:val="7EBF76E9"/>
    <w:rsid w:val="7EE7E78E"/>
    <w:rsid w:val="7F1A8001"/>
    <w:rsid w:val="7F2B4046"/>
    <w:rsid w:val="7F5EBB78"/>
    <w:rsid w:val="7F6F214A"/>
    <w:rsid w:val="7F7AC4B9"/>
    <w:rsid w:val="7FADD93E"/>
    <w:rsid w:val="7FAF11DC"/>
    <w:rsid w:val="7FC75563"/>
    <w:rsid w:val="7FC76F84"/>
    <w:rsid w:val="7FEBEB27"/>
    <w:rsid w:val="7FFE4ECD"/>
    <w:rsid w:val="7FFF2C1D"/>
    <w:rsid w:val="7FFF503A"/>
    <w:rsid w:val="88DB834B"/>
    <w:rsid w:val="9C2E4B67"/>
    <w:rsid w:val="A7FAC167"/>
    <w:rsid w:val="A7FF2D42"/>
    <w:rsid w:val="AACBD63D"/>
    <w:rsid w:val="AB7F79C3"/>
    <w:rsid w:val="ADF701AB"/>
    <w:rsid w:val="AFF25A2A"/>
    <w:rsid w:val="AFF6C6A7"/>
    <w:rsid w:val="B3FE5D57"/>
    <w:rsid w:val="B4FFD413"/>
    <w:rsid w:val="B77FBE25"/>
    <w:rsid w:val="B7BB0713"/>
    <w:rsid w:val="B7F5C57C"/>
    <w:rsid w:val="B8BB14FE"/>
    <w:rsid w:val="BAAF8FB9"/>
    <w:rsid w:val="BB69D723"/>
    <w:rsid w:val="BBFE16CC"/>
    <w:rsid w:val="BBFF29B6"/>
    <w:rsid w:val="BDE9F510"/>
    <w:rsid w:val="BE2FE013"/>
    <w:rsid w:val="BF7F6823"/>
    <w:rsid w:val="BFFB791E"/>
    <w:rsid w:val="BFFF1DF5"/>
    <w:rsid w:val="C5B89A63"/>
    <w:rsid w:val="C7875205"/>
    <w:rsid w:val="C9FF0E36"/>
    <w:rsid w:val="CE3D91AA"/>
    <w:rsid w:val="CEDFC87F"/>
    <w:rsid w:val="CFFE265E"/>
    <w:rsid w:val="CFFFE9E6"/>
    <w:rsid w:val="D7774E4B"/>
    <w:rsid w:val="DAF7AC5F"/>
    <w:rsid w:val="DB0D35B0"/>
    <w:rsid w:val="DB5FA191"/>
    <w:rsid w:val="DBBC36DB"/>
    <w:rsid w:val="DBFF1D44"/>
    <w:rsid w:val="DEB9EC8D"/>
    <w:rsid w:val="DFAF820A"/>
    <w:rsid w:val="DFF7226C"/>
    <w:rsid w:val="DFF976AF"/>
    <w:rsid w:val="DFFE5A1A"/>
    <w:rsid w:val="E3FD5E1E"/>
    <w:rsid w:val="E3FD8956"/>
    <w:rsid w:val="E4AE4A21"/>
    <w:rsid w:val="E57D77CE"/>
    <w:rsid w:val="E5B9C90B"/>
    <w:rsid w:val="E99F5216"/>
    <w:rsid w:val="E9FD5CAC"/>
    <w:rsid w:val="EAF7F01B"/>
    <w:rsid w:val="EBB7756F"/>
    <w:rsid w:val="EDF9377A"/>
    <w:rsid w:val="EF570E9C"/>
    <w:rsid w:val="EF5EFC44"/>
    <w:rsid w:val="EF6E9E70"/>
    <w:rsid w:val="EF6F0118"/>
    <w:rsid w:val="F1FD4DC3"/>
    <w:rsid w:val="F2FF4455"/>
    <w:rsid w:val="F37E0763"/>
    <w:rsid w:val="F63F01FB"/>
    <w:rsid w:val="F7AF9050"/>
    <w:rsid w:val="F7F64F98"/>
    <w:rsid w:val="F7FDFA1C"/>
    <w:rsid w:val="F7FE5CE8"/>
    <w:rsid w:val="F87630F7"/>
    <w:rsid w:val="F9DB6818"/>
    <w:rsid w:val="F9FE0CD5"/>
    <w:rsid w:val="F9FFDF2E"/>
    <w:rsid w:val="FB6F325F"/>
    <w:rsid w:val="FBBF5211"/>
    <w:rsid w:val="FBF1811C"/>
    <w:rsid w:val="FCE7B665"/>
    <w:rsid w:val="FD751401"/>
    <w:rsid w:val="FDC7460A"/>
    <w:rsid w:val="FDCF7AD0"/>
    <w:rsid w:val="FDED69A1"/>
    <w:rsid w:val="FDF6DEF5"/>
    <w:rsid w:val="FDFA1DD3"/>
    <w:rsid w:val="FDFFB681"/>
    <w:rsid w:val="FE0FDF9B"/>
    <w:rsid w:val="FEB7EFC4"/>
    <w:rsid w:val="FECD7B6A"/>
    <w:rsid w:val="FEFEB09B"/>
    <w:rsid w:val="FEFF0887"/>
    <w:rsid w:val="FEFF9DDB"/>
    <w:rsid w:val="FF1F153A"/>
    <w:rsid w:val="FF4A8246"/>
    <w:rsid w:val="FF7BC9F2"/>
    <w:rsid w:val="FF7F0A8E"/>
    <w:rsid w:val="FF7F199B"/>
    <w:rsid w:val="FF9BDF1C"/>
    <w:rsid w:val="FFAF42DC"/>
    <w:rsid w:val="FFBF5605"/>
    <w:rsid w:val="FFBF855F"/>
    <w:rsid w:val="FFDF8072"/>
    <w:rsid w:val="FFE5E993"/>
    <w:rsid w:val="FFEC5855"/>
    <w:rsid w:val="FFFEEC9F"/>
    <w:rsid w:val="FFFF7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locked/>
    <w:uiPriority w:val="99"/>
    <w:rPr>
      <w:rFonts w:ascii="黑体" w:hAnsi="黑体" w:eastAsia="黑体"/>
      <w:b/>
      <w:bCs/>
      <w:sz w:val="36"/>
      <w:szCs w:val="36"/>
    </w:rPr>
  </w:style>
  <w:style w:type="paragraph" w:styleId="3">
    <w:name w:val="Normal Indent"/>
    <w:basedOn w:val="1"/>
    <w:qFormat/>
    <w:uiPriority w:val="0"/>
    <w:pPr>
      <w:ind w:firstLine="420" w:firstLineChars="200"/>
    </w:pPr>
  </w:style>
  <w:style w:type="paragraph" w:styleId="4">
    <w:name w:val="annotation text"/>
    <w:basedOn w:val="1"/>
    <w:link w:val="32"/>
    <w:semiHidden/>
    <w:unhideWhenUsed/>
    <w:qFormat/>
    <w:uiPriority w:val="99"/>
    <w:pPr>
      <w:jc w:val="left"/>
    </w:pPr>
  </w:style>
  <w:style w:type="paragraph" w:styleId="5">
    <w:name w:val="Date"/>
    <w:basedOn w:val="1"/>
    <w:next w:val="1"/>
    <w:link w:val="22"/>
    <w:semiHidden/>
    <w:qFormat/>
    <w:uiPriority w:val="99"/>
    <w:pPr>
      <w:ind w:left="100" w:leftChars="2500"/>
    </w:pPr>
  </w:style>
  <w:style w:type="paragraph" w:styleId="6">
    <w:name w:val="Balloon Text"/>
    <w:basedOn w:val="1"/>
    <w:link w:val="23"/>
    <w:semiHidden/>
    <w:qFormat/>
    <w:uiPriority w:val="99"/>
    <w:rPr>
      <w:sz w:val="18"/>
      <w:szCs w:val="18"/>
    </w:rPr>
  </w:style>
  <w:style w:type="paragraph" w:styleId="7">
    <w:name w:val="footer"/>
    <w:basedOn w:val="1"/>
    <w:link w:val="24"/>
    <w:semiHidden/>
    <w:qFormat/>
    <w:uiPriority w:val="99"/>
    <w:pPr>
      <w:tabs>
        <w:tab w:val="center" w:pos="4153"/>
        <w:tab w:val="right" w:pos="8306"/>
      </w:tabs>
      <w:snapToGrid w:val="0"/>
      <w:jc w:val="left"/>
    </w:pPr>
    <w:rPr>
      <w:sz w:val="18"/>
      <w:szCs w:val="18"/>
    </w:rPr>
  </w:style>
  <w:style w:type="paragraph" w:styleId="8">
    <w:name w:val="header"/>
    <w:basedOn w:val="1"/>
    <w:link w:val="25"/>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33"/>
    <w:semiHidden/>
    <w:unhideWhenUsed/>
    <w:qFormat/>
    <w:uiPriority w:val="99"/>
    <w:rPr>
      <w:b/>
      <w:bCs/>
    </w:rPr>
  </w:style>
  <w:style w:type="table" w:styleId="13">
    <w:name w:val="Table Grid"/>
    <w:basedOn w:val="1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u w:val="none"/>
    </w:rPr>
  </w:style>
  <w:style w:type="character" w:styleId="17">
    <w:name w:val="Emphasis"/>
    <w:basedOn w:val="14"/>
    <w:qFormat/>
    <w:locked/>
    <w:uiPriority w:val="0"/>
    <w:rPr>
      <w:rFonts w:ascii="宋体" w:hAnsi="宋体" w:eastAsia="宋体" w:cs="宋体"/>
      <w:sz w:val="18"/>
      <w:szCs w:val="18"/>
    </w:rPr>
  </w:style>
  <w:style w:type="character" w:styleId="18">
    <w:name w:val="Hyperlink"/>
    <w:basedOn w:val="14"/>
    <w:unhideWhenUsed/>
    <w:qFormat/>
    <w:uiPriority w:val="99"/>
    <w:rPr>
      <w:color w:val="0000FF"/>
      <w:u w:val="none"/>
    </w:rPr>
  </w:style>
  <w:style w:type="character" w:styleId="19">
    <w:name w:val="HTML Code"/>
    <w:basedOn w:val="14"/>
    <w:unhideWhenUsed/>
    <w:qFormat/>
    <w:uiPriority w:val="99"/>
    <w:rPr>
      <w:rFonts w:ascii="宋体" w:hAnsi="宋体" w:eastAsia="宋体" w:cs="宋体"/>
      <w:sz w:val="18"/>
      <w:szCs w:val="18"/>
    </w:rPr>
  </w:style>
  <w:style w:type="character" w:styleId="20">
    <w:name w:val="annotation reference"/>
    <w:basedOn w:val="14"/>
    <w:semiHidden/>
    <w:unhideWhenUsed/>
    <w:qFormat/>
    <w:uiPriority w:val="99"/>
    <w:rPr>
      <w:sz w:val="21"/>
      <w:szCs w:val="21"/>
    </w:rPr>
  </w:style>
  <w:style w:type="character" w:styleId="21">
    <w:name w:val="HTML Cite"/>
    <w:basedOn w:val="14"/>
    <w:unhideWhenUsed/>
    <w:qFormat/>
    <w:uiPriority w:val="99"/>
    <w:rPr>
      <w:rFonts w:ascii="宋体" w:hAnsi="宋体" w:eastAsia="宋体" w:cs="宋体"/>
      <w:sz w:val="18"/>
      <w:szCs w:val="18"/>
    </w:rPr>
  </w:style>
  <w:style w:type="character" w:customStyle="1" w:styleId="22">
    <w:name w:val="日期 Char"/>
    <w:basedOn w:val="14"/>
    <w:link w:val="5"/>
    <w:semiHidden/>
    <w:qFormat/>
    <w:locked/>
    <w:uiPriority w:val="99"/>
    <w:rPr>
      <w:rFonts w:cs="Times New Roman"/>
    </w:rPr>
  </w:style>
  <w:style w:type="character" w:customStyle="1" w:styleId="23">
    <w:name w:val="批注框文本 Char"/>
    <w:basedOn w:val="14"/>
    <w:link w:val="6"/>
    <w:semiHidden/>
    <w:qFormat/>
    <w:locked/>
    <w:uiPriority w:val="99"/>
    <w:rPr>
      <w:rFonts w:cs="Times New Roman"/>
      <w:sz w:val="18"/>
      <w:szCs w:val="18"/>
    </w:rPr>
  </w:style>
  <w:style w:type="character" w:customStyle="1" w:styleId="24">
    <w:name w:val="页脚 Char"/>
    <w:basedOn w:val="14"/>
    <w:link w:val="7"/>
    <w:semiHidden/>
    <w:qFormat/>
    <w:locked/>
    <w:uiPriority w:val="99"/>
    <w:rPr>
      <w:rFonts w:cs="Times New Roman"/>
      <w:sz w:val="18"/>
      <w:szCs w:val="18"/>
    </w:rPr>
  </w:style>
  <w:style w:type="character" w:customStyle="1" w:styleId="25">
    <w:name w:val="页眉 Char"/>
    <w:basedOn w:val="14"/>
    <w:link w:val="8"/>
    <w:semiHidden/>
    <w:qFormat/>
    <w:locked/>
    <w:uiPriority w:val="99"/>
    <w:rPr>
      <w:rFonts w:cs="Times New Roman"/>
      <w:sz w:val="18"/>
      <w:szCs w:val="18"/>
    </w:rPr>
  </w:style>
  <w:style w:type="paragraph" w:customStyle="1" w:styleId="26">
    <w:name w:val="List Paragraph1"/>
    <w:basedOn w:val="1"/>
    <w:qFormat/>
    <w:uiPriority w:val="99"/>
    <w:pPr>
      <w:ind w:firstLine="420" w:firstLineChars="200"/>
    </w:pPr>
  </w:style>
  <w:style w:type="paragraph" w:customStyle="1" w:styleId="27">
    <w:name w:val="char"/>
    <w:basedOn w:val="1"/>
    <w:qFormat/>
    <w:uiPriority w:val="99"/>
    <w:pPr>
      <w:widowControl/>
      <w:spacing w:after="160" w:line="240" w:lineRule="exact"/>
      <w:jc w:val="left"/>
    </w:pPr>
    <w:rPr>
      <w:rFonts w:cs="Times New Roman"/>
      <w:szCs w:val="22"/>
    </w:rPr>
  </w:style>
  <w:style w:type="character" w:customStyle="1" w:styleId="28">
    <w:name w:val="hover42"/>
    <w:basedOn w:val="14"/>
    <w:qFormat/>
    <w:uiPriority w:val="0"/>
    <w:rPr>
      <w:color w:val="000000"/>
      <w:shd w:val="clear" w:color="auto" w:fill="FFFFFF"/>
    </w:rPr>
  </w:style>
  <w:style w:type="character" w:customStyle="1" w:styleId="29">
    <w:name w:val="bsharetext"/>
    <w:basedOn w:val="14"/>
    <w:qFormat/>
    <w:uiPriority w:val="0"/>
  </w:style>
  <w:style w:type="paragraph" w:styleId="30">
    <w:name w:val="List Paragraph"/>
    <w:basedOn w:val="1"/>
    <w:unhideWhenUsed/>
    <w:qFormat/>
    <w:uiPriority w:val="99"/>
    <w:pPr>
      <w:ind w:firstLine="420" w:firstLineChars="200"/>
    </w:pPr>
  </w:style>
  <w:style w:type="character" w:customStyle="1" w:styleId="31">
    <w:name w:val="NormalCharacter"/>
    <w:semiHidden/>
    <w:qFormat/>
    <w:uiPriority w:val="0"/>
  </w:style>
  <w:style w:type="character" w:customStyle="1" w:styleId="32">
    <w:name w:val="批注文字 Char"/>
    <w:basedOn w:val="14"/>
    <w:link w:val="4"/>
    <w:semiHidden/>
    <w:qFormat/>
    <w:uiPriority w:val="99"/>
    <w:rPr>
      <w:rFonts w:ascii="Calibri" w:hAnsi="Calibri" w:cs="Calibri"/>
      <w:kern w:val="2"/>
      <w:sz w:val="21"/>
      <w:szCs w:val="21"/>
    </w:rPr>
  </w:style>
  <w:style w:type="character" w:customStyle="1" w:styleId="33">
    <w:name w:val="批注主题 Char"/>
    <w:basedOn w:val="32"/>
    <w:link w:val="11"/>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3892</Words>
  <Characters>4097</Characters>
  <Lines>23</Lines>
  <Paragraphs>6</Paragraphs>
  <TotalTime>24</TotalTime>
  <ScaleCrop>false</ScaleCrop>
  <LinksUpToDate>false</LinksUpToDate>
  <CharactersWithSpaces>4225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2020-05-06T07:11:00Z</dcterms:created>
  <dc:creator>Administrator</dc:creator>
  <cp:lastModifiedBy>wtj</cp:lastModifiedBy>
  <cp:lastPrinted>2023-03-17T06:24:00Z</cp:lastPrinted>
  <dcterms:modified xsi:type="dcterms:W3CDTF">2023-03-20T15:59:21Z</dcterms:modified>
  <dc:title>2015年益阳市司法局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commondata">
    <vt:lpwstr>eyJoZGlkIjoiOWZlY2I3NTY2MjIxNDc0ZGU5NzYwMTQ1NGRhMGM1ODcifQ==</vt:lpwstr>
  </property>
  <property fmtid="{D5CDD505-2E9C-101B-9397-08002B2CF9AE}" pid="4" name="ICV">
    <vt:lpwstr>E752D0A09E854158884A8E3B457B0A28</vt:lpwstr>
  </property>
</Properties>
</file>