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Nimbus Roman" w:hAnsi="Nimbus Roman" w:eastAsia="方正小标宋_GBK" w:cs="Nimbus Roman"/>
          <w:b w:val="0"/>
          <w:bCs w:val="0"/>
          <w:sz w:val="44"/>
          <w:szCs w:val="44"/>
          <w:lang w:val="en-US" w:eastAsia="zh-CN"/>
        </w:rPr>
      </w:pPr>
      <w:r>
        <w:rPr>
          <w:rFonts w:hint="default" w:ascii="Nimbus Roman" w:hAnsi="Nimbus Roman" w:eastAsia="方正小标宋_GBK" w:cs="Nimbus Roman"/>
          <w:b w:val="0"/>
          <w:bCs w:val="0"/>
          <w:sz w:val="44"/>
          <w:szCs w:val="44"/>
          <w:lang w:val="en-US" w:eastAsia="zh-CN"/>
        </w:rPr>
        <w:t>益阳市文化旅游广电体育局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Nimbus Roman" w:hAnsi="Nimbus Roman" w:eastAsia="方正小标宋_GBK" w:cs="Nimbus Roman"/>
          <w:b w:val="0"/>
          <w:bCs w:val="0"/>
          <w:sz w:val="44"/>
          <w:szCs w:val="44"/>
          <w:lang w:val="en-US" w:eastAsia="zh-CN"/>
        </w:rPr>
      </w:pPr>
      <w:r>
        <w:rPr>
          <w:rFonts w:hint="default" w:ascii="Nimbus Roman" w:hAnsi="Nimbus Roman" w:eastAsia="方正小标宋_GBK" w:cs="Nimbus Roman"/>
          <w:b w:val="0"/>
          <w:bCs w:val="0"/>
          <w:sz w:val="44"/>
          <w:szCs w:val="44"/>
          <w:lang w:val="en-US" w:eastAsia="zh-CN"/>
        </w:rPr>
        <w:t>关于2022年度健康体育产业引导资金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Nimbus Roman" w:hAnsi="Nimbus Roman" w:eastAsia="方正小标宋_GBK" w:cs="Nimbus Roman"/>
          <w:b w:val="0"/>
          <w:bCs w:val="0"/>
          <w:sz w:val="44"/>
          <w:szCs w:val="44"/>
          <w:lang w:val="en-US" w:eastAsia="zh-CN"/>
        </w:rPr>
      </w:pPr>
      <w:r>
        <w:rPr>
          <w:rFonts w:hint="default" w:ascii="Nimbus Roman" w:hAnsi="Nimbus Roman" w:eastAsia="方正小标宋_GBK" w:cs="Nimbus Roman"/>
          <w:b w:val="0"/>
          <w:bCs w:val="0"/>
          <w:sz w:val="44"/>
          <w:szCs w:val="44"/>
          <w:lang w:val="en-US" w:eastAsia="zh-CN"/>
        </w:rPr>
        <w:t>绩效自评报告</w:t>
      </w:r>
    </w:p>
    <w:p>
      <w:pPr>
        <w:keepNext w:val="0"/>
        <w:keepLines w:val="0"/>
        <w:pageBreakBefore w:val="0"/>
        <w:widowControl w:val="0"/>
        <w:kinsoku/>
        <w:wordWrap/>
        <w:overflowPunct/>
        <w:autoSpaceDE/>
        <w:autoSpaceDN/>
        <w:bidi w:val="0"/>
        <w:adjustRightInd/>
        <w:snapToGrid/>
        <w:spacing w:line="580" w:lineRule="exact"/>
        <w:ind w:left="0" w:firstLine="640" w:firstLineChars="200"/>
        <w:jc w:val="both"/>
        <w:textAlignment w:val="auto"/>
        <w:rPr>
          <w:rFonts w:hint="default" w:ascii="Nimbus Roman" w:hAnsi="Nimbus Roman" w:eastAsia="仿宋" w:cs="Nimbus Roman"/>
          <w:sz w:val="32"/>
          <w:szCs w:val="32"/>
        </w:rPr>
      </w:pPr>
    </w:p>
    <w:p>
      <w:pPr>
        <w:keepNext w:val="0"/>
        <w:keepLines w:val="0"/>
        <w:pageBreakBefore w:val="0"/>
        <w:widowControl w:val="0"/>
        <w:kinsoku/>
        <w:wordWrap/>
        <w:overflowPunct/>
        <w:autoSpaceDE/>
        <w:autoSpaceDN/>
        <w:bidi w:val="0"/>
        <w:adjustRightInd/>
        <w:snapToGrid/>
        <w:spacing w:line="580" w:lineRule="exact"/>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益阳市财政局：</w:t>
      </w:r>
    </w:p>
    <w:p>
      <w:pPr>
        <w:keepNext w:val="0"/>
        <w:keepLines w:val="0"/>
        <w:pageBreakBefore w:val="0"/>
        <w:widowControl w:val="0"/>
        <w:kinsoku/>
        <w:wordWrap/>
        <w:overflowPunct/>
        <w:autoSpaceDE/>
        <w:autoSpaceDN/>
        <w:bidi w:val="0"/>
        <w:adjustRightInd/>
        <w:snapToGrid/>
        <w:spacing w:line="58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kern w:val="28"/>
          <w:sz w:val="32"/>
          <w:szCs w:val="32"/>
        </w:rPr>
        <w:t>为加强财政支出管理，根据《中共湖南省委办公厅湖南省人民政府办公厅关于全面实施预算绩效管理的实施意见》（湘办发〔2019〕10号）</w:t>
      </w:r>
      <w:r>
        <w:rPr>
          <w:rFonts w:hint="eastAsia" w:ascii="Nimbus Roman" w:hAnsi="Nimbus Roman" w:eastAsia="仿宋" w:cs="Nimbus Roman"/>
          <w:kern w:val="28"/>
          <w:sz w:val="32"/>
          <w:szCs w:val="32"/>
          <w:lang w:eastAsia="zh-CN"/>
        </w:rPr>
        <w:t>、</w:t>
      </w:r>
      <w:r>
        <w:rPr>
          <w:rFonts w:hint="default" w:ascii="Nimbus Roman" w:hAnsi="Nimbus Roman" w:eastAsia="仿宋" w:cs="Nimbus Roman"/>
          <w:sz w:val="32"/>
          <w:szCs w:val="32"/>
        </w:rPr>
        <w:t>《益阳市财政局关于转发〈湖南省预算绩效管理工作规程（试行）〉的通知》（益财绩〔2014〕126号）</w:t>
      </w:r>
      <w:r>
        <w:rPr>
          <w:rFonts w:hint="eastAsia" w:ascii="Nimbus Roman" w:hAnsi="Nimbus Roman" w:eastAsia="仿宋" w:cs="Nimbus Roman"/>
          <w:sz w:val="32"/>
          <w:szCs w:val="32"/>
          <w:lang w:eastAsia="zh-CN"/>
        </w:rPr>
        <w:t>、</w:t>
      </w:r>
      <w:r>
        <w:rPr>
          <w:rFonts w:hint="default" w:ascii="Nimbus Roman" w:hAnsi="Nimbus Roman" w:eastAsia="仿宋" w:cs="Nimbus Roman"/>
          <w:sz w:val="32"/>
          <w:szCs w:val="32"/>
        </w:rPr>
        <w:t>《益阳市财政局关于开展202</w:t>
      </w:r>
      <w:r>
        <w:rPr>
          <w:rFonts w:hint="default" w:ascii="Nimbus Roman" w:hAnsi="Nimbus Roman" w:eastAsia="仿宋" w:cs="Nimbus Roman"/>
          <w:sz w:val="32"/>
          <w:szCs w:val="32"/>
          <w:lang w:val="en-US" w:eastAsia="zh-CN"/>
        </w:rPr>
        <w:t>2</w:t>
      </w:r>
      <w:r>
        <w:rPr>
          <w:rFonts w:hint="default" w:ascii="Nimbus Roman" w:hAnsi="Nimbus Roman" w:eastAsia="仿宋" w:cs="Nimbus Roman"/>
          <w:sz w:val="32"/>
          <w:szCs w:val="32"/>
        </w:rPr>
        <w:t>年度</w:t>
      </w:r>
      <w:r>
        <w:rPr>
          <w:rFonts w:hint="default" w:ascii="Nimbus Roman" w:hAnsi="Nimbus Roman" w:eastAsia="仿宋" w:cs="Nimbus Roman"/>
          <w:sz w:val="32"/>
          <w:szCs w:val="32"/>
          <w:lang w:eastAsia="zh-CN"/>
        </w:rPr>
        <w:t>部门</w:t>
      </w:r>
      <w:r>
        <w:rPr>
          <w:rFonts w:hint="default" w:ascii="Nimbus Roman" w:hAnsi="Nimbus Roman" w:eastAsia="仿宋" w:cs="Nimbus Roman"/>
          <w:sz w:val="32"/>
          <w:szCs w:val="32"/>
        </w:rPr>
        <w:t>绩效自评工作的通知》等文件精神，我局组织对202</w:t>
      </w:r>
      <w:r>
        <w:rPr>
          <w:rFonts w:hint="default" w:ascii="Nimbus Roman" w:hAnsi="Nimbus Roman" w:eastAsia="仿宋" w:cs="Nimbus Roman"/>
          <w:sz w:val="32"/>
          <w:szCs w:val="32"/>
          <w:lang w:val="en-US" w:eastAsia="zh-CN"/>
        </w:rPr>
        <w:t>2</w:t>
      </w:r>
      <w:r>
        <w:rPr>
          <w:rFonts w:hint="default" w:ascii="Nimbus Roman" w:hAnsi="Nimbus Roman" w:eastAsia="仿宋" w:cs="Nimbus Roman"/>
          <w:sz w:val="32"/>
          <w:szCs w:val="32"/>
        </w:rPr>
        <w:t>年度</w:t>
      </w:r>
      <w:r>
        <w:rPr>
          <w:rFonts w:hint="default" w:ascii="Nimbus Roman" w:hAnsi="Nimbus Roman" w:eastAsia="仿宋" w:cs="Nimbus Roman"/>
          <w:sz w:val="32"/>
          <w:szCs w:val="32"/>
          <w:lang w:eastAsia="zh-CN"/>
        </w:rPr>
        <w:t>健康体育产业引导资金</w:t>
      </w:r>
      <w:r>
        <w:rPr>
          <w:rFonts w:hint="default" w:ascii="Nimbus Roman" w:hAnsi="Nimbus Roman" w:eastAsia="仿宋" w:cs="Nimbus Roman"/>
          <w:sz w:val="32"/>
          <w:szCs w:val="32"/>
        </w:rPr>
        <w:t>（以下简称该项目资金）开展了绩效自评。现将有关情况报告如下：</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一、基本情况</w:t>
      </w:r>
    </w:p>
    <w:p>
      <w:pPr>
        <w:keepNext w:val="0"/>
        <w:keepLines w:val="0"/>
        <w:pageBreakBefore w:val="0"/>
        <w:widowControl w:val="0"/>
        <w:kinsoku/>
        <w:wordWrap/>
        <w:overflowPunct/>
        <w:topLinePunct/>
        <w:autoSpaceDE/>
        <w:autoSpaceDN/>
        <w:bidi w:val="0"/>
        <w:adjustRightInd/>
        <w:snapToGrid/>
        <w:spacing w:line="58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楷体" w:cs="Nimbus Roman"/>
          <w:sz w:val="32"/>
          <w:szCs w:val="32"/>
        </w:rPr>
        <w:t>（一）项目单位基本情况</w:t>
      </w:r>
    </w:p>
    <w:p>
      <w:pPr>
        <w:keepNext w:val="0"/>
        <w:keepLines w:val="0"/>
        <w:pageBreakBefore w:val="0"/>
        <w:widowControl w:val="0"/>
        <w:kinsoku/>
        <w:wordWrap/>
        <w:overflowPunct/>
        <w:topLinePunct/>
        <w:autoSpaceDE/>
        <w:autoSpaceDN/>
        <w:bidi w:val="0"/>
        <w:adjustRightInd/>
        <w:snapToGrid/>
        <w:spacing w:line="594"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市文化旅游广电体育局（以下简称市文旅广体局）是市人民政府工作部门，主要负责贯彻执行党和政府有关文化、文物、旅游、广电和体育的法律法规和方针政策，统筹规划全市文化、文物、旅游、广电和体育领域事业发展，拟定发展规划并组织实施，推进全市文化、文物、旅游、广电和体育公共服务体系建设，实施文化惠民工程等。局机关现有人员编制46人，内设办公室、</w:t>
      </w:r>
      <w:r>
        <w:rPr>
          <w:rFonts w:hint="eastAsia" w:ascii="Nimbus Roman" w:hAnsi="Nimbus Roman" w:eastAsia="仿宋" w:cs="Nimbus Roman"/>
          <w:sz w:val="32"/>
          <w:szCs w:val="32"/>
          <w:lang w:eastAsia="zh-CN"/>
        </w:rPr>
        <w:t>财务</w:t>
      </w:r>
      <w:r>
        <w:rPr>
          <w:rFonts w:hint="default" w:ascii="Nimbus Roman" w:hAnsi="Nimbus Roman" w:eastAsia="仿宋" w:cs="Nimbus Roman"/>
          <w:sz w:val="32"/>
          <w:szCs w:val="32"/>
        </w:rPr>
        <w:t>科等21个科室，下设市全民健身服务中心等13个</w:t>
      </w:r>
      <w:r>
        <w:rPr>
          <w:rFonts w:hint="eastAsia" w:ascii="Nimbus Roman" w:hAnsi="Nimbus Roman" w:eastAsia="仿宋" w:cs="Nimbus Roman"/>
          <w:sz w:val="32"/>
          <w:szCs w:val="32"/>
          <w:lang w:eastAsia="zh-CN"/>
        </w:rPr>
        <w:t>二级</w:t>
      </w:r>
      <w:r>
        <w:rPr>
          <w:rFonts w:hint="default" w:ascii="Nimbus Roman" w:hAnsi="Nimbus Roman" w:eastAsia="仿宋" w:cs="Nimbus Roman"/>
          <w:sz w:val="32"/>
          <w:szCs w:val="32"/>
        </w:rPr>
        <w:t>单位。</w:t>
      </w:r>
    </w:p>
    <w:p>
      <w:pPr>
        <w:keepNext w:val="0"/>
        <w:keepLines w:val="0"/>
        <w:pageBreakBefore w:val="0"/>
        <w:widowControl w:val="0"/>
        <w:kinsoku/>
        <w:wordWrap/>
        <w:overflowPunct/>
        <w:topLinePunct/>
        <w:autoSpaceDE/>
        <w:autoSpaceDN/>
        <w:bidi w:val="0"/>
        <w:adjustRightInd/>
        <w:snapToGrid/>
        <w:spacing w:line="594"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楷体" w:cs="Nimbus Roman"/>
          <w:sz w:val="32"/>
          <w:szCs w:val="32"/>
        </w:rPr>
        <w:t>（二）项目基本情况</w:t>
      </w:r>
    </w:p>
    <w:p>
      <w:pPr>
        <w:keepNext w:val="0"/>
        <w:keepLines w:val="0"/>
        <w:pageBreakBefore w:val="0"/>
        <w:widowControl w:val="0"/>
        <w:kinsoku/>
        <w:wordWrap/>
        <w:overflowPunct/>
        <w:topLinePunct/>
        <w:autoSpaceDE/>
        <w:autoSpaceDN/>
        <w:bidi w:val="0"/>
        <w:adjustRightInd/>
        <w:snapToGrid/>
        <w:spacing w:line="594"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根据《国务院关于加快发展体育产业促进体育消费若干意见》（国发﹝2014﹞46号）</w:t>
      </w:r>
      <w:r>
        <w:rPr>
          <w:rFonts w:hint="eastAsia" w:ascii="Nimbus Roman" w:hAnsi="Nimbus Roman" w:eastAsia="仿宋" w:cs="Nimbus Roman"/>
          <w:sz w:val="32"/>
          <w:szCs w:val="32"/>
          <w:lang w:eastAsia="zh-CN"/>
        </w:rPr>
        <w:t>、</w:t>
      </w:r>
      <w:r>
        <w:rPr>
          <w:rFonts w:hint="default" w:ascii="Nimbus Roman" w:hAnsi="Nimbus Roman" w:eastAsia="仿宋" w:cs="Nimbus Roman"/>
          <w:sz w:val="32"/>
          <w:szCs w:val="32"/>
        </w:rPr>
        <w:t>《湖南省人民政府关于加快发展体育产业促进体育消费的实施意见》（湘政发〔2015〕41号）</w:t>
      </w:r>
      <w:r>
        <w:rPr>
          <w:rFonts w:hint="eastAsia" w:ascii="Nimbus Roman" w:hAnsi="Nimbus Roman" w:eastAsia="仿宋" w:cs="Nimbus Roman"/>
          <w:sz w:val="32"/>
          <w:szCs w:val="32"/>
          <w:lang w:eastAsia="zh-CN"/>
        </w:rPr>
        <w:t>、</w:t>
      </w:r>
      <w:r>
        <w:rPr>
          <w:rFonts w:hint="default" w:ascii="Nimbus Roman" w:hAnsi="Nimbus Roman" w:eastAsia="仿宋" w:cs="Nimbus Roman"/>
          <w:sz w:val="32"/>
          <w:szCs w:val="32"/>
        </w:rPr>
        <w:t>《中共益阳市委 益阳市人民政府关于推进“运动益阳”建设 创建国家运动休闲城市的实施意见》（益发〔2017〕10号）等文件精神，设立</w:t>
      </w:r>
      <w:r>
        <w:rPr>
          <w:rFonts w:hint="default" w:ascii="Nimbus Roman" w:hAnsi="Nimbus Roman" w:eastAsia="仿宋" w:cs="Nimbus Roman"/>
          <w:sz w:val="32"/>
          <w:szCs w:val="32"/>
          <w:lang w:eastAsia="zh-CN"/>
        </w:rPr>
        <w:t>健康体育产业引导资金</w:t>
      </w:r>
      <w:r>
        <w:rPr>
          <w:rFonts w:hint="default" w:ascii="Nimbus Roman" w:hAnsi="Nimbus Roman" w:eastAsia="仿宋" w:cs="Nimbus Roman"/>
          <w:sz w:val="32"/>
          <w:szCs w:val="32"/>
        </w:rPr>
        <w:t>，采取项目补贴、贷款贴息、购买服务等方式支持体育产业发展，支持范围包括体育竞赛表演活动</w:t>
      </w:r>
      <w:r>
        <w:rPr>
          <w:rFonts w:hint="eastAsia" w:ascii="Nimbus Roman" w:hAnsi="Nimbus Roman" w:eastAsia="仿宋" w:cs="Nimbus Roman"/>
          <w:sz w:val="32"/>
          <w:szCs w:val="32"/>
          <w:lang w:eastAsia="zh-CN"/>
        </w:rPr>
        <w:t>、</w:t>
      </w:r>
      <w:r>
        <w:rPr>
          <w:rFonts w:hint="default" w:ascii="Nimbus Roman" w:hAnsi="Nimbus Roman" w:eastAsia="仿宋" w:cs="Nimbus Roman"/>
          <w:sz w:val="32"/>
          <w:szCs w:val="32"/>
        </w:rPr>
        <w:t>体育健身休闲活动</w:t>
      </w:r>
      <w:r>
        <w:rPr>
          <w:rFonts w:hint="eastAsia" w:ascii="Nimbus Roman" w:hAnsi="Nimbus Roman" w:eastAsia="仿宋" w:cs="Nimbus Roman"/>
          <w:sz w:val="32"/>
          <w:szCs w:val="32"/>
          <w:lang w:eastAsia="zh-CN"/>
        </w:rPr>
        <w:t>、</w:t>
      </w:r>
      <w:r>
        <w:rPr>
          <w:rFonts w:hint="default" w:ascii="Nimbus Roman" w:hAnsi="Nimbus Roman" w:eastAsia="仿宋" w:cs="Nimbus Roman"/>
          <w:sz w:val="32"/>
          <w:szCs w:val="32"/>
        </w:rPr>
        <w:t>体育场馆服务、体育设施服务、体育中介服务、体育培训、体育人才聘用、体育管理服务、体育调查服务、体育传媒与信息服务、以及其他与体育相关的服务。</w:t>
      </w:r>
    </w:p>
    <w:p>
      <w:pPr>
        <w:keepNext w:val="0"/>
        <w:keepLines w:val="0"/>
        <w:pageBreakBefore w:val="0"/>
        <w:widowControl w:val="0"/>
        <w:kinsoku/>
        <w:wordWrap/>
        <w:overflowPunct/>
        <w:topLinePunct/>
        <w:autoSpaceDE/>
        <w:autoSpaceDN/>
        <w:bidi w:val="0"/>
        <w:adjustRightInd/>
        <w:snapToGrid/>
        <w:spacing w:line="594" w:lineRule="exact"/>
        <w:ind w:left="0" w:firstLine="640" w:firstLineChars="200"/>
        <w:jc w:val="both"/>
        <w:textAlignment w:val="auto"/>
        <w:rPr>
          <w:rFonts w:hint="default" w:ascii="Nimbus Roman" w:hAnsi="Nimbus Roman" w:eastAsia="楷体" w:cs="Nimbus Roman"/>
          <w:sz w:val="32"/>
          <w:szCs w:val="32"/>
        </w:rPr>
      </w:pPr>
      <w:r>
        <w:rPr>
          <w:rFonts w:hint="default" w:ascii="Nimbus Roman" w:hAnsi="Nimbus Roman" w:eastAsia="楷体" w:cs="Nimbus Roman"/>
          <w:sz w:val="32"/>
          <w:szCs w:val="32"/>
        </w:rPr>
        <w:t>（三）绩效目标完成情况</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sz w:val="32"/>
          <w:szCs w:val="32"/>
          <w:lang w:eastAsia="zh-CN"/>
        </w:rPr>
      </w:pPr>
      <w:r>
        <w:rPr>
          <w:rFonts w:hint="default" w:ascii="Nimbus Roman" w:hAnsi="Nimbus Roman" w:eastAsia="仿宋" w:cs="Nimbus Roman"/>
          <w:sz w:val="32"/>
          <w:szCs w:val="32"/>
        </w:rPr>
        <w:t>为贯彻《“健康中国2030”规划纲要》，落实</w:t>
      </w:r>
      <w:r>
        <w:rPr>
          <w:rFonts w:hint="default" w:ascii="Nimbus Roman" w:hAnsi="Nimbus Roman" w:eastAsia="仿宋" w:cs="Nimbus Roman"/>
          <w:sz w:val="32"/>
          <w:szCs w:val="32"/>
          <w:lang w:eastAsia="zh-CN"/>
        </w:rPr>
        <w:t>《</w:t>
      </w:r>
      <w:r>
        <w:rPr>
          <w:rFonts w:hint="default" w:ascii="Nimbus Roman" w:hAnsi="Nimbus Roman" w:eastAsia="仿宋" w:cs="Nimbus Roman"/>
          <w:sz w:val="32"/>
          <w:szCs w:val="32"/>
          <w:lang w:val="en-US" w:eastAsia="zh-CN"/>
        </w:rPr>
        <w:t>湖南体育强省建设规划（2020-2030年）</w:t>
      </w:r>
      <w:r>
        <w:rPr>
          <w:rFonts w:hint="default" w:ascii="Nimbus Roman" w:hAnsi="Nimbus Roman" w:eastAsia="仿宋" w:cs="Nimbus Roman"/>
          <w:sz w:val="32"/>
          <w:szCs w:val="32"/>
        </w:rPr>
        <w:t>》《湖南省全民健身实施计划(2022—2025年)》</w:t>
      </w:r>
      <w:r>
        <w:rPr>
          <w:rFonts w:hint="default" w:ascii="Nimbus Roman" w:hAnsi="Nimbus Roman" w:eastAsia="仿宋" w:cs="Nimbus Roman"/>
          <w:sz w:val="32"/>
          <w:szCs w:val="32"/>
          <w:lang w:eastAsia="zh-CN"/>
        </w:rPr>
        <w:t>《</w:t>
      </w:r>
      <w:r>
        <w:rPr>
          <w:rFonts w:hint="default" w:ascii="Nimbus Roman" w:hAnsi="Nimbus Roman" w:eastAsia="仿宋" w:cs="Nimbus Roman"/>
          <w:sz w:val="32"/>
          <w:szCs w:val="32"/>
          <w:lang w:val="en-US" w:eastAsia="zh-CN"/>
        </w:rPr>
        <w:t>益阳体育强市建设规划（2022-2030年）》，</w:t>
      </w:r>
      <w:r>
        <w:rPr>
          <w:rFonts w:hint="default" w:ascii="Nimbus Roman" w:hAnsi="Nimbus Roman" w:eastAsia="仿宋" w:cs="Nimbus Roman"/>
          <w:sz w:val="32"/>
          <w:szCs w:val="32"/>
        </w:rPr>
        <w:t>深入实施全民健身国家战略</w:t>
      </w:r>
      <w:r>
        <w:rPr>
          <w:rFonts w:hint="default" w:ascii="Nimbus Roman" w:hAnsi="Nimbus Roman" w:eastAsia="仿宋" w:cs="Nimbus Roman"/>
          <w:sz w:val="32"/>
          <w:szCs w:val="32"/>
          <w:lang w:eastAsia="zh-CN"/>
        </w:rPr>
        <w:t>，</w:t>
      </w:r>
      <w:r>
        <w:rPr>
          <w:rFonts w:hint="default" w:ascii="Nimbus Roman" w:hAnsi="Nimbus Roman" w:eastAsia="仿宋" w:cs="Nimbus Roman"/>
          <w:sz w:val="32"/>
          <w:szCs w:val="32"/>
          <w:lang w:val="en-US" w:eastAsia="zh-CN"/>
        </w:rPr>
        <w:t>构建更高水平全民健身服务体系，</w:t>
      </w:r>
      <w:r>
        <w:rPr>
          <w:rFonts w:hint="default" w:ascii="Nimbus Roman" w:hAnsi="Nimbus Roman" w:eastAsia="仿宋" w:cs="Nimbus Roman"/>
          <w:sz w:val="32"/>
          <w:szCs w:val="32"/>
        </w:rPr>
        <w:t>202</w:t>
      </w:r>
      <w:r>
        <w:rPr>
          <w:rFonts w:hint="default" w:ascii="Nimbus Roman" w:hAnsi="Nimbus Roman" w:eastAsia="仿宋" w:cs="Nimbus Roman"/>
          <w:sz w:val="32"/>
          <w:szCs w:val="32"/>
          <w:lang w:val="en-US" w:eastAsia="zh-CN"/>
        </w:rPr>
        <w:t>2</w:t>
      </w:r>
      <w:r>
        <w:rPr>
          <w:rFonts w:hint="default" w:ascii="Nimbus Roman" w:hAnsi="Nimbus Roman" w:eastAsia="仿宋" w:cs="Nimbus Roman"/>
          <w:sz w:val="32"/>
          <w:szCs w:val="32"/>
        </w:rPr>
        <w:t>年</w:t>
      </w:r>
      <w:r>
        <w:rPr>
          <w:rFonts w:hint="default" w:ascii="Nimbus Roman" w:hAnsi="Nimbus Roman" w:eastAsia="仿宋" w:cs="Nimbus Roman"/>
          <w:sz w:val="32"/>
          <w:szCs w:val="32"/>
          <w:lang w:eastAsia="zh-CN"/>
        </w:rPr>
        <w:t>健康体育产业引导资金</w:t>
      </w:r>
      <w:r>
        <w:rPr>
          <w:rFonts w:hint="default" w:ascii="Nimbus Roman" w:hAnsi="Nimbus Roman" w:eastAsia="仿宋" w:cs="Nimbus Roman"/>
          <w:sz w:val="32"/>
          <w:szCs w:val="32"/>
          <w:lang w:val="en-US" w:eastAsia="zh-CN"/>
        </w:rPr>
        <w:t>497985</w:t>
      </w:r>
      <w:r>
        <w:rPr>
          <w:rFonts w:hint="default" w:ascii="Nimbus Roman" w:hAnsi="Nimbus Roman" w:eastAsia="仿宋" w:cs="Nimbus Roman"/>
          <w:sz w:val="32"/>
          <w:szCs w:val="32"/>
        </w:rPr>
        <w:t>元</w:t>
      </w:r>
      <w:r>
        <w:rPr>
          <w:rFonts w:hint="default" w:ascii="Nimbus Roman" w:hAnsi="Nimbus Roman" w:eastAsia="仿宋" w:cs="Nimbus Roman"/>
          <w:sz w:val="32"/>
          <w:szCs w:val="32"/>
          <w:lang w:eastAsia="zh-CN"/>
        </w:rPr>
        <w:t>全部</w:t>
      </w:r>
      <w:r>
        <w:rPr>
          <w:rFonts w:hint="default" w:ascii="Nimbus Roman" w:hAnsi="Nimbus Roman" w:eastAsia="仿宋" w:cs="Nimbus Roman"/>
          <w:sz w:val="32"/>
          <w:szCs w:val="32"/>
        </w:rPr>
        <w:t>用于</w:t>
      </w:r>
      <w:r>
        <w:rPr>
          <w:rFonts w:hint="default" w:ascii="Nimbus Roman" w:hAnsi="Nimbus Roman" w:eastAsia="仿宋" w:cs="Nimbus Roman"/>
          <w:sz w:val="32"/>
          <w:szCs w:val="32"/>
          <w:lang w:val="en-US" w:eastAsia="zh-CN"/>
        </w:rPr>
        <w:t>全民健身器材</w:t>
      </w:r>
      <w:r>
        <w:rPr>
          <w:rFonts w:hint="default" w:ascii="Nimbus Roman" w:hAnsi="Nimbus Roman" w:eastAsia="仿宋" w:cs="Nimbus Roman"/>
          <w:sz w:val="32"/>
          <w:szCs w:val="32"/>
        </w:rPr>
        <w:t>购置及</w:t>
      </w:r>
      <w:r>
        <w:rPr>
          <w:rFonts w:hint="default" w:ascii="Nimbus Roman" w:hAnsi="Nimbus Roman" w:eastAsia="仿宋" w:cs="Nimbus Roman"/>
          <w:sz w:val="32"/>
          <w:szCs w:val="32"/>
          <w:lang w:val="en-US" w:eastAsia="zh-CN"/>
        </w:rPr>
        <w:t>社区智慧健身房建设。项目建设</w:t>
      </w:r>
      <w:r>
        <w:rPr>
          <w:rFonts w:hint="default" w:ascii="Nimbus Roman" w:hAnsi="Nimbus Roman" w:eastAsia="仿宋" w:cs="Nimbus Roman"/>
          <w:sz w:val="32"/>
          <w:szCs w:val="32"/>
        </w:rPr>
        <w:t>促进</w:t>
      </w:r>
      <w:r>
        <w:rPr>
          <w:rFonts w:hint="default" w:ascii="Nimbus Roman" w:hAnsi="Nimbus Roman" w:eastAsia="仿宋" w:cs="Nimbus Roman"/>
          <w:sz w:val="32"/>
          <w:szCs w:val="32"/>
          <w:lang w:eastAsia="zh-CN"/>
        </w:rPr>
        <w:t>了</w:t>
      </w:r>
      <w:r>
        <w:rPr>
          <w:rFonts w:hint="default" w:ascii="Nimbus Roman" w:hAnsi="Nimbus Roman" w:eastAsia="仿宋" w:cs="Nimbus Roman"/>
          <w:sz w:val="32"/>
          <w:szCs w:val="32"/>
        </w:rPr>
        <w:t>我市全民健身和全民健康水平的提升，助推</w:t>
      </w:r>
      <w:r>
        <w:rPr>
          <w:rFonts w:hint="default" w:ascii="Nimbus Roman" w:hAnsi="Nimbus Roman" w:eastAsia="仿宋" w:cs="Nimbus Roman"/>
          <w:sz w:val="32"/>
          <w:szCs w:val="32"/>
          <w:lang w:eastAsia="zh-CN"/>
        </w:rPr>
        <w:t>了</w:t>
      </w:r>
      <w:r>
        <w:rPr>
          <w:rFonts w:hint="default" w:ascii="Nimbus Roman" w:hAnsi="Nimbus Roman" w:eastAsia="仿宋" w:cs="Nimbus Roman"/>
          <w:sz w:val="32"/>
          <w:szCs w:val="32"/>
        </w:rPr>
        <w:t>全民健身与全民健康融合发展，</w:t>
      </w:r>
      <w:r>
        <w:rPr>
          <w:rFonts w:hint="default" w:ascii="Nimbus Roman" w:hAnsi="Nimbus Roman" w:eastAsia="仿宋" w:cs="Nimbus Roman"/>
          <w:sz w:val="32"/>
          <w:szCs w:val="32"/>
          <w:lang w:eastAsia="zh-CN"/>
        </w:rPr>
        <w:t>推进了</w:t>
      </w:r>
      <w:r>
        <w:rPr>
          <w:rFonts w:hint="default" w:ascii="Nimbus Roman" w:hAnsi="Nimbus Roman" w:eastAsia="仿宋" w:cs="Nimbus Roman"/>
          <w:sz w:val="32"/>
          <w:szCs w:val="32"/>
        </w:rPr>
        <w:t>健康益阳与体育强市建设</w:t>
      </w:r>
      <w:r>
        <w:rPr>
          <w:rFonts w:hint="default" w:ascii="Nimbus Roman" w:hAnsi="Nimbus Roman" w:eastAsia="仿宋" w:cs="Nimbus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bCs/>
          <w:sz w:val="32"/>
          <w:szCs w:val="32"/>
        </w:rPr>
        <w:t>二、项目资金使用管理情况</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color w:val="000000"/>
          <w:kern w:val="1"/>
          <w:sz w:val="32"/>
          <w:szCs w:val="32"/>
          <w:lang w:eastAsia="zh-CN"/>
        </w:rPr>
      </w:pPr>
      <w:r>
        <w:rPr>
          <w:rFonts w:hint="default" w:ascii="Nimbus Roman" w:hAnsi="Nimbus Roman" w:eastAsia="仿宋" w:cs="Nimbus Roman"/>
          <w:color w:val="000000"/>
          <w:kern w:val="1"/>
          <w:sz w:val="32"/>
          <w:szCs w:val="32"/>
          <w:lang w:eastAsia="zh-CN"/>
        </w:rPr>
        <w:t>202</w:t>
      </w:r>
      <w:r>
        <w:rPr>
          <w:rFonts w:hint="default" w:ascii="Nimbus Roman" w:hAnsi="Nimbus Roman" w:eastAsia="仿宋" w:cs="Nimbus Roman"/>
          <w:color w:val="000000"/>
          <w:kern w:val="1"/>
          <w:sz w:val="32"/>
          <w:szCs w:val="32"/>
          <w:lang w:val="en-US" w:eastAsia="zh-CN"/>
        </w:rPr>
        <w:t>2</w:t>
      </w:r>
      <w:r>
        <w:rPr>
          <w:rFonts w:hint="default" w:ascii="Nimbus Roman" w:hAnsi="Nimbus Roman" w:eastAsia="仿宋" w:cs="Nimbus Roman"/>
          <w:color w:val="000000"/>
          <w:kern w:val="1"/>
          <w:sz w:val="32"/>
          <w:szCs w:val="32"/>
          <w:lang w:eastAsia="zh-CN"/>
        </w:rPr>
        <w:t>年市级预算共拨付该项目资金</w:t>
      </w:r>
      <w:r>
        <w:rPr>
          <w:rFonts w:hint="default" w:ascii="Nimbus Roman" w:hAnsi="Nimbus Roman" w:eastAsia="仿宋" w:cs="Nimbus Roman"/>
          <w:color w:val="000000"/>
          <w:kern w:val="1"/>
          <w:sz w:val="32"/>
          <w:szCs w:val="32"/>
          <w:lang w:val="en-US" w:eastAsia="zh-CN"/>
        </w:rPr>
        <w:t>497985</w:t>
      </w:r>
      <w:r>
        <w:rPr>
          <w:rFonts w:hint="default" w:ascii="Nimbus Roman" w:hAnsi="Nimbus Roman" w:eastAsia="仿宋" w:cs="Nimbus Roman"/>
          <w:color w:val="000000"/>
          <w:kern w:val="1"/>
          <w:sz w:val="32"/>
          <w:szCs w:val="32"/>
          <w:lang w:eastAsia="zh-CN"/>
        </w:rPr>
        <w:t>元，均用于</w:t>
      </w:r>
      <w:r>
        <w:rPr>
          <w:rFonts w:hint="eastAsia" w:ascii="Nimbus Roman" w:hAnsi="Nimbus Roman" w:eastAsia="仿宋" w:cs="Nimbus Roman"/>
          <w:color w:val="000000"/>
          <w:kern w:val="1"/>
          <w:sz w:val="32"/>
          <w:szCs w:val="32"/>
          <w:lang w:eastAsia="zh-CN"/>
        </w:rPr>
        <w:t>购置全民健身器材和建设智慧社区健身中心</w:t>
      </w:r>
      <w:r>
        <w:rPr>
          <w:rFonts w:hint="default" w:ascii="Nimbus Roman" w:hAnsi="Nimbus Roman" w:eastAsia="仿宋" w:cs="Nimbus Roman"/>
          <w:color w:val="000000"/>
          <w:kern w:val="1"/>
          <w:sz w:val="32"/>
          <w:szCs w:val="32"/>
          <w:lang w:eastAsia="zh-CN"/>
        </w:rPr>
        <w:t>。其中购置</w:t>
      </w:r>
      <w:r>
        <w:rPr>
          <w:rFonts w:hint="default" w:ascii="Nimbus Roman" w:hAnsi="Nimbus Roman" w:eastAsia="仿宋" w:cs="Nimbus Roman"/>
          <w:color w:val="000000"/>
          <w:kern w:val="1"/>
          <w:sz w:val="32"/>
          <w:szCs w:val="32"/>
          <w:lang w:val="en-US" w:eastAsia="zh-CN"/>
        </w:rPr>
        <w:t>全民健身器材20万元，购置包括：双位漫步机、仰卧起坐板、二位箭步蹲辅助器、上肢牵引器、直埋式篮球架、室外乒乓球台等健身器材</w:t>
      </w:r>
      <w:r>
        <w:rPr>
          <w:rFonts w:hint="eastAsia" w:ascii="Nimbus Roman" w:hAnsi="Nimbus Roman" w:eastAsia="仿宋" w:cs="Nimbus Roman"/>
          <w:color w:val="000000"/>
          <w:kern w:val="1"/>
          <w:sz w:val="32"/>
          <w:szCs w:val="32"/>
          <w:lang w:val="en-US" w:eastAsia="zh-CN"/>
        </w:rPr>
        <w:t>。</w:t>
      </w:r>
      <w:r>
        <w:rPr>
          <w:rFonts w:hint="default" w:ascii="Nimbus Roman" w:hAnsi="Nimbus Roman" w:eastAsia="仿宋" w:cs="Nimbus Roman"/>
          <w:color w:val="000000"/>
          <w:kern w:val="1"/>
          <w:sz w:val="32"/>
          <w:szCs w:val="32"/>
          <w:lang w:val="en-US" w:eastAsia="zh-CN"/>
        </w:rPr>
        <w:t>建设社区智慧健身房297985元，用于智慧社区健身中心的设计、采购安装、建设及运营管理。购置包括物联网反飞鸟训练器、物联网高位拉背训练器、物联网双臂机训练器、物联网史密斯机、哑铃架、哑铃等器材。</w:t>
      </w:r>
    </w:p>
    <w:p>
      <w:pPr>
        <w:keepNext w:val="0"/>
        <w:keepLines w:val="0"/>
        <w:pageBreakBefore w:val="0"/>
        <w:widowControl w:val="0"/>
        <w:kinsoku/>
        <w:wordWrap/>
        <w:overflowPunct/>
        <w:autoSpaceDE/>
        <w:autoSpaceDN/>
        <w:bidi w:val="0"/>
        <w:adjustRightInd/>
        <w:snapToGrid/>
        <w:spacing w:line="59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bCs/>
          <w:sz w:val="32"/>
          <w:szCs w:val="32"/>
        </w:rPr>
        <w:t>三、项目组织实施管理情况</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bCs/>
          <w:sz w:val="32"/>
          <w:szCs w:val="32"/>
        </w:rPr>
        <w:t>一是制定实施方案。年初，</w:t>
      </w:r>
      <w:r>
        <w:rPr>
          <w:rFonts w:hint="default" w:ascii="Nimbus Roman" w:hAnsi="Nimbus Roman" w:eastAsia="仿宋" w:cs="Nimbus Roman"/>
          <w:sz w:val="32"/>
          <w:szCs w:val="32"/>
        </w:rPr>
        <w:t>市文旅广体局制定</w:t>
      </w:r>
      <w:r>
        <w:rPr>
          <w:rFonts w:hint="default" w:ascii="Nimbus Roman" w:hAnsi="Nimbus Roman" w:eastAsia="仿宋" w:cs="Nimbus Roman"/>
          <w:sz w:val="32"/>
          <w:szCs w:val="32"/>
          <w:lang w:val="en-US" w:eastAsia="zh-CN"/>
        </w:rPr>
        <w:t>了促进</w:t>
      </w:r>
      <w:r>
        <w:rPr>
          <w:rFonts w:hint="default" w:ascii="Nimbus Roman" w:hAnsi="Nimbus Roman" w:eastAsia="仿宋" w:cs="Nimbus Roman"/>
          <w:color w:val="000000"/>
          <w:kern w:val="1"/>
          <w:sz w:val="32"/>
          <w:szCs w:val="32"/>
          <w:lang w:eastAsia="zh-CN"/>
        </w:rPr>
        <w:t>“体卫融合”</w:t>
      </w:r>
      <w:r>
        <w:rPr>
          <w:rFonts w:hint="default" w:ascii="Nimbus Roman" w:hAnsi="Nimbus Roman" w:eastAsia="仿宋" w:cs="Nimbus Roman"/>
          <w:color w:val="000000"/>
          <w:kern w:val="1"/>
          <w:sz w:val="32"/>
          <w:szCs w:val="32"/>
          <w:lang w:val="en-US" w:eastAsia="zh-CN"/>
        </w:rPr>
        <w:t>全民健身器</w:t>
      </w:r>
      <w:r>
        <w:rPr>
          <w:rFonts w:hint="default" w:ascii="Nimbus Roman" w:hAnsi="Nimbus Roman" w:eastAsia="仿宋" w:cs="Nimbus Roman"/>
          <w:color w:val="000000"/>
          <w:kern w:val="1"/>
          <w:sz w:val="32"/>
          <w:szCs w:val="32"/>
        </w:rPr>
        <w:t>购置及</w:t>
      </w:r>
      <w:r>
        <w:rPr>
          <w:rFonts w:hint="default" w:ascii="Nimbus Roman" w:hAnsi="Nimbus Roman" w:eastAsia="仿宋" w:cs="Nimbus Roman"/>
          <w:color w:val="000000"/>
          <w:kern w:val="1"/>
          <w:sz w:val="32"/>
          <w:szCs w:val="32"/>
          <w:lang w:val="en-US" w:eastAsia="zh-CN"/>
        </w:rPr>
        <w:t>社区智慧健身房建设</w:t>
      </w:r>
      <w:r>
        <w:rPr>
          <w:rFonts w:hint="default" w:ascii="Nimbus Roman" w:hAnsi="Nimbus Roman" w:eastAsia="仿宋" w:cs="Nimbus Roman"/>
          <w:sz w:val="32"/>
          <w:szCs w:val="32"/>
        </w:rPr>
        <w:t>方案，在市财政局的指导和监督下实施。</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sz w:val="32"/>
          <w:szCs w:val="32"/>
          <w:lang w:eastAsia="zh-CN"/>
        </w:rPr>
      </w:pPr>
      <w:r>
        <w:rPr>
          <w:rFonts w:hint="default" w:ascii="Nimbus Roman" w:hAnsi="Nimbus Roman" w:eastAsia="仿宋" w:cs="Nimbus Roman"/>
          <w:sz w:val="32"/>
          <w:szCs w:val="32"/>
        </w:rPr>
        <w:t>二是实行</w:t>
      </w:r>
      <w:r>
        <w:rPr>
          <w:rFonts w:hint="default" w:ascii="Nimbus Roman" w:hAnsi="Nimbus Roman" w:eastAsia="仿宋" w:cs="Nimbus Roman"/>
          <w:sz w:val="32"/>
          <w:szCs w:val="32"/>
          <w:lang w:eastAsia="zh-CN"/>
        </w:rPr>
        <w:t>政府采购</w:t>
      </w:r>
      <w:r>
        <w:rPr>
          <w:rFonts w:hint="default" w:ascii="Nimbus Roman" w:hAnsi="Nimbus Roman" w:eastAsia="仿宋" w:cs="Nimbus Roman"/>
          <w:sz w:val="32"/>
          <w:szCs w:val="32"/>
        </w:rPr>
        <w:t>。按照年度计划，市文旅广体局</w:t>
      </w:r>
      <w:r>
        <w:rPr>
          <w:rFonts w:hint="default" w:ascii="Nimbus Roman" w:hAnsi="Nimbus Roman" w:eastAsia="仿宋" w:cs="Nimbus Roman"/>
          <w:sz w:val="32"/>
          <w:szCs w:val="32"/>
          <w:lang w:eastAsia="zh-CN"/>
        </w:rPr>
        <w:t>组织采购，与</w:t>
      </w:r>
      <w:r>
        <w:rPr>
          <w:rFonts w:hint="default" w:ascii="Nimbus Roman" w:hAnsi="Nimbus Roman" w:eastAsia="仿宋" w:cs="Nimbus Roman"/>
          <w:sz w:val="32"/>
          <w:szCs w:val="32"/>
        </w:rPr>
        <w:t>供应商签订合同，明确双方权利义务。</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仿宋" w:cs="Nimbus Roman"/>
          <w:sz w:val="32"/>
          <w:szCs w:val="32"/>
          <w:highlight w:val="yellow"/>
          <w:lang w:val="en-US" w:eastAsia="zh-CN"/>
        </w:rPr>
      </w:pPr>
      <w:r>
        <w:rPr>
          <w:rFonts w:hint="default" w:ascii="Nimbus Roman" w:hAnsi="Nimbus Roman" w:eastAsia="仿宋" w:cs="Nimbus Roman"/>
          <w:sz w:val="32"/>
          <w:szCs w:val="32"/>
          <w:lang w:val="en-US" w:eastAsia="zh-CN"/>
        </w:rPr>
        <w:t>三是综合评价阶段。依据《2022年项目支出绩效自评表》的相关内容和评价标准，进行了评价指标打分，以定量和定性相结合的评价方法完成绩效自评价报告。</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bCs/>
          <w:sz w:val="32"/>
          <w:szCs w:val="32"/>
        </w:rPr>
        <w:t>四、绩效评价工作情况</w:t>
      </w:r>
    </w:p>
    <w:p>
      <w:pPr>
        <w:keepNext w:val="0"/>
        <w:keepLines w:val="0"/>
        <w:pageBreakBefore w:val="0"/>
        <w:widowControl w:val="0"/>
        <w:kinsoku/>
        <w:wordWrap/>
        <w:overflowPunct/>
        <w:topLinePunct/>
        <w:autoSpaceDE/>
        <w:autoSpaceDN/>
        <w:bidi w:val="0"/>
        <w:adjustRightInd/>
        <w:snapToGrid/>
        <w:spacing w:line="590" w:lineRule="exact"/>
        <w:ind w:left="0" w:firstLine="640" w:firstLineChars="200"/>
        <w:jc w:val="both"/>
        <w:textAlignment w:val="auto"/>
        <w:rPr>
          <w:rFonts w:hint="default" w:ascii="Nimbus Roman" w:hAnsi="Nimbus Roman" w:eastAsia="楷体" w:cs="Nimbus Roman"/>
          <w:sz w:val="32"/>
          <w:szCs w:val="32"/>
        </w:rPr>
      </w:pPr>
      <w:r>
        <w:rPr>
          <w:rFonts w:hint="default" w:ascii="Nimbus Roman" w:hAnsi="Nimbus Roman" w:eastAsia="楷体" w:cs="Nimbus Roman"/>
          <w:sz w:val="32"/>
          <w:szCs w:val="32"/>
        </w:rPr>
        <w:t>（一）绩效评价目的</w:t>
      </w:r>
    </w:p>
    <w:p>
      <w:pPr>
        <w:keepNext w:val="0"/>
        <w:keepLines w:val="0"/>
        <w:pageBreakBefore w:val="0"/>
        <w:widowControl w:val="0"/>
        <w:kinsoku/>
        <w:wordWrap/>
        <w:overflowPunct/>
        <w:topLinePunct/>
        <w:autoSpaceDE/>
        <w:autoSpaceDN/>
        <w:bidi w:val="0"/>
        <w:adjustRightInd/>
        <w:snapToGrid/>
        <w:spacing w:line="62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通过开展</w:t>
      </w:r>
      <w:r>
        <w:rPr>
          <w:rFonts w:hint="default" w:ascii="Nimbus Roman" w:hAnsi="Nimbus Roman" w:eastAsia="仿宋" w:cs="Nimbus Roman"/>
          <w:sz w:val="32"/>
          <w:szCs w:val="32"/>
          <w:lang w:eastAsia="zh-CN"/>
        </w:rPr>
        <w:t>健康</w:t>
      </w:r>
      <w:r>
        <w:rPr>
          <w:rFonts w:hint="default" w:ascii="Nimbus Roman" w:hAnsi="Nimbus Roman" w:eastAsia="仿宋" w:cs="Nimbus Roman"/>
          <w:sz w:val="32"/>
          <w:szCs w:val="32"/>
        </w:rPr>
        <w:t>体育产业引导资金绩效评价，全面了解、分析该项目资金分配、使用及管理等情况，进一步完善项目申报、实施等程序，规范资金分配、使用及管理，切实提高财政资金使用效益。</w:t>
      </w:r>
    </w:p>
    <w:p>
      <w:pPr>
        <w:keepNext w:val="0"/>
        <w:keepLines w:val="0"/>
        <w:pageBreakBefore w:val="0"/>
        <w:widowControl w:val="0"/>
        <w:kinsoku/>
        <w:wordWrap/>
        <w:overflowPunct/>
        <w:topLinePunct/>
        <w:autoSpaceDE/>
        <w:autoSpaceDN/>
        <w:bidi w:val="0"/>
        <w:adjustRightInd/>
        <w:snapToGrid/>
        <w:spacing w:line="620" w:lineRule="exact"/>
        <w:ind w:left="0" w:firstLine="640" w:firstLineChars="200"/>
        <w:jc w:val="both"/>
        <w:textAlignment w:val="auto"/>
        <w:rPr>
          <w:rFonts w:hint="default" w:ascii="Nimbus Roman" w:hAnsi="Nimbus Roman" w:eastAsia="楷体" w:cs="Nimbus Roman"/>
          <w:sz w:val="32"/>
          <w:szCs w:val="32"/>
        </w:rPr>
      </w:pPr>
      <w:r>
        <w:rPr>
          <w:rFonts w:hint="default" w:ascii="Nimbus Roman" w:hAnsi="Nimbus Roman" w:eastAsia="楷体" w:cs="Nimbus Roman"/>
          <w:sz w:val="32"/>
          <w:szCs w:val="32"/>
        </w:rPr>
        <w:t>（二）绩效评价工作过程</w:t>
      </w:r>
    </w:p>
    <w:p>
      <w:pPr>
        <w:keepNext w:val="0"/>
        <w:keepLines w:val="0"/>
        <w:pageBreakBefore w:val="0"/>
        <w:widowControl w:val="0"/>
        <w:kinsoku/>
        <w:wordWrap/>
        <w:overflowPunct/>
        <w:topLinePunct/>
        <w:autoSpaceDE/>
        <w:autoSpaceDN/>
        <w:bidi w:val="0"/>
        <w:adjustRightInd/>
        <w:snapToGrid/>
        <w:spacing w:line="620" w:lineRule="exact"/>
        <w:ind w:left="0" w:firstLine="640" w:firstLineChars="200"/>
        <w:jc w:val="both"/>
        <w:textAlignment w:val="auto"/>
        <w:rPr>
          <w:rFonts w:hint="default" w:ascii="Nimbus Roman" w:hAnsi="Nimbus Roman" w:eastAsia="仿宋" w:cs="Nimbus Roman"/>
          <w:sz w:val="32"/>
          <w:szCs w:val="32"/>
        </w:rPr>
      </w:pPr>
      <w:r>
        <w:rPr>
          <w:rFonts w:hint="default" w:ascii="Nimbus Roman" w:hAnsi="Nimbus Roman" w:eastAsia="仿宋" w:cs="Nimbus Roman"/>
          <w:sz w:val="32"/>
          <w:szCs w:val="32"/>
        </w:rPr>
        <w:t>按照相关政策规定和《通知》文件要求，我局抽调专人成立了绩效评价工作组，明确了工作职责</w:t>
      </w:r>
      <w:r>
        <w:rPr>
          <w:rFonts w:hint="default" w:ascii="Nimbus Roman" w:hAnsi="Nimbus Roman" w:eastAsia="仿宋" w:cs="Nimbus Roman"/>
          <w:sz w:val="32"/>
          <w:szCs w:val="32"/>
          <w:lang w:eastAsia="zh-CN"/>
        </w:rPr>
        <w:t>及</w:t>
      </w:r>
      <w:r>
        <w:rPr>
          <w:rFonts w:hint="default" w:ascii="Nimbus Roman" w:hAnsi="Nimbus Roman" w:eastAsia="仿宋" w:cs="Nimbus Roman"/>
          <w:sz w:val="32"/>
          <w:szCs w:val="32"/>
        </w:rPr>
        <w:t>绩效评价时间，召开了相关会议，收集了相关资料，对照绩效评价内容逐条逐项组织开展自评，得出评价结论，形成绩效自评报告。</w:t>
      </w:r>
    </w:p>
    <w:p>
      <w:pPr>
        <w:keepNext w:val="0"/>
        <w:keepLines w:val="0"/>
        <w:pageBreakBefore w:val="0"/>
        <w:widowControl w:val="0"/>
        <w:kinsoku/>
        <w:wordWrap/>
        <w:overflowPunct/>
        <w:topLinePunct/>
        <w:autoSpaceDE/>
        <w:autoSpaceDN/>
        <w:bidi w:val="0"/>
        <w:adjustRightInd/>
        <w:snapToGrid/>
        <w:spacing w:line="620" w:lineRule="exact"/>
        <w:ind w:left="0" w:firstLine="640" w:firstLineChars="200"/>
        <w:jc w:val="both"/>
        <w:textAlignment w:val="auto"/>
        <w:rPr>
          <w:rFonts w:hint="default" w:ascii="Nimbus Roman" w:hAnsi="Nimbus Roman" w:eastAsia="黑体" w:cs="Nimbus Roman"/>
          <w:bCs/>
          <w:sz w:val="32"/>
          <w:szCs w:val="32"/>
        </w:rPr>
      </w:pPr>
      <w:r>
        <w:rPr>
          <w:rFonts w:hint="default" w:ascii="Nimbus Roman" w:hAnsi="Nimbus Roman" w:eastAsia="黑体" w:cs="Nimbus Roman"/>
          <w:sz w:val="32"/>
          <w:szCs w:val="32"/>
        </w:rPr>
        <w:t>五、</w:t>
      </w:r>
      <w:r>
        <w:rPr>
          <w:rFonts w:hint="default" w:ascii="Nimbus Roman" w:hAnsi="Nimbus Roman" w:eastAsia="黑体" w:cs="Nimbus Roman"/>
          <w:bCs/>
          <w:sz w:val="32"/>
          <w:szCs w:val="32"/>
        </w:rPr>
        <w:t>绩效评价结果和主要绩效</w:t>
      </w:r>
    </w:p>
    <w:p>
      <w:pPr>
        <w:keepNext w:val="0"/>
        <w:keepLines w:val="0"/>
        <w:pageBreakBefore w:val="0"/>
        <w:widowControl w:val="0"/>
        <w:kinsoku/>
        <w:wordWrap/>
        <w:overflowPunct/>
        <w:topLinePunct/>
        <w:autoSpaceDE/>
        <w:autoSpaceDN/>
        <w:bidi w:val="0"/>
        <w:adjustRightInd/>
        <w:snapToGrid/>
        <w:spacing w:line="620" w:lineRule="exact"/>
        <w:ind w:left="0" w:firstLine="640" w:firstLineChars="200"/>
        <w:jc w:val="both"/>
        <w:textAlignment w:val="auto"/>
        <w:rPr>
          <w:rFonts w:hint="default" w:ascii="Nimbus Roman" w:hAnsi="Nimbus Roman" w:eastAsia="仿宋" w:cs="Nimbus Roman"/>
          <w:sz w:val="32"/>
          <w:szCs w:val="32"/>
          <w:lang w:val="en-US" w:eastAsia="zh-CN"/>
        </w:rPr>
      </w:pPr>
      <w:r>
        <w:rPr>
          <w:rFonts w:hint="default" w:ascii="Nimbus Roman" w:hAnsi="Nimbus Roman" w:eastAsia="仿宋" w:cs="Nimbus Roman"/>
          <w:sz w:val="32"/>
          <w:szCs w:val="32"/>
        </w:rPr>
        <w:t>根据该项目资金绩效评价指标体系和绩效检查情况，该项目整体绩效分值100分，实得</w:t>
      </w:r>
      <w:r>
        <w:rPr>
          <w:rFonts w:hint="default" w:ascii="Nimbus Roman" w:hAnsi="Nimbus Roman" w:eastAsia="仿宋" w:cs="Nimbus Roman"/>
          <w:sz w:val="32"/>
          <w:szCs w:val="32"/>
          <w:lang w:val="en-US" w:eastAsia="zh-CN"/>
        </w:rPr>
        <w:t>95</w:t>
      </w:r>
      <w:r>
        <w:rPr>
          <w:rFonts w:hint="default" w:ascii="Nimbus Roman" w:hAnsi="Nimbus Roman" w:eastAsia="仿宋" w:cs="Nimbus Roman"/>
          <w:sz w:val="32"/>
          <w:szCs w:val="32"/>
        </w:rPr>
        <w:t>分。主要绩效表现在：</w:t>
      </w:r>
      <w:r>
        <w:rPr>
          <w:rFonts w:hint="default" w:ascii="Nimbus Roman" w:hAnsi="Nimbus Roman" w:eastAsia="仿宋" w:cs="Nimbus Roman"/>
          <w:sz w:val="32"/>
          <w:szCs w:val="32"/>
          <w:lang w:val="en-US" w:eastAsia="zh-CN"/>
        </w:rPr>
        <w:t xml:space="preserve">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20" w:lineRule="exact"/>
        <w:ind w:left="0" w:right="0" w:rightChars="0" w:firstLine="626" w:firstLineChars="200"/>
        <w:jc w:val="both"/>
        <w:textAlignment w:val="auto"/>
        <w:rPr>
          <w:rFonts w:hint="default" w:ascii="Nimbus Roman" w:hAnsi="Nimbus Roman" w:eastAsia="仿宋" w:cs="Nimbus Roman"/>
          <w:kern w:val="2"/>
          <w:sz w:val="32"/>
          <w:szCs w:val="32"/>
          <w:lang w:val="en-US" w:eastAsia="zh-CN" w:bidi="ar-SA"/>
        </w:rPr>
      </w:pPr>
      <w:r>
        <w:rPr>
          <w:rFonts w:hint="default" w:ascii="Nimbus Roman" w:hAnsi="Nimbus Roman" w:eastAsia="楷体" w:cs="Nimbus Roman"/>
          <w:w w:val="98"/>
          <w:kern w:val="2"/>
          <w:sz w:val="32"/>
          <w:szCs w:val="32"/>
          <w:lang w:val="en-US" w:eastAsia="zh-CN" w:bidi="ar-SA"/>
        </w:rPr>
        <w:t>（一）营造全民健身良好氛围，提高居民运动健身热情</w:t>
      </w:r>
      <w:r>
        <w:rPr>
          <w:rFonts w:hint="eastAsia" w:ascii="Nimbus Roman" w:hAnsi="Nimbus Roman" w:eastAsia="楷体" w:cs="Nimbus Roman"/>
          <w:w w:val="98"/>
          <w:kern w:val="2"/>
          <w:sz w:val="32"/>
          <w:szCs w:val="32"/>
          <w:lang w:val="en-US" w:eastAsia="zh-CN" w:bidi="ar-SA"/>
        </w:rPr>
        <w:t>。</w:t>
      </w:r>
      <w:r>
        <w:rPr>
          <w:rFonts w:hint="default" w:ascii="Nimbus Roman" w:hAnsi="Nimbus Roman" w:eastAsia="仿宋" w:cs="Nimbus Roman"/>
          <w:kern w:val="2"/>
          <w:sz w:val="32"/>
          <w:szCs w:val="32"/>
          <w:lang w:val="en-US" w:eastAsia="zh-CN" w:bidi="ar-SA"/>
        </w:rPr>
        <w:t>项目的实施是响应加强体育强市建设的要求，是完善全民健身设施的惠民工程</w:t>
      </w:r>
      <w:r>
        <w:rPr>
          <w:rFonts w:hint="eastAsia" w:ascii="Nimbus Roman" w:hAnsi="Nimbus Roman" w:eastAsia="仿宋" w:cs="Nimbus Roman"/>
          <w:kern w:val="2"/>
          <w:sz w:val="32"/>
          <w:szCs w:val="32"/>
          <w:lang w:val="en-US" w:eastAsia="zh-CN" w:bidi="ar-SA"/>
        </w:rPr>
        <w:t>，有利于</w:t>
      </w:r>
      <w:r>
        <w:rPr>
          <w:rFonts w:hint="default" w:ascii="Nimbus Roman" w:hAnsi="Nimbus Roman" w:eastAsia="仿宋" w:cs="Nimbus Roman"/>
          <w:kern w:val="2"/>
          <w:sz w:val="32"/>
          <w:szCs w:val="32"/>
          <w:lang w:val="en-US" w:eastAsia="zh-CN" w:bidi="ar-SA"/>
        </w:rPr>
        <w:t>完善全民健身公共服务体系，促进全民健身事业的发展。</w:t>
      </w:r>
      <w:r>
        <w:rPr>
          <w:rFonts w:hint="eastAsia" w:ascii="Nimbus Roman" w:hAnsi="Nimbus Roman" w:eastAsia="仿宋" w:cs="Nimbus Roman"/>
          <w:kern w:val="2"/>
          <w:sz w:val="32"/>
          <w:szCs w:val="32"/>
          <w:lang w:val="en-US" w:eastAsia="zh-CN" w:bidi="ar-SA"/>
        </w:rPr>
        <w:t>项目通过</w:t>
      </w:r>
      <w:r>
        <w:rPr>
          <w:rFonts w:hint="default" w:ascii="Nimbus Roman" w:hAnsi="Nimbus Roman" w:eastAsia="仿宋" w:cs="Nimbus Roman"/>
          <w:kern w:val="2"/>
          <w:sz w:val="32"/>
          <w:szCs w:val="32"/>
          <w:lang w:val="en-US" w:eastAsia="zh-CN" w:bidi="ar-SA"/>
        </w:rPr>
        <w:t>培养群众健身意识和科学生活方式，提高城乡居民运动健身热情，促进了群众体育的可持续发展。</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autoSpaceDE/>
        <w:autoSpaceDN/>
        <w:bidi w:val="0"/>
        <w:adjustRightInd/>
        <w:snapToGrid/>
        <w:spacing w:before="0" w:beforeAutospacing="0" w:after="0" w:afterAutospacing="0" w:line="620" w:lineRule="exact"/>
        <w:ind w:left="0" w:right="0" w:rightChars="0" w:firstLine="640" w:firstLineChars="200"/>
        <w:jc w:val="both"/>
        <w:textAlignment w:val="auto"/>
        <w:rPr>
          <w:rFonts w:hint="default" w:ascii="Nimbus Roman" w:hAnsi="Nimbus Roman" w:eastAsia="仿宋" w:cs="Nimbus Roman"/>
          <w:sz w:val="32"/>
          <w:szCs w:val="32"/>
          <w:lang w:eastAsia="zh-CN"/>
        </w:rPr>
      </w:pPr>
      <w:r>
        <w:rPr>
          <w:rFonts w:hint="default" w:ascii="Nimbus Roman" w:hAnsi="Nimbus Roman" w:eastAsia="楷体" w:cs="Nimbus Roman"/>
          <w:kern w:val="2"/>
          <w:sz w:val="32"/>
          <w:szCs w:val="32"/>
          <w:lang w:val="en-US" w:eastAsia="zh-CN" w:bidi="ar-SA"/>
        </w:rPr>
        <w:t>（二）促进体卫融合，构建科学健身指导体系</w:t>
      </w:r>
      <w:r>
        <w:rPr>
          <w:rFonts w:hint="eastAsia" w:ascii="Nimbus Roman" w:hAnsi="Nimbus Roman" w:eastAsia="楷体" w:cs="Nimbus Roman"/>
          <w:kern w:val="2"/>
          <w:sz w:val="32"/>
          <w:szCs w:val="32"/>
          <w:lang w:val="en-US" w:eastAsia="zh-CN" w:bidi="ar-SA"/>
        </w:rPr>
        <w:t>。</w:t>
      </w:r>
      <w:r>
        <w:rPr>
          <w:rFonts w:hint="default" w:ascii="Nimbus Roman" w:hAnsi="Nimbus Roman" w:eastAsia="仿宋" w:cs="Nimbus Roman"/>
          <w:sz w:val="32"/>
          <w:szCs w:val="32"/>
        </w:rPr>
        <w:t>探索通过非医疗健康干预疾病管理与健康服务模式，构建科学合理的测评、评估、指导三级科学健身指导体系，为在全市推广体</w:t>
      </w:r>
      <w:r>
        <w:rPr>
          <w:rFonts w:hint="default" w:ascii="Nimbus Roman" w:hAnsi="Nimbus Roman" w:eastAsia="仿宋" w:cs="Nimbus Roman"/>
          <w:sz w:val="32"/>
          <w:szCs w:val="32"/>
          <w:lang w:eastAsia="zh-CN"/>
        </w:rPr>
        <w:t>卫</w:t>
      </w:r>
      <w:r>
        <w:rPr>
          <w:rFonts w:hint="default" w:ascii="Nimbus Roman" w:hAnsi="Nimbus Roman" w:eastAsia="仿宋" w:cs="Nimbus Roman"/>
          <w:sz w:val="32"/>
          <w:szCs w:val="32"/>
        </w:rPr>
        <w:t>融合和非医疗健康干预奠定坚实的实践和理论基础</w:t>
      </w:r>
      <w:r>
        <w:rPr>
          <w:rFonts w:hint="default" w:ascii="Nimbus Roman" w:hAnsi="Nimbus Roman" w:eastAsia="仿宋" w:cs="Nimbus Roman"/>
          <w:sz w:val="32"/>
          <w:szCs w:val="32"/>
          <w:lang w:eastAsia="zh-CN"/>
        </w:rPr>
        <w:t>。</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50" w:lineRule="exact"/>
        <w:ind w:left="0" w:right="0" w:rightChars="0" w:firstLine="640" w:firstLineChars="200"/>
        <w:jc w:val="both"/>
        <w:textAlignment w:val="auto"/>
        <w:rPr>
          <w:rFonts w:hint="default" w:ascii="Nimbus Roman" w:hAnsi="Nimbus Roman" w:cs="Nimbus Roman"/>
          <w:lang w:val="en-US" w:eastAsia="zh-CN"/>
        </w:rPr>
      </w:pPr>
      <w:r>
        <w:rPr>
          <w:rFonts w:hint="default" w:ascii="Nimbus Roman" w:hAnsi="Nimbus Roman" w:eastAsia="楷体" w:cs="Nimbus Roman"/>
          <w:kern w:val="2"/>
          <w:sz w:val="32"/>
          <w:szCs w:val="32"/>
          <w:lang w:val="en-US" w:eastAsia="zh-CN" w:bidi="ar-SA"/>
        </w:rPr>
        <w:t>（三）顺应时代发展趋势，发展智慧化健身模式</w:t>
      </w:r>
      <w:r>
        <w:rPr>
          <w:rFonts w:hint="eastAsia" w:ascii="Nimbus Roman" w:hAnsi="Nimbus Roman" w:eastAsia="楷体" w:cs="Nimbus Roman"/>
          <w:kern w:val="2"/>
          <w:sz w:val="32"/>
          <w:szCs w:val="32"/>
          <w:lang w:val="en-US" w:eastAsia="zh-CN" w:bidi="ar-SA"/>
        </w:rPr>
        <w:t>。</w:t>
      </w:r>
      <w:r>
        <w:rPr>
          <w:rFonts w:hint="default" w:ascii="Nimbus Roman" w:hAnsi="Nimbus Roman" w:eastAsia="仿宋" w:cs="Nimbus Roman"/>
          <w:kern w:val="2"/>
          <w:sz w:val="32"/>
          <w:szCs w:val="32"/>
          <w:lang w:val="en-US" w:eastAsia="zh-CN" w:bidi="ar-SA"/>
        </w:rPr>
        <w:t>智慧社区健身中心相对于传统的健身房，更加顺应时代发展的趋势。智慧健身房接入大数据技术和物联化管理平台，能有效解决社区体育设施供给水平不足、社区体育组织不够健全、社区体育活动类型不够丰富等问题。依托互联网＋大数据的实时精准分析，实现体育健身互联网化、智能化，让社区健身服务变得更便捷、高效、精准。</w:t>
      </w:r>
      <w:r>
        <w:rPr>
          <w:rFonts w:hint="default" w:ascii="Nimbus Roman" w:hAnsi="Nimbus Roman" w:eastAsia="仿宋" w:cs="Nimbus Roman"/>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650" w:lineRule="exact"/>
        <w:ind w:left="0" w:firstLine="640" w:firstLineChars="200"/>
        <w:contextualSpacing/>
        <w:jc w:val="both"/>
        <w:textAlignment w:val="auto"/>
        <w:rPr>
          <w:rFonts w:hint="default" w:ascii="Nimbus Roman" w:hAnsi="Nimbus Roman" w:eastAsia="黑体" w:cs="Nimbus Roman"/>
          <w:color w:val="000000" w:themeColor="text1"/>
          <w:sz w:val="32"/>
          <w:lang w:eastAsia="zh-CN"/>
          <w14:textFill>
            <w14:solidFill>
              <w14:schemeClr w14:val="tx1"/>
            </w14:solidFill>
          </w14:textFill>
        </w:rPr>
      </w:pPr>
      <w:r>
        <w:rPr>
          <w:rFonts w:hint="default" w:ascii="Nimbus Roman" w:hAnsi="Nimbus Roman" w:eastAsia="黑体" w:cs="Nimbus Roman"/>
          <w:color w:val="000000" w:themeColor="text1"/>
          <w:sz w:val="32"/>
          <w:lang w:eastAsia="zh-CN"/>
          <w14:textFill>
            <w14:solidFill>
              <w14:schemeClr w14:val="tx1"/>
            </w14:solidFill>
          </w14:textFill>
        </w:rPr>
        <w:t>六</w:t>
      </w:r>
      <w:r>
        <w:rPr>
          <w:rFonts w:hint="default" w:ascii="Nimbus Roman" w:hAnsi="Nimbus Roman" w:eastAsia="黑体" w:cs="Nimbus Roman"/>
          <w:color w:val="000000" w:themeColor="text1"/>
          <w:sz w:val="32"/>
          <w14:textFill>
            <w14:solidFill>
              <w14:schemeClr w14:val="tx1"/>
            </w14:solidFill>
          </w14:textFill>
        </w:rPr>
        <w:t>、存在的问题</w:t>
      </w:r>
      <w:r>
        <w:rPr>
          <w:rFonts w:hint="default" w:ascii="Nimbus Roman" w:hAnsi="Nimbus Roman" w:eastAsia="黑体" w:cs="Nimbus Roman"/>
          <w:color w:val="000000" w:themeColor="text1"/>
          <w:sz w:val="32"/>
          <w:lang w:eastAsia="zh-CN"/>
          <w14:textFill>
            <w14:solidFill>
              <w14:schemeClr w14:val="tx1"/>
            </w14:solidFill>
          </w14:textFill>
        </w:rPr>
        <w:t>及改进措施</w:t>
      </w:r>
    </w:p>
    <w:p>
      <w:pPr>
        <w:keepNext w:val="0"/>
        <w:keepLines w:val="0"/>
        <w:pageBreakBefore w:val="0"/>
        <w:widowControl w:val="0"/>
        <w:kinsoku/>
        <w:wordWrap/>
        <w:overflowPunct/>
        <w:topLinePunct w:val="0"/>
        <w:autoSpaceDE/>
        <w:autoSpaceDN/>
        <w:bidi w:val="0"/>
        <w:adjustRightInd/>
        <w:snapToGrid/>
        <w:spacing w:line="650" w:lineRule="exact"/>
        <w:ind w:left="0" w:firstLine="640" w:firstLineChars="200"/>
        <w:contextualSpacing/>
        <w:jc w:val="both"/>
        <w:textAlignment w:val="auto"/>
        <w:rPr>
          <w:rFonts w:hint="default" w:ascii="Nimbus Roman" w:hAnsi="Nimbus Roman" w:eastAsia="楷体" w:cs="Nimbus Roman"/>
          <w:bCs/>
          <w:color w:val="000000" w:themeColor="text1"/>
          <w:sz w:val="32"/>
          <w:lang w:eastAsia="zh-CN"/>
          <w14:textFill>
            <w14:solidFill>
              <w14:schemeClr w14:val="tx1"/>
            </w14:solidFill>
          </w14:textFill>
        </w:rPr>
      </w:pPr>
      <w:r>
        <w:rPr>
          <w:rFonts w:hint="default" w:ascii="Nimbus Roman" w:hAnsi="Nimbus Roman" w:eastAsia="楷体" w:cs="Nimbus Roman"/>
          <w:bCs/>
          <w:color w:val="000000" w:themeColor="text1"/>
          <w:sz w:val="32"/>
          <w14:textFill>
            <w14:solidFill>
              <w14:schemeClr w14:val="tx1"/>
            </w14:solidFill>
          </w14:textFill>
        </w:rPr>
        <w:t>（一）</w:t>
      </w:r>
      <w:r>
        <w:rPr>
          <w:rFonts w:hint="default" w:ascii="Nimbus Roman" w:hAnsi="Nimbus Roman" w:eastAsia="楷体" w:cs="Nimbus Roman"/>
          <w:bCs/>
          <w:color w:val="000000" w:themeColor="text1"/>
          <w:sz w:val="32"/>
          <w:lang w:eastAsia="zh-CN"/>
          <w14:textFill>
            <w14:solidFill>
              <w14:schemeClr w14:val="tx1"/>
            </w14:solidFill>
          </w14:textFill>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left="0" w:firstLine="640" w:firstLineChars="200"/>
        <w:contextualSpacing/>
        <w:jc w:val="both"/>
        <w:textAlignment w:val="auto"/>
        <w:rPr>
          <w:rFonts w:hint="default" w:ascii="Nimbus Roman" w:hAnsi="Nimbus Roman" w:eastAsia="仿宋" w:cs="Nimbus Roman"/>
          <w:bCs/>
          <w:color w:val="000000" w:themeColor="text1"/>
          <w:sz w:val="32"/>
          <w14:textFill>
            <w14:solidFill>
              <w14:schemeClr w14:val="tx1"/>
            </w14:solidFill>
          </w14:textFill>
        </w:rPr>
      </w:pPr>
      <w:r>
        <w:rPr>
          <w:rFonts w:hint="default" w:ascii="Nimbus Roman" w:hAnsi="Nimbus Roman" w:eastAsia="仿宋" w:cs="Nimbus Roman"/>
          <w:bCs/>
          <w:color w:val="000000" w:themeColor="text1"/>
          <w:sz w:val="32"/>
          <w:lang w:val="en-US" w:eastAsia="zh-CN"/>
          <w14:textFill>
            <w14:solidFill>
              <w14:schemeClr w14:val="tx1"/>
            </w14:solidFill>
          </w14:textFill>
        </w:rPr>
        <w:t>绩效目标编制不够规范。对绩效管理的理解不到位，绩效目标的设置质量不高、绩效目标分解不清晰、绩效管理效果不佳，无法保障全方位、全过程、全覆盖的绩效管理要求。</w:t>
      </w:r>
    </w:p>
    <w:p>
      <w:pPr>
        <w:pStyle w:val="2"/>
        <w:keepNext w:val="0"/>
        <w:keepLines w:val="0"/>
        <w:pageBreakBefore w:val="0"/>
        <w:numPr>
          <w:ilvl w:val="0"/>
          <w:numId w:val="1"/>
        </w:numPr>
        <w:kinsoku/>
        <w:wordWrap/>
        <w:overflowPunct/>
        <w:topLinePunct w:val="0"/>
        <w:autoSpaceDE/>
        <w:autoSpaceDN/>
        <w:bidi w:val="0"/>
        <w:adjustRightInd/>
        <w:snapToGrid/>
        <w:spacing w:line="650" w:lineRule="exact"/>
        <w:ind w:left="0" w:leftChars="0" w:firstLine="640" w:firstLineChars="200"/>
        <w:jc w:val="both"/>
        <w:textAlignment w:val="auto"/>
        <w:rPr>
          <w:rFonts w:hint="default" w:ascii="Nimbus Roman" w:hAnsi="Nimbus Roman" w:eastAsia="楷体" w:cs="Nimbus Roman"/>
          <w:b w:val="0"/>
          <w:bCs/>
          <w:color w:val="000000" w:themeColor="text1"/>
          <w:kern w:val="2"/>
          <w:sz w:val="32"/>
          <w:szCs w:val="21"/>
          <w:lang w:val="en-US" w:eastAsia="zh-CN" w:bidi="ar-SA"/>
          <w14:textFill>
            <w14:solidFill>
              <w14:schemeClr w14:val="tx1"/>
            </w14:solidFill>
          </w14:textFill>
        </w:rPr>
      </w:pPr>
      <w:r>
        <w:rPr>
          <w:rFonts w:hint="default" w:ascii="Nimbus Roman" w:hAnsi="Nimbus Roman" w:eastAsia="楷体" w:cs="Nimbus Roman"/>
          <w:b w:val="0"/>
          <w:bCs/>
          <w:color w:val="000000" w:themeColor="text1"/>
          <w:kern w:val="2"/>
          <w:sz w:val="32"/>
          <w:szCs w:val="21"/>
          <w:lang w:val="en-US" w:eastAsia="zh-CN" w:bidi="ar-SA"/>
          <w14:textFill>
            <w14:solidFill>
              <w14:schemeClr w14:val="tx1"/>
            </w14:solidFill>
          </w14:textFill>
        </w:rPr>
        <w:t>改进措施</w:t>
      </w:r>
    </w:p>
    <w:p>
      <w:pPr>
        <w:keepNext w:val="0"/>
        <w:keepLines w:val="0"/>
        <w:pageBreakBefore w:val="0"/>
        <w:widowControl w:val="0"/>
        <w:kinsoku/>
        <w:wordWrap/>
        <w:overflowPunct/>
        <w:topLinePunct w:val="0"/>
        <w:autoSpaceDE/>
        <w:autoSpaceDN/>
        <w:bidi w:val="0"/>
        <w:adjustRightInd/>
        <w:snapToGrid/>
        <w:spacing w:line="650" w:lineRule="exact"/>
        <w:ind w:left="0" w:firstLine="640" w:firstLineChars="200"/>
        <w:jc w:val="both"/>
        <w:textAlignment w:val="auto"/>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pPr>
      <w:r>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t>加强预算绩效管理。进一步加强预算资金管理，减少预算资金使用的随意性。对预算的事前、事中、事后进行全过程控制，加大对预算编制与执行的监督管理力度，提高预算资金使用效率。</w:t>
      </w:r>
      <w:r>
        <w:rPr>
          <w:rFonts w:hint="default" w:ascii="Nimbus Roman" w:hAnsi="Nimbus Roman" w:eastAsia="仿宋" w:cs="Nimbus Roman"/>
          <w:sz w:val="32"/>
          <w:szCs w:val="32"/>
          <w:highlight w:val="none"/>
        </w:rPr>
        <w:t>进一步完善以预算绩效管理为核心的专项资金管理办法，进一步严格</w:t>
      </w:r>
      <w:r>
        <w:rPr>
          <w:rFonts w:hint="default" w:ascii="Nimbus Roman" w:hAnsi="Nimbus Roman" w:eastAsia="仿宋" w:cs="Nimbus Roman"/>
          <w:sz w:val="32"/>
          <w:szCs w:val="32"/>
          <w:highlight w:val="none"/>
          <w:lang w:eastAsia="zh-CN"/>
        </w:rPr>
        <w:t>管理</w:t>
      </w:r>
      <w:r>
        <w:rPr>
          <w:rFonts w:hint="default" w:ascii="Nimbus Roman" w:hAnsi="Nimbus Roman" w:eastAsia="仿宋" w:cs="Nimbus Roman"/>
          <w:sz w:val="32"/>
          <w:szCs w:val="32"/>
          <w:highlight w:val="none"/>
        </w:rPr>
        <w:t>资金使用范围、审批程序和开支标准，规范项目实施、验收、考核等程序。</w:t>
      </w:r>
    </w:p>
    <w:p>
      <w:pPr>
        <w:keepNext w:val="0"/>
        <w:keepLines w:val="0"/>
        <w:pageBreakBefore w:val="0"/>
        <w:widowControl/>
        <w:kinsoku/>
        <w:wordWrap/>
        <w:overflowPunct/>
        <w:autoSpaceDE/>
        <w:autoSpaceDN/>
        <w:bidi w:val="0"/>
        <w:adjustRightInd/>
        <w:snapToGrid/>
        <w:spacing w:line="600" w:lineRule="exact"/>
        <w:ind w:left="0" w:firstLine="640" w:firstLineChars="200"/>
        <w:jc w:val="both"/>
        <w:textAlignment w:val="auto"/>
        <w:rPr>
          <w:rFonts w:hint="default" w:ascii="Nimbus Roman" w:hAnsi="Nimbus Roman" w:eastAsia="仿宋_GB2312" w:cs="Nimbus Roman"/>
          <w:b/>
          <w:bCs/>
          <w:sz w:val="24"/>
          <w:szCs w:val="24"/>
        </w:rPr>
      </w:pPr>
      <w:r>
        <w:rPr>
          <w:rFonts w:hint="default" w:ascii="Nimbus Roman" w:hAnsi="Nimbus Roman" w:eastAsia="黑体" w:cs="Nimbus Roman"/>
          <w:color w:val="000000" w:themeColor="text1"/>
          <w:sz w:val="32"/>
          <w:lang w:eastAsia="zh-CN"/>
          <w14:textFill>
            <w14:solidFill>
              <w14:schemeClr w14:val="tx1"/>
            </w14:solidFill>
          </w14:textFill>
        </w:rPr>
        <w:t>七</w:t>
      </w:r>
      <w:r>
        <w:rPr>
          <w:rFonts w:hint="default" w:ascii="Nimbus Roman" w:hAnsi="Nimbus Roman" w:eastAsia="黑体" w:cs="Nimbus Roman"/>
          <w:color w:val="000000" w:themeColor="text1"/>
          <w:sz w:val="32"/>
          <w14:textFill>
            <w14:solidFill>
              <w14:schemeClr w14:val="tx1"/>
            </w14:solidFill>
          </w14:textFill>
        </w:rPr>
        <w:t>、部门整体支出绩效自评结果公开情况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方正仿宋_GBK" w:cs="Nimbus Roman"/>
          <w:sz w:val="32"/>
          <w:szCs w:val="32"/>
          <w:lang w:val="en-US" w:eastAsia="zh-CN"/>
        </w:rPr>
      </w:pPr>
      <w:r>
        <w:rPr>
          <w:rFonts w:hint="default" w:ascii="Nimbus Roman" w:hAnsi="Nimbus Roman" w:eastAsia="方正仿宋_GBK" w:cs="Nimbus Roman"/>
          <w:sz w:val="32"/>
          <w:szCs w:val="32"/>
          <w:lang w:val="en-US" w:eastAsia="zh-CN"/>
        </w:rPr>
        <w:t>我单位将不断细化绩效评价指标，提高资金使用效益。根据市财政局部门绩效自评工作通知的要求，绩效自评报告将在单位门户网站上公开，</w:t>
      </w:r>
      <w:r>
        <w:rPr>
          <w:rFonts w:hint="eastAsia" w:ascii="Nimbus Roman" w:hAnsi="Nimbus Roman" w:eastAsia="方正仿宋_GBK" w:cs="Nimbus Roman"/>
          <w:sz w:val="32"/>
          <w:szCs w:val="32"/>
          <w:lang w:val="en-US" w:eastAsia="zh-CN"/>
        </w:rPr>
        <w:t>主动</w:t>
      </w:r>
      <w:r>
        <w:rPr>
          <w:rFonts w:hint="default" w:ascii="Nimbus Roman" w:hAnsi="Nimbus Roman" w:eastAsia="方正仿宋_GBK" w:cs="Nimbus Roman"/>
          <w:sz w:val="32"/>
          <w:szCs w:val="32"/>
          <w:lang w:val="en-US" w:eastAsia="zh-CN"/>
        </w:rPr>
        <w:t>接受社会监督。</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pPr>
      <w:r>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t>附件：2022年度项目支出绩效自评表</w:t>
      </w:r>
    </w:p>
    <w:p>
      <w:pPr>
        <w:pStyle w:val="2"/>
        <w:keepNext w:val="0"/>
        <w:keepLines w:val="0"/>
        <w:pageBreakBefore w:val="0"/>
        <w:kinsoku/>
        <w:wordWrap/>
        <w:overflowPunct/>
        <w:autoSpaceDE/>
        <w:autoSpaceDN/>
        <w:bidi w:val="0"/>
        <w:adjustRightInd/>
        <w:snapToGrid/>
        <w:spacing w:line="600" w:lineRule="exact"/>
        <w:ind w:left="0" w:firstLine="722" w:firstLineChars="200"/>
        <w:jc w:val="both"/>
        <w:textAlignment w:val="auto"/>
        <w:rPr>
          <w:rFonts w:hint="default" w:ascii="Nimbus Roman" w:hAnsi="Nimbus Roman" w:cs="Nimbus Roman"/>
          <w:lang w:val="en-US" w:eastAsia="zh-CN"/>
        </w:rPr>
      </w:pPr>
    </w:p>
    <w:p>
      <w:pPr>
        <w:pStyle w:val="3"/>
        <w:keepNext w:val="0"/>
        <w:keepLines w:val="0"/>
        <w:pageBreakBefore w:val="0"/>
        <w:kinsoku/>
        <w:wordWrap/>
        <w:overflowPunct/>
        <w:autoSpaceDE/>
        <w:autoSpaceDN/>
        <w:bidi w:val="0"/>
        <w:adjustRightInd/>
        <w:snapToGrid/>
        <w:spacing w:line="600" w:lineRule="exact"/>
        <w:ind w:left="0" w:firstLine="640" w:firstLineChars="200"/>
        <w:jc w:val="both"/>
        <w:textAlignment w:val="auto"/>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pP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0" w:firstLine="3968" w:firstLineChars="1240"/>
        <w:contextualSpacing/>
        <w:jc w:val="center"/>
        <w:textAlignment w:val="auto"/>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pPr>
      <w:r>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t>益阳市文化旅游广电体育局</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left="0" w:firstLine="3968" w:firstLineChars="1240"/>
        <w:contextualSpacing/>
        <w:jc w:val="center"/>
        <w:textAlignment w:val="auto"/>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pPr>
      <w:r>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t>2023年3月1</w:t>
      </w:r>
      <w:r>
        <w:rPr>
          <w:rFonts w:hint="eastAsia" w:ascii="Nimbus Roman" w:hAnsi="Nimbus Roman" w:eastAsia="仿宋" w:cs="Nimbus Roman"/>
          <w:b w:val="0"/>
          <w:bCs/>
          <w:color w:val="000000" w:themeColor="text1"/>
          <w:kern w:val="2"/>
          <w:sz w:val="32"/>
          <w:szCs w:val="24"/>
          <w:lang w:val="en-US" w:eastAsia="zh-CN" w:bidi="ar-SA"/>
          <w14:textFill>
            <w14:solidFill>
              <w14:schemeClr w14:val="tx1"/>
            </w14:solidFill>
          </w14:textFill>
        </w:rPr>
        <w:t>6</w:t>
      </w:r>
      <w:r>
        <w:rPr>
          <w:rFonts w:hint="default" w:ascii="Nimbus Roman" w:hAnsi="Nimbus Roman" w:eastAsia="仿宋" w:cs="Nimbus Roman"/>
          <w:b w:val="0"/>
          <w:bCs/>
          <w:color w:val="000000" w:themeColor="text1"/>
          <w:kern w:val="2"/>
          <w:sz w:val="32"/>
          <w:szCs w:val="24"/>
          <w:lang w:val="en-US" w:eastAsia="zh-CN" w:bidi="ar-SA"/>
          <w14:textFill>
            <w14:solidFill>
              <w14:schemeClr w14:val="tx1"/>
            </w14:solidFill>
          </w14:textFill>
        </w:rPr>
        <w:t>日</w:t>
      </w:r>
    </w:p>
    <w:p>
      <w:pPr>
        <w:keepNext w:val="0"/>
        <w:keepLines w:val="0"/>
        <w:pageBreakBefore w:val="0"/>
        <w:widowControl w:val="0"/>
        <w:kinsoku/>
        <w:wordWrap/>
        <w:overflowPunct/>
        <w:topLinePunct/>
        <w:autoSpaceDE/>
        <w:autoSpaceDN/>
        <w:bidi w:val="0"/>
        <w:adjustRightInd/>
        <w:snapToGrid/>
        <w:spacing w:line="560" w:lineRule="exact"/>
        <w:ind w:firstLine="5400" w:firstLineChars="1500"/>
        <w:jc w:val="both"/>
        <w:textAlignment w:val="auto"/>
        <w:rPr>
          <w:rFonts w:hint="default" w:ascii="Nimbus Roman" w:hAnsi="Nimbus Roman" w:eastAsia="黑体" w:cs="Nimbus Roman"/>
          <w:sz w:val="36"/>
          <w:szCs w:val="36"/>
        </w:rPr>
      </w:pPr>
    </w:p>
    <w:p>
      <w:pPr>
        <w:pStyle w:val="2"/>
        <w:jc w:val="both"/>
        <w:rPr>
          <w:rFonts w:hint="default" w:ascii="Nimbus Roman" w:hAnsi="Nimbus Roman" w:cs="Nimbus Roman"/>
        </w:rPr>
      </w:pPr>
    </w:p>
    <w:p>
      <w:pPr>
        <w:jc w:val="both"/>
        <w:rPr>
          <w:rFonts w:hint="default" w:ascii="Nimbus Roman" w:hAnsi="Nimbus Roman" w:cs="Nimbus Roman"/>
        </w:rPr>
      </w:pPr>
    </w:p>
    <w:p>
      <w:pPr>
        <w:pStyle w:val="2"/>
        <w:jc w:val="both"/>
        <w:rPr>
          <w:rFonts w:hint="default" w:ascii="Nimbus Roman" w:hAnsi="Nimbus Roman" w:cs="Nimbus Roman"/>
        </w:rPr>
      </w:pPr>
    </w:p>
    <w:p>
      <w:pPr>
        <w:jc w:val="both"/>
        <w:rPr>
          <w:rFonts w:hint="default" w:ascii="Nimbus Roman" w:hAnsi="Nimbus Roman" w:cs="Nimbus Roman"/>
        </w:rPr>
      </w:pPr>
    </w:p>
    <w:p>
      <w:pPr>
        <w:pStyle w:val="2"/>
        <w:jc w:val="both"/>
        <w:rPr>
          <w:rFonts w:hint="default" w:ascii="Nimbus Roman" w:hAnsi="Nimbus Roman" w:cs="Nimbus Roman"/>
        </w:rPr>
      </w:pPr>
    </w:p>
    <w:p>
      <w:pPr>
        <w:jc w:val="both"/>
        <w:rPr>
          <w:rFonts w:hint="default" w:ascii="Nimbus Roman" w:hAnsi="Nimbus Roman" w:cs="Nimbus Roman"/>
        </w:rPr>
      </w:pPr>
    </w:p>
    <w:p>
      <w:pPr>
        <w:pStyle w:val="2"/>
        <w:jc w:val="both"/>
        <w:rPr>
          <w:rFonts w:hint="default" w:ascii="Nimbus Roman" w:hAnsi="Nimbus Roman" w:cs="Nimbus Roman"/>
        </w:rPr>
      </w:pPr>
    </w:p>
    <w:p>
      <w:pPr>
        <w:rPr>
          <w:rFonts w:hint="default" w:ascii="Nimbus Roman" w:hAnsi="Nimbus Roman" w:cs="Nimbus Roman"/>
        </w:rPr>
      </w:pPr>
    </w:p>
    <w:p>
      <w:pPr>
        <w:pStyle w:val="2"/>
        <w:rPr>
          <w:rFonts w:hint="default" w:ascii="Nimbus Roman" w:hAnsi="Nimbus Roman" w:cs="Nimbus Roman"/>
        </w:rPr>
      </w:pPr>
    </w:p>
    <w:p>
      <w:pPr>
        <w:rPr>
          <w:rFonts w:hint="default"/>
        </w:rPr>
      </w:pPr>
    </w:p>
    <w:p>
      <w:pPr>
        <w:jc w:val="both"/>
        <w:rPr>
          <w:rFonts w:hint="default" w:ascii="Nimbus Roman" w:hAnsi="Nimbus Roman" w:cs="Nimbus Roman"/>
        </w:rPr>
      </w:pPr>
    </w:p>
    <w:p>
      <w:pPr>
        <w:pStyle w:val="2"/>
        <w:jc w:val="both"/>
        <w:rPr>
          <w:rFonts w:hint="default" w:ascii="Nimbus Roman" w:hAnsi="Nimbus Roman" w:cs="Nimbus Roman"/>
        </w:rPr>
      </w:pPr>
    </w:p>
    <w:p>
      <w:pPr>
        <w:jc w:val="both"/>
        <w:rPr>
          <w:rFonts w:hint="default" w:ascii="Nimbus Roman" w:hAnsi="Nimbus Roman" w:cs="Nimbus Roman"/>
        </w:rPr>
      </w:pPr>
    </w:p>
    <w:p>
      <w:pPr>
        <w:pStyle w:val="2"/>
        <w:jc w:val="both"/>
        <w:rPr>
          <w:rFonts w:hint="default" w:ascii="Nimbus Roman" w:hAnsi="Nimbus Roman" w:cs="Nimbus Roman"/>
        </w:rPr>
      </w:pPr>
    </w:p>
    <w:p>
      <w:pPr>
        <w:jc w:val="both"/>
        <w:rPr>
          <w:rFonts w:hint="default" w:ascii="Nimbus Roman" w:hAnsi="Nimbus Roman" w:cs="Nimbus Roman"/>
        </w:rPr>
      </w:pPr>
    </w:p>
    <w:p>
      <w:pPr>
        <w:pStyle w:val="2"/>
        <w:jc w:val="both"/>
        <w:rPr>
          <w:rFonts w:hint="default" w:ascii="Nimbus Roman" w:hAnsi="Nimbus Roman" w:cs="Nimbus Roman"/>
        </w:rPr>
      </w:pPr>
    </w:p>
    <w:p>
      <w:pPr>
        <w:rPr>
          <w:rFonts w:hint="default" w:ascii="Nimbus Roman" w:hAnsi="Nimbus Roman" w:cs="Nimbus Roman"/>
        </w:rPr>
      </w:pPr>
    </w:p>
    <w:p>
      <w:pPr>
        <w:pStyle w:val="2"/>
        <w:rPr>
          <w:rFonts w:hint="default" w:ascii="Nimbus Roman" w:hAnsi="Nimbus Roman" w:cs="Nimbus Roman"/>
        </w:rPr>
      </w:pPr>
    </w:p>
    <w:p>
      <w:pPr>
        <w:rPr>
          <w:rFonts w:hint="default"/>
        </w:rPr>
      </w:pPr>
      <w:bookmarkStart w:id="0" w:name="_GoBack"/>
      <w:bookmarkEnd w:id="0"/>
    </w:p>
    <w:p>
      <w:pPr>
        <w:jc w:val="both"/>
        <w:rPr>
          <w:rFonts w:hint="default" w:ascii="Nimbus Roman" w:hAnsi="Nimbus Roman" w:cs="Nimbus Roma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Nimbus Roman" w:hAnsi="Nimbus Roman" w:eastAsia="黑体" w:cs="Nimbus Roman"/>
          <w:sz w:val="32"/>
          <w:szCs w:val="32"/>
        </w:rPr>
      </w:pPr>
      <w:r>
        <w:rPr>
          <w:rFonts w:hint="default" w:ascii="Nimbus Roman" w:hAnsi="Nimbus Roman" w:eastAsia="黑体" w:cs="Nimbus Roman"/>
          <w:sz w:val="32"/>
          <w:szCs w:val="32"/>
        </w:rPr>
        <w:t>附件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Nimbus Roman" w:hAnsi="Nimbus Roman" w:eastAsia="方正小标宋_GBK" w:cs="Nimbus Roman"/>
          <w:b w:val="0"/>
          <w:bCs w:val="0"/>
          <w:color w:val="000000"/>
          <w:kern w:val="0"/>
          <w:sz w:val="44"/>
          <w:szCs w:val="44"/>
        </w:rPr>
      </w:pPr>
      <w:r>
        <w:rPr>
          <w:rFonts w:hint="default" w:ascii="Nimbus Roman" w:hAnsi="Nimbus Roman" w:eastAsia="方正小标宋_GBK" w:cs="Nimbus Roman"/>
          <w:b w:val="0"/>
          <w:bCs w:val="0"/>
          <w:color w:val="000000"/>
          <w:kern w:val="0"/>
          <w:sz w:val="44"/>
          <w:szCs w:val="44"/>
        </w:rPr>
        <w:t>202</w:t>
      </w:r>
      <w:r>
        <w:rPr>
          <w:rFonts w:hint="default" w:ascii="Nimbus Roman" w:hAnsi="Nimbus Roman" w:eastAsia="方正小标宋_GBK" w:cs="Nimbus Roman"/>
          <w:b w:val="0"/>
          <w:bCs w:val="0"/>
          <w:color w:val="000000"/>
          <w:kern w:val="0"/>
          <w:sz w:val="44"/>
          <w:szCs w:val="44"/>
          <w:lang w:val="en-US" w:eastAsia="zh-CN"/>
        </w:rPr>
        <w:t>2</w:t>
      </w:r>
      <w:r>
        <w:rPr>
          <w:rFonts w:hint="default" w:ascii="Nimbus Roman" w:hAnsi="Nimbus Roman" w:eastAsia="方正小标宋_GBK" w:cs="Nimbus Roman"/>
          <w:b w:val="0"/>
          <w:bCs w:val="0"/>
          <w:color w:val="000000"/>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Nimbus Roman" w:hAnsi="Nimbus Roman" w:eastAsia="方正小标宋_GBK" w:cs="Nimbus Roman"/>
          <w:color w:val="000000"/>
          <w:kern w:val="0"/>
          <w:sz w:val="36"/>
          <w:szCs w:val="36"/>
        </w:rPr>
      </w:pPr>
    </w:p>
    <w:tbl>
      <w:tblPr>
        <w:tblStyle w:val="12"/>
        <w:tblW w:w="9851" w:type="dxa"/>
        <w:jc w:val="center"/>
        <w:tblLayout w:type="autofit"/>
        <w:tblCellMar>
          <w:top w:w="0" w:type="dxa"/>
          <w:left w:w="108" w:type="dxa"/>
          <w:bottom w:w="0" w:type="dxa"/>
          <w:right w:w="108" w:type="dxa"/>
        </w:tblCellMar>
      </w:tblPr>
      <w:tblGrid>
        <w:gridCol w:w="1080"/>
        <w:gridCol w:w="1080"/>
        <w:gridCol w:w="1080"/>
        <w:gridCol w:w="1116"/>
        <w:gridCol w:w="1152"/>
        <w:gridCol w:w="1224"/>
        <w:gridCol w:w="828"/>
        <w:gridCol w:w="873"/>
        <w:gridCol w:w="1418"/>
      </w:tblGrid>
      <w:tr>
        <w:tblPrEx>
          <w:tblCellMar>
            <w:top w:w="0" w:type="dxa"/>
            <w:left w:w="108" w:type="dxa"/>
            <w:bottom w:w="0" w:type="dxa"/>
            <w:right w:w="108" w:type="dxa"/>
          </w:tblCellMar>
        </w:tblPrEx>
        <w:trPr>
          <w:trHeight w:val="35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项目名称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val="en-US" w:eastAsia="zh-CN"/>
              </w:rPr>
              <w:t>2022年度</w:t>
            </w:r>
            <w:r>
              <w:rPr>
                <w:rFonts w:hint="default" w:ascii="Nimbus Roman" w:hAnsi="Nimbus Roman" w:eastAsia="仿宋_GB2312" w:cs="Nimbus Roman"/>
                <w:color w:val="000000"/>
                <w:kern w:val="0"/>
                <w:sz w:val="21"/>
                <w:szCs w:val="21"/>
                <w:lang w:eastAsia="zh-CN"/>
              </w:rPr>
              <w:t>健康体育产业引导资金</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主管部门</w:t>
            </w:r>
          </w:p>
        </w:tc>
        <w:tc>
          <w:tcPr>
            <w:tcW w:w="442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益阳市委宣传部</w:t>
            </w:r>
          </w:p>
        </w:tc>
        <w:tc>
          <w:tcPr>
            <w:tcW w:w="122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益阳市文化旅游广电体育局</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项目资金</w:t>
            </w:r>
            <w:r>
              <w:rPr>
                <w:rFonts w:hint="default" w:ascii="Nimbus Roman" w:hAnsi="Nimbus Roman" w:eastAsia="仿宋_GB2312" w:cs="Nimbus Roman"/>
                <w:color w:val="000000"/>
                <w:kern w:val="0"/>
                <w:sz w:val="21"/>
                <w:szCs w:val="21"/>
              </w:rPr>
              <w:br w:type="textWrapping"/>
            </w:r>
            <w:r>
              <w:rPr>
                <w:rFonts w:hint="default" w:ascii="Nimbus Roman" w:hAnsi="Nimbus Roman" w:eastAsia="仿宋_GB2312" w:cs="Nimbus Roman"/>
                <w:color w:val="000000"/>
                <w:kern w:val="0"/>
                <w:sz w:val="21"/>
                <w:szCs w:val="21"/>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1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预算数</w:t>
            </w:r>
          </w:p>
        </w:tc>
        <w:tc>
          <w:tcPr>
            <w:tcW w:w="11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预算数</w:t>
            </w:r>
          </w:p>
        </w:tc>
        <w:tc>
          <w:tcPr>
            <w:tcW w:w="122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全年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执行数</w:t>
            </w:r>
          </w:p>
        </w:tc>
        <w:tc>
          <w:tcPr>
            <w:tcW w:w="82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分值</w:t>
            </w:r>
          </w:p>
        </w:tc>
        <w:tc>
          <w:tcPr>
            <w:tcW w:w="87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执行率</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sz w:val="21"/>
                <w:szCs w:val="21"/>
              </w:rPr>
            </w:pPr>
            <w:r>
              <w:rPr>
                <w:rFonts w:hint="default" w:ascii="Nimbus Roman" w:hAnsi="Nimbus Roman" w:eastAsia="仿宋_GB2312" w:cs="Nimbus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21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年度资金总额</w:t>
            </w:r>
          </w:p>
        </w:tc>
        <w:tc>
          <w:tcPr>
            <w:tcW w:w="1116"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49.8</w:t>
            </w:r>
          </w:p>
        </w:tc>
        <w:tc>
          <w:tcPr>
            <w:tcW w:w="115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49.8</w:t>
            </w:r>
          </w:p>
        </w:tc>
        <w:tc>
          <w:tcPr>
            <w:tcW w:w="1224"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49.8</w:t>
            </w:r>
          </w:p>
        </w:tc>
        <w:tc>
          <w:tcPr>
            <w:tcW w:w="82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rPr>
              <w:t>1</w:t>
            </w:r>
            <w:r>
              <w:rPr>
                <w:rFonts w:hint="default" w:ascii="Nimbus Roman" w:hAnsi="Nimbus Roman" w:cs="Nimbus Roman"/>
                <w:color w:val="000000"/>
                <w:kern w:val="0"/>
                <w:sz w:val="21"/>
                <w:szCs w:val="21"/>
                <w:lang w:val="en-US" w:eastAsia="zh-CN"/>
              </w:rPr>
              <w:t>0</w:t>
            </w:r>
            <w:r>
              <w:rPr>
                <w:rFonts w:hint="default" w:ascii="Nimbus Roman" w:hAnsi="Nimbus Roman" w:cs="Nimbus Roman"/>
                <w:color w:val="000000"/>
                <w:kern w:val="0"/>
                <w:sz w:val="21"/>
                <w:szCs w:val="21"/>
                <w:lang w:eastAsia="zh-CN"/>
              </w:rPr>
              <w:t>分</w:t>
            </w:r>
          </w:p>
        </w:tc>
        <w:tc>
          <w:tcPr>
            <w:tcW w:w="87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100%</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其中：当年财政拨款</w:t>
            </w:r>
          </w:p>
        </w:tc>
        <w:tc>
          <w:tcPr>
            <w:tcW w:w="11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49.8</w:t>
            </w:r>
          </w:p>
        </w:tc>
        <w:tc>
          <w:tcPr>
            <w:tcW w:w="11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49.8</w:t>
            </w: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49.8</w:t>
            </w: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1</w:t>
            </w:r>
            <w:r>
              <w:rPr>
                <w:rFonts w:hint="default" w:ascii="Nimbus Roman" w:hAnsi="Nimbus Roman" w:cs="Nimbus Roman"/>
                <w:color w:val="000000"/>
                <w:kern w:val="0"/>
                <w:sz w:val="21"/>
                <w:szCs w:val="21"/>
                <w:lang w:val="en-US" w:eastAsia="zh-CN"/>
              </w:rPr>
              <w:t>0</w:t>
            </w:r>
            <w:r>
              <w:rPr>
                <w:rFonts w:hint="default" w:ascii="Nimbus Roman" w:hAnsi="Nimbus Roman" w:cs="Nimbus Roman"/>
                <w:color w:val="000000"/>
                <w:kern w:val="0"/>
                <w:sz w:val="21"/>
                <w:szCs w:val="21"/>
                <w:lang w:eastAsia="zh-CN"/>
              </w:rPr>
              <w:t>分</w:t>
            </w: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val="en-US" w:eastAsia="zh-CN"/>
              </w:rPr>
              <w:t>100%</w:t>
            </w: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上年结转资金</w:t>
            </w:r>
          </w:p>
        </w:tc>
        <w:tc>
          <w:tcPr>
            <w:tcW w:w="11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1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30" w:firstLineChars="300"/>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其他资金</w:t>
            </w:r>
          </w:p>
        </w:tc>
        <w:tc>
          <w:tcPr>
            <w:tcW w:w="111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1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22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82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873"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418"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年度总体目标</w:t>
            </w:r>
          </w:p>
        </w:tc>
        <w:tc>
          <w:tcPr>
            <w:tcW w:w="442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预期目标</w:t>
            </w:r>
          </w:p>
        </w:tc>
        <w:tc>
          <w:tcPr>
            <w:tcW w:w="4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实际完成情况</w:t>
            </w:r>
          </w:p>
        </w:tc>
      </w:tr>
      <w:tr>
        <w:tblPrEx>
          <w:tblCellMar>
            <w:top w:w="0" w:type="dxa"/>
            <w:left w:w="108" w:type="dxa"/>
            <w:bottom w:w="0" w:type="dxa"/>
            <w:right w:w="108" w:type="dxa"/>
          </w:tblCellMar>
        </w:tblPrEx>
        <w:trPr>
          <w:trHeight w:val="1576"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442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lang w:eastAsia="zh-CN"/>
              </w:rPr>
              <w:t>通过开展体育产业扶持项目，加强专项资金使用和管理，提高政府服务工作水平，引导社会资金进入体育产业领域，促进益阳市体育产业加快发展。</w:t>
            </w:r>
          </w:p>
        </w:tc>
        <w:tc>
          <w:tcPr>
            <w:tcW w:w="434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20" w:firstLineChars="200"/>
              <w:jc w:val="both"/>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202</w:t>
            </w:r>
            <w:r>
              <w:rPr>
                <w:rFonts w:hint="default" w:ascii="Nimbus Roman" w:hAnsi="Nimbus Roman" w:eastAsia="仿宋_GB2312" w:cs="Nimbus Roman"/>
                <w:color w:val="000000"/>
                <w:kern w:val="0"/>
                <w:sz w:val="21"/>
                <w:szCs w:val="21"/>
                <w:lang w:val="en-US" w:eastAsia="zh-CN"/>
              </w:rPr>
              <w:t>2</w:t>
            </w:r>
            <w:r>
              <w:rPr>
                <w:rFonts w:hint="default" w:ascii="Nimbus Roman" w:hAnsi="Nimbus Roman" w:eastAsia="仿宋_GB2312" w:cs="Nimbus Roman"/>
                <w:color w:val="000000"/>
                <w:kern w:val="0"/>
                <w:sz w:val="21"/>
                <w:szCs w:val="21"/>
              </w:rPr>
              <w:t>年</w:t>
            </w:r>
            <w:r>
              <w:rPr>
                <w:rFonts w:hint="default" w:ascii="Nimbus Roman" w:hAnsi="Nimbus Roman" w:eastAsia="仿宋_GB2312" w:cs="Nimbus Roman"/>
                <w:color w:val="000000"/>
                <w:kern w:val="0"/>
                <w:sz w:val="21"/>
                <w:szCs w:val="21"/>
                <w:lang w:eastAsia="zh-CN"/>
              </w:rPr>
              <w:t>健康体育产业引导资金</w:t>
            </w:r>
            <w:r>
              <w:rPr>
                <w:rFonts w:hint="default" w:ascii="Nimbus Roman" w:hAnsi="Nimbus Roman" w:eastAsia="仿宋_GB2312" w:cs="Nimbus Roman"/>
                <w:color w:val="000000"/>
                <w:kern w:val="0"/>
                <w:sz w:val="21"/>
                <w:szCs w:val="21"/>
                <w:lang w:val="en-US" w:eastAsia="zh-CN"/>
              </w:rPr>
              <w:t>497985</w:t>
            </w:r>
            <w:r>
              <w:rPr>
                <w:rFonts w:hint="default" w:ascii="Nimbus Roman" w:hAnsi="Nimbus Roman" w:eastAsia="仿宋_GB2312" w:cs="Nimbus Roman"/>
                <w:color w:val="000000"/>
                <w:kern w:val="0"/>
                <w:sz w:val="21"/>
                <w:szCs w:val="21"/>
              </w:rPr>
              <w:t>元</w:t>
            </w:r>
            <w:r>
              <w:rPr>
                <w:rFonts w:hint="default" w:ascii="Nimbus Roman" w:hAnsi="Nimbus Roman" w:eastAsia="仿宋_GB2312" w:cs="Nimbus Roman"/>
                <w:color w:val="000000"/>
                <w:kern w:val="0"/>
                <w:sz w:val="21"/>
                <w:szCs w:val="21"/>
                <w:lang w:eastAsia="zh-CN"/>
              </w:rPr>
              <w:t>全部</w:t>
            </w:r>
            <w:r>
              <w:rPr>
                <w:rFonts w:hint="default" w:ascii="Nimbus Roman" w:hAnsi="Nimbus Roman" w:eastAsia="仿宋_GB2312" w:cs="Nimbus Roman"/>
                <w:color w:val="000000"/>
                <w:kern w:val="0"/>
                <w:sz w:val="21"/>
                <w:szCs w:val="21"/>
              </w:rPr>
              <w:t>用于</w:t>
            </w:r>
            <w:r>
              <w:rPr>
                <w:rFonts w:hint="default" w:ascii="Nimbus Roman" w:hAnsi="Nimbus Roman" w:eastAsia="仿宋_GB2312" w:cs="Nimbus Roman"/>
                <w:color w:val="000000"/>
                <w:kern w:val="0"/>
                <w:sz w:val="21"/>
                <w:szCs w:val="21"/>
                <w:lang w:val="en-US" w:eastAsia="zh-CN"/>
              </w:rPr>
              <w:t>全民健身器材</w:t>
            </w:r>
            <w:r>
              <w:rPr>
                <w:rFonts w:hint="default" w:ascii="Nimbus Roman" w:hAnsi="Nimbus Roman" w:eastAsia="仿宋_GB2312" w:cs="Nimbus Roman"/>
                <w:color w:val="000000"/>
                <w:kern w:val="0"/>
                <w:sz w:val="21"/>
                <w:szCs w:val="21"/>
              </w:rPr>
              <w:t>购置及</w:t>
            </w:r>
            <w:r>
              <w:rPr>
                <w:rFonts w:hint="default" w:ascii="Nimbus Roman" w:hAnsi="Nimbus Roman" w:eastAsia="仿宋_GB2312" w:cs="Nimbus Roman"/>
                <w:color w:val="000000"/>
                <w:kern w:val="0"/>
                <w:sz w:val="21"/>
                <w:szCs w:val="21"/>
                <w:lang w:val="en-US" w:eastAsia="zh-CN"/>
              </w:rPr>
              <w:t>社区智慧健身房建设。项目建设</w:t>
            </w:r>
            <w:r>
              <w:rPr>
                <w:rFonts w:hint="default" w:ascii="Nimbus Roman" w:hAnsi="Nimbus Roman" w:eastAsia="仿宋_GB2312" w:cs="Nimbus Roman"/>
                <w:color w:val="000000"/>
                <w:kern w:val="0"/>
                <w:sz w:val="21"/>
                <w:szCs w:val="21"/>
              </w:rPr>
              <w:t>促进</w:t>
            </w:r>
            <w:r>
              <w:rPr>
                <w:rFonts w:hint="default" w:ascii="Nimbus Roman" w:hAnsi="Nimbus Roman" w:eastAsia="仿宋_GB2312" w:cs="Nimbus Roman"/>
                <w:color w:val="000000"/>
                <w:kern w:val="0"/>
                <w:sz w:val="21"/>
                <w:szCs w:val="21"/>
                <w:lang w:eastAsia="zh-CN"/>
              </w:rPr>
              <w:t>了</w:t>
            </w:r>
            <w:r>
              <w:rPr>
                <w:rFonts w:hint="default" w:ascii="Nimbus Roman" w:hAnsi="Nimbus Roman" w:eastAsia="仿宋_GB2312" w:cs="Nimbus Roman"/>
                <w:color w:val="000000"/>
                <w:kern w:val="0"/>
                <w:sz w:val="21"/>
                <w:szCs w:val="21"/>
              </w:rPr>
              <w:t>我市全民健身和全民健康水平的提升，助推</w:t>
            </w:r>
            <w:r>
              <w:rPr>
                <w:rFonts w:hint="default" w:ascii="Nimbus Roman" w:hAnsi="Nimbus Roman" w:eastAsia="仿宋_GB2312" w:cs="Nimbus Roman"/>
                <w:color w:val="000000"/>
                <w:kern w:val="0"/>
                <w:sz w:val="21"/>
                <w:szCs w:val="21"/>
                <w:lang w:eastAsia="zh-CN"/>
              </w:rPr>
              <w:t>了</w:t>
            </w:r>
            <w:r>
              <w:rPr>
                <w:rFonts w:hint="default" w:ascii="Nimbus Roman" w:hAnsi="Nimbus Roman" w:eastAsia="仿宋_GB2312" w:cs="Nimbus Roman"/>
                <w:color w:val="000000"/>
                <w:kern w:val="0"/>
                <w:sz w:val="21"/>
                <w:szCs w:val="21"/>
              </w:rPr>
              <w:t>全民健身与全民健康融合发展，</w:t>
            </w:r>
            <w:r>
              <w:rPr>
                <w:rFonts w:hint="default" w:ascii="Nimbus Roman" w:hAnsi="Nimbus Roman" w:eastAsia="仿宋_GB2312" w:cs="Nimbus Roman"/>
                <w:color w:val="000000"/>
                <w:kern w:val="0"/>
                <w:sz w:val="21"/>
                <w:szCs w:val="21"/>
                <w:lang w:eastAsia="zh-CN"/>
              </w:rPr>
              <w:t>推进了</w:t>
            </w:r>
            <w:r>
              <w:rPr>
                <w:rFonts w:hint="default" w:ascii="Nimbus Roman" w:hAnsi="Nimbus Roman" w:eastAsia="仿宋_GB2312" w:cs="Nimbus Roman"/>
                <w:color w:val="000000"/>
                <w:kern w:val="0"/>
                <w:sz w:val="21"/>
                <w:szCs w:val="21"/>
              </w:rPr>
              <w:t>健康益阳与体育强市建设</w:t>
            </w:r>
            <w:r>
              <w:rPr>
                <w:rFonts w:hint="default" w:ascii="Nimbus Roman" w:hAnsi="Nimbus Roman" w:eastAsia="仿宋_GB2312" w:cs="Nimbus Roman"/>
                <w:color w:val="000000"/>
                <w:kern w:val="0"/>
                <w:sz w:val="21"/>
                <w:szCs w:val="21"/>
                <w:lang w:eastAsia="zh-CN"/>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二级指标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三级指标</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指标值</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数量指标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建设智慧健身房</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一个</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一个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采购健身器材数</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质量指标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智慧健身房合格率</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达标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15分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15分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trHeight w:val="75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时效指标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完成目标时限</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2023年12月底前</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2023年12月底前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15分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15分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w:t>
            </w:r>
            <w:r>
              <w:rPr>
                <w:rFonts w:hint="default" w:ascii="Nimbus Roman" w:hAnsi="Nimbus Roman" w:cs="Nimbus Roman"/>
                <w:color w:val="000000"/>
                <w:kern w:val="0"/>
                <w:sz w:val="21"/>
                <w:szCs w:val="21"/>
                <w:lang w:val="en-US" w:eastAsia="zh-CN"/>
              </w:rPr>
              <w:t>4</w:t>
            </w:r>
            <w:r>
              <w:rPr>
                <w:rFonts w:hint="default" w:ascii="Nimbus Roman" w:hAnsi="Nimbus Roman" w:eastAsia="仿宋_GB2312" w:cs="Nimbus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益指标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促进体育产业发展</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8分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益指标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提高本地居民对体育健身的热情</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9分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益指标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体育项目对生态环境无不良影响</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可持续影响指标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促进体育产业持续发展</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10分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8分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服务对象满意度指标</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群众满意度合格</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lang w:eastAsia="zh-CN"/>
              </w:rPr>
              <w:t>达到</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5分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r>
        <w:tblPrEx>
          <w:tblCellMar>
            <w:top w:w="0" w:type="dxa"/>
            <w:left w:w="108" w:type="dxa"/>
            <w:bottom w:w="0" w:type="dxa"/>
            <w:right w:w="108" w:type="dxa"/>
          </w:tblCellMar>
        </w:tblPrEx>
        <w:trPr>
          <w:trHeight w:val="292"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r>
              <w:rPr>
                <w:rFonts w:hint="default" w:ascii="Nimbus Roman" w:hAnsi="Nimbus Roman" w:eastAsia="仿宋_GB2312" w:cs="Nimbus Roman"/>
                <w:color w:val="000000"/>
                <w:kern w:val="0"/>
                <w:sz w:val="21"/>
                <w:szCs w:val="21"/>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eastAsia="zh-CN"/>
              </w:rPr>
            </w:pPr>
            <w:r>
              <w:rPr>
                <w:rFonts w:hint="default" w:ascii="Nimbus Roman" w:hAnsi="Nimbus Roman" w:eastAsia="仿宋_GB2312" w:cs="Nimbus Roman"/>
                <w:color w:val="000000"/>
                <w:kern w:val="0"/>
                <w:sz w:val="21"/>
                <w:szCs w:val="21"/>
              </w:rPr>
              <w:t>100</w:t>
            </w:r>
            <w:r>
              <w:rPr>
                <w:rFonts w:hint="default" w:ascii="Nimbus Roman" w:hAnsi="Nimbus Roman" w:cs="Nimbus Roman"/>
                <w:color w:val="000000"/>
                <w:kern w:val="0"/>
                <w:sz w:val="21"/>
                <w:szCs w:val="21"/>
                <w:lang w:eastAsia="zh-CN"/>
              </w:rPr>
              <w:t>分</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lang w:val="en-US" w:eastAsia="zh-CN"/>
              </w:rPr>
            </w:pPr>
            <w:r>
              <w:rPr>
                <w:rFonts w:hint="default" w:ascii="Nimbus Roman" w:hAnsi="Nimbus Roman" w:eastAsia="仿宋_GB2312" w:cs="Nimbus Roman"/>
                <w:color w:val="000000"/>
                <w:kern w:val="0"/>
                <w:sz w:val="21"/>
                <w:szCs w:val="21"/>
                <w:lang w:val="en-US" w:eastAsia="zh-CN"/>
              </w:rPr>
              <w:t>95分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Nimbus Roman" w:hAnsi="Nimbus Roman" w:eastAsia="仿宋_GB2312" w:cs="Nimbus Roman"/>
                <w:color w:val="000000"/>
                <w:kern w:val="0"/>
                <w:sz w:val="21"/>
                <w:szCs w:val="21"/>
              </w:rPr>
            </w:pPr>
          </w:p>
        </w:tc>
      </w:tr>
    </w:tbl>
    <w:p>
      <w:pPr>
        <w:jc w:val="both"/>
        <w:rPr>
          <w:rFonts w:hint="default" w:ascii="Nimbus Roman" w:hAnsi="Nimbus Roman" w:eastAsia="仿宋_GB2312" w:cs="Nimbus Roman"/>
          <w:kern w:val="0"/>
          <w:sz w:val="21"/>
          <w:szCs w:val="21"/>
        </w:rPr>
      </w:pPr>
      <w:r>
        <w:rPr>
          <w:rFonts w:hint="default" w:ascii="Nimbus Roman" w:hAnsi="Nimbus Roman" w:eastAsia="仿宋_GB2312" w:cs="Nimbus Roman"/>
          <w:kern w:val="0"/>
          <w:sz w:val="21"/>
          <w:szCs w:val="21"/>
        </w:rPr>
        <w:t>填表人：</w:t>
      </w:r>
      <w:r>
        <w:rPr>
          <w:rFonts w:hint="default" w:ascii="Nimbus Roman" w:hAnsi="Nimbus Roman" w:eastAsia="仿宋_GB2312" w:cs="Nimbus Roman"/>
          <w:kern w:val="0"/>
          <w:sz w:val="21"/>
          <w:szCs w:val="21"/>
          <w:lang w:eastAsia="zh-CN"/>
        </w:rPr>
        <w:t>欧阳萱</w:t>
      </w:r>
      <w:r>
        <w:rPr>
          <w:rFonts w:hint="default" w:ascii="Nimbus Roman" w:hAnsi="Nimbus Roman" w:eastAsia="仿宋_GB2312" w:cs="Nimbus Roman"/>
          <w:kern w:val="0"/>
          <w:sz w:val="21"/>
          <w:szCs w:val="21"/>
        </w:rPr>
        <w:t xml:space="preserve">       填报日期：</w:t>
      </w:r>
      <w:r>
        <w:rPr>
          <w:rFonts w:hint="default" w:ascii="Nimbus Roman" w:hAnsi="Nimbus Roman" w:eastAsia="仿宋_GB2312" w:cs="Nimbus Roman"/>
          <w:kern w:val="0"/>
          <w:sz w:val="21"/>
          <w:szCs w:val="21"/>
          <w:lang w:val="en-US" w:eastAsia="zh-CN"/>
        </w:rPr>
        <w:t>2023年3月1</w:t>
      </w:r>
      <w:r>
        <w:rPr>
          <w:rFonts w:hint="eastAsia" w:ascii="Nimbus Roman" w:hAnsi="Nimbus Roman" w:eastAsia="仿宋_GB2312" w:cs="Nimbus Roman"/>
          <w:kern w:val="0"/>
          <w:sz w:val="21"/>
          <w:szCs w:val="21"/>
          <w:lang w:val="en-US" w:eastAsia="zh-CN"/>
        </w:rPr>
        <w:t>6</w:t>
      </w:r>
      <w:r>
        <w:rPr>
          <w:rFonts w:hint="default" w:ascii="Nimbus Roman" w:hAnsi="Nimbus Roman" w:eastAsia="仿宋_GB2312" w:cs="Nimbus Roman"/>
          <w:kern w:val="0"/>
          <w:sz w:val="21"/>
          <w:szCs w:val="21"/>
          <w:lang w:val="en-US" w:eastAsia="zh-CN"/>
        </w:rPr>
        <w:t>日</w:t>
      </w:r>
      <w:r>
        <w:rPr>
          <w:rFonts w:hint="default" w:ascii="Nimbus Roman" w:hAnsi="Nimbus Roman" w:eastAsia="仿宋_GB2312" w:cs="Nimbus Roman"/>
          <w:kern w:val="0"/>
          <w:sz w:val="21"/>
          <w:szCs w:val="21"/>
        </w:rPr>
        <w:t xml:space="preserve">         联系电话：</w:t>
      </w:r>
      <w:r>
        <w:rPr>
          <w:rFonts w:hint="default" w:ascii="Nimbus Roman" w:hAnsi="Nimbus Roman" w:eastAsia="仿宋_GB2312" w:cs="Nimbus Roman"/>
          <w:kern w:val="0"/>
          <w:sz w:val="21"/>
          <w:szCs w:val="21"/>
          <w:lang w:val="en-US" w:eastAsia="zh-CN"/>
        </w:rPr>
        <w:t>0737-4383310</w:t>
      </w:r>
      <w:r>
        <w:rPr>
          <w:rFonts w:hint="default" w:ascii="Nimbus Roman" w:hAnsi="Nimbus Roman" w:eastAsia="仿宋_GB2312" w:cs="Nimbus Roman"/>
          <w:kern w:val="0"/>
          <w:sz w:val="21"/>
          <w:szCs w:val="21"/>
        </w:rPr>
        <w:t xml:space="preserve">            单位负责人签字：</w:t>
      </w:r>
    </w:p>
    <w:sectPr>
      <w:headerReference r:id="rId3" w:type="default"/>
      <w:footerReference r:id="rId4" w:type="default"/>
      <w:pgSz w:w="11906" w:h="16838"/>
      <w:pgMar w:top="1440" w:right="1803" w:bottom="1712" w:left="1803" w:header="851" w:footer="992" w:gutter="0"/>
      <w:pgBorders>
        <w:top w:val="none" w:sz="0" w:space="0"/>
        <w:left w:val="none" w:sz="0" w:space="0"/>
        <w:bottom w:val="none" w:sz="0" w:space="0"/>
        <w:right w:val="none" w:sz="0" w:space="0"/>
      </w:pgBorders>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w:panose1 w:val="00000500000000000000"/>
    <w:charset w:val="00"/>
    <w:family w:val="auto"/>
    <w:pitch w:val="default"/>
    <w:sig w:usb0="00000287" w:usb1="00000800" w:usb2="00000000" w:usb3="00000000" w:csb0="600000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posOffset>2321560</wp:posOffset>
              </wp:positionH>
              <wp:positionV relativeFrom="paragraph">
                <wp:posOffset>-198120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82.8pt;margin-top:-15.6pt;height:144pt;width:144pt;mso-position-horizontal-relative:margin;mso-wrap-style:none;z-index:251658240;mso-width-relative:page;mso-height-relative:page;" filled="f" stroked="f" coordsize="21600,21600" o:gfxdata="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PWM8X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7"/>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F3280"/>
    <w:multiLevelType w:val="singleLevel"/>
    <w:tmpl w:val="FE2F3280"/>
    <w:lvl w:ilvl="0" w:tentative="0">
      <w:start w:val="2"/>
      <w:numFmt w:val="chineseCounting"/>
      <w:suff w:val="nothing"/>
      <w:lvlText w:val="（%1）"/>
      <w:lvlJc w:val="left"/>
      <w:pPr>
        <w:ind w:left="54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oNotHyphenateCaps/>
  <w:drawingGridHorizontalSpacing w:val="105"/>
  <w:drawingGridVerticalSpacing w:val="31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TE0NTA4ZDFhNjJjNDI0MGE0MjJkMGJmNTg5MzUifQ=="/>
  </w:docVars>
  <w:rsids>
    <w:rsidRoot w:val="002D6DAF"/>
    <w:rsid w:val="00026036"/>
    <w:rsid w:val="000304A4"/>
    <w:rsid w:val="00035E56"/>
    <w:rsid w:val="0003717A"/>
    <w:rsid w:val="00040BE8"/>
    <w:rsid w:val="00060614"/>
    <w:rsid w:val="00062B3A"/>
    <w:rsid w:val="00062D31"/>
    <w:rsid w:val="00065FE2"/>
    <w:rsid w:val="00066E33"/>
    <w:rsid w:val="00086787"/>
    <w:rsid w:val="00087F33"/>
    <w:rsid w:val="00092EAF"/>
    <w:rsid w:val="000966B7"/>
    <w:rsid w:val="000A289A"/>
    <w:rsid w:val="000D2F40"/>
    <w:rsid w:val="000E6CB8"/>
    <w:rsid w:val="000F3116"/>
    <w:rsid w:val="000F68D6"/>
    <w:rsid w:val="00114EDC"/>
    <w:rsid w:val="00116FD3"/>
    <w:rsid w:val="00124B92"/>
    <w:rsid w:val="00142F9A"/>
    <w:rsid w:val="00144C2C"/>
    <w:rsid w:val="00145167"/>
    <w:rsid w:val="0014630D"/>
    <w:rsid w:val="00146D8D"/>
    <w:rsid w:val="00157746"/>
    <w:rsid w:val="001863A8"/>
    <w:rsid w:val="001A04E5"/>
    <w:rsid w:val="001A5195"/>
    <w:rsid w:val="001B019F"/>
    <w:rsid w:val="001C2A7B"/>
    <w:rsid w:val="001D51FB"/>
    <w:rsid w:val="001E4835"/>
    <w:rsid w:val="001E6A5F"/>
    <w:rsid w:val="001F1D32"/>
    <w:rsid w:val="002049E7"/>
    <w:rsid w:val="00212350"/>
    <w:rsid w:val="00212F3E"/>
    <w:rsid w:val="00214BA7"/>
    <w:rsid w:val="00214F71"/>
    <w:rsid w:val="002164B6"/>
    <w:rsid w:val="0022127B"/>
    <w:rsid w:val="00226508"/>
    <w:rsid w:val="0024254A"/>
    <w:rsid w:val="002502C6"/>
    <w:rsid w:val="002518CD"/>
    <w:rsid w:val="002702F8"/>
    <w:rsid w:val="00280E7D"/>
    <w:rsid w:val="002815F1"/>
    <w:rsid w:val="00282861"/>
    <w:rsid w:val="002840C5"/>
    <w:rsid w:val="00287332"/>
    <w:rsid w:val="002949EE"/>
    <w:rsid w:val="00297CA3"/>
    <w:rsid w:val="002A4C5D"/>
    <w:rsid w:val="002A53E2"/>
    <w:rsid w:val="002A646B"/>
    <w:rsid w:val="002B7D40"/>
    <w:rsid w:val="002C19FB"/>
    <w:rsid w:val="002D0080"/>
    <w:rsid w:val="002D1F54"/>
    <w:rsid w:val="002D4F22"/>
    <w:rsid w:val="002D6020"/>
    <w:rsid w:val="002D6DAF"/>
    <w:rsid w:val="002D70EF"/>
    <w:rsid w:val="002D76CE"/>
    <w:rsid w:val="002E12A4"/>
    <w:rsid w:val="002F40FB"/>
    <w:rsid w:val="002F43D7"/>
    <w:rsid w:val="002F44B7"/>
    <w:rsid w:val="00313600"/>
    <w:rsid w:val="00314F2B"/>
    <w:rsid w:val="003157EA"/>
    <w:rsid w:val="00332C48"/>
    <w:rsid w:val="00335259"/>
    <w:rsid w:val="0033572A"/>
    <w:rsid w:val="0034177C"/>
    <w:rsid w:val="00341B08"/>
    <w:rsid w:val="003427D9"/>
    <w:rsid w:val="00362FB1"/>
    <w:rsid w:val="00366230"/>
    <w:rsid w:val="003672E2"/>
    <w:rsid w:val="00367CE7"/>
    <w:rsid w:val="00381E0E"/>
    <w:rsid w:val="003840B2"/>
    <w:rsid w:val="00385AFE"/>
    <w:rsid w:val="00386A88"/>
    <w:rsid w:val="00394113"/>
    <w:rsid w:val="00395316"/>
    <w:rsid w:val="003A0B47"/>
    <w:rsid w:val="003A0FF9"/>
    <w:rsid w:val="003A29F7"/>
    <w:rsid w:val="003B5436"/>
    <w:rsid w:val="003B6B63"/>
    <w:rsid w:val="003C3271"/>
    <w:rsid w:val="003E17B7"/>
    <w:rsid w:val="003F43F5"/>
    <w:rsid w:val="004126A3"/>
    <w:rsid w:val="00412982"/>
    <w:rsid w:val="0041719D"/>
    <w:rsid w:val="00417E78"/>
    <w:rsid w:val="00421087"/>
    <w:rsid w:val="00430AE5"/>
    <w:rsid w:val="004371B0"/>
    <w:rsid w:val="00440F39"/>
    <w:rsid w:val="004611C5"/>
    <w:rsid w:val="00461D0F"/>
    <w:rsid w:val="00473772"/>
    <w:rsid w:val="00475AA5"/>
    <w:rsid w:val="004772B2"/>
    <w:rsid w:val="00477770"/>
    <w:rsid w:val="00477B40"/>
    <w:rsid w:val="0048035C"/>
    <w:rsid w:val="0049181D"/>
    <w:rsid w:val="004948D0"/>
    <w:rsid w:val="004A51FC"/>
    <w:rsid w:val="004B0D96"/>
    <w:rsid w:val="004D3058"/>
    <w:rsid w:val="004E25CA"/>
    <w:rsid w:val="004E53FA"/>
    <w:rsid w:val="004E7E92"/>
    <w:rsid w:val="004F6B6D"/>
    <w:rsid w:val="00513200"/>
    <w:rsid w:val="00532D25"/>
    <w:rsid w:val="00554F5F"/>
    <w:rsid w:val="00563C9B"/>
    <w:rsid w:val="00567DA2"/>
    <w:rsid w:val="005748D7"/>
    <w:rsid w:val="005753CE"/>
    <w:rsid w:val="005831B0"/>
    <w:rsid w:val="00594A68"/>
    <w:rsid w:val="00594AC3"/>
    <w:rsid w:val="005B3509"/>
    <w:rsid w:val="005B6A07"/>
    <w:rsid w:val="005C0127"/>
    <w:rsid w:val="005C0F91"/>
    <w:rsid w:val="005C44D4"/>
    <w:rsid w:val="005D5E2D"/>
    <w:rsid w:val="005E5A8C"/>
    <w:rsid w:val="005E6EAC"/>
    <w:rsid w:val="005E714E"/>
    <w:rsid w:val="005F5A7D"/>
    <w:rsid w:val="005F7B7F"/>
    <w:rsid w:val="006069B1"/>
    <w:rsid w:val="00616DF2"/>
    <w:rsid w:val="00620996"/>
    <w:rsid w:val="006242BA"/>
    <w:rsid w:val="006255AD"/>
    <w:rsid w:val="00627DDE"/>
    <w:rsid w:val="00636946"/>
    <w:rsid w:val="0064219E"/>
    <w:rsid w:val="00643046"/>
    <w:rsid w:val="00656C83"/>
    <w:rsid w:val="00670E50"/>
    <w:rsid w:val="006A546A"/>
    <w:rsid w:val="006B43AF"/>
    <w:rsid w:val="006B70B1"/>
    <w:rsid w:val="006B77AD"/>
    <w:rsid w:val="006C22EE"/>
    <w:rsid w:val="006C3FF0"/>
    <w:rsid w:val="006D0BC2"/>
    <w:rsid w:val="006E74B3"/>
    <w:rsid w:val="006F0646"/>
    <w:rsid w:val="006F2EAB"/>
    <w:rsid w:val="00711B96"/>
    <w:rsid w:val="00723A34"/>
    <w:rsid w:val="00724F49"/>
    <w:rsid w:val="00737CEB"/>
    <w:rsid w:val="00743CF2"/>
    <w:rsid w:val="007600FD"/>
    <w:rsid w:val="0076026B"/>
    <w:rsid w:val="00760696"/>
    <w:rsid w:val="00762DFA"/>
    <w:rsid w:val="00766A67"/>
    <w:rsid w:val="00776A48"/>
    <w:rsid w:val="007B5105"/>
    <w:rsid w:val="007B5C65"/>
    <w:rsid w:val="007B7F39"/>
    <w:rsid w:val="007C0FB6"/>
    <w:rsid w:val="007C1B98"/>
    <w:rsid w:val="007F2443"/>
    <w:rsid w:val="007F3A3E"/>
    <w:rsid w:val="00805D9B"/>
    <w:rsid w:val="008340BC"/>
    <w:rsid w:val="00836916"/>
    <w:rsid w:val="0084384B"/>
    <w:rsid w:val="0084596D"/>
    <w:rsid w:val="00856A83"/>
    <w:rsid w:val="0086609B"/>
    <w:rsid w:val="00867D78"/>
    <w:rsid w:val="00872AA2"/>
    <w:rsid w:val="00881BB9"/>
    <w:rsid w:val="008833CF"/>
    <w:rsid w:val="00890C6B"/>
    <w:rsid w:val="00893997"/>
    <w:rsid w:val="008B0959"/>
    <w:rsid w:val="008B3E81"/>
    <w:rsid w:val="008B6C8E"/>
    <w:rsid w:val="008C0481"/>
    <w:rsid w:val="008C3351"/>
    <w:rsid w:val="008C37A2"/>
    <w:rsid w:val="008C474E"/>
    <w:rsid w:val="008C48A7"/>
    <w:rsid w:val="008E0434"/>
    <w:rsid w:val="008E3905"/>
    <w:rsid w:val="009042EC"/>
    <w:rsid w:val="00913DE9"/>
    <w:rsid w:val="009166FD"/>
    <w:rsid w:val="00923A0A"/>
    <w:rsid w:val="009251D4"/>
    <w:rsid w:val="0092605B"/>
    <w:rsid w:val="009334C3"/>
    <w:rsid w:val="009440E0"/>
    <w:rsid w:val="00962990"/>
    <w:rsid w:val="00963132"/>
    <w:rsid w:val="00964A12"/>
    <w:rsid w:val="00973804"/>
    <w:rsid w:val="00976E33"/>
    <w:rsid w:val="00980BE5"/>
    <w:rsid w:val="009A7531"/>
    <w:rsid w:val="009B14C5"/>
    <w:rsid w:val="009B214F"/>
    <w:rsid w:val="009B33C5"/>
    <w:rsid w:val="009B4F65"/>
    <w:rsid w:val="009C3C75"/>
    <w:rsid w:val="009C6028"/>
    <w:rsid w:val="009E0E67"/>
    <w:rsid w:val="00A0049E"/>
    <w:rsid w:val="00A028C0"/>
    <w:rsid w:val="00A07DC7"/>
    <w:rsid w:val="00A16EE5"/>
    <w:rsid w:val="00A20D93"/>
    <w:rsid w:val="00A26A17"/>
    <w:rsid w:val="00A30766"/>
    <w:rsid w:val="00A365C0"/>
    <w:rsid w:val="00A54407"/>
    <w:rsid w:val="00A62F13"/>
    <w:rsid w:val="00A64A44"/>
    <w:rsid w:val="00A70B74"/>
    <w:rsid w:val="00A724CF"/>
    <w:rsid w:val="00A848F1"/>
    <w:rsid w:val="00A854F7"/>
    <w:rsid w:val="00A874D3"/>
    <w:rsid w:val="00A90466"/>
    <w:rsid w:val="00A939F9"/>
    <w:rsid w:val="00A9559A"/>
    <w:rsid w:val="00AA024B"/>
    <w:rsid w:val="00AB582A"/>
    <w:rsid w:val="00AC4BF8"/>
    <w:rsid w:val="00AD5782"/>
    <w:rsid w:val="00AD6D0E"/>
    <w:rsid w:val="00AE036F"/>
    <w:rsid w:val="00AE76DC"/>
    <w:rsid w:val="00AF073D"/>
    <w:rsid w:val="00AF7C13"/>
    <w:rsid w:val="00B023A6"/>
    <w:rsid w:val="00B034C6"/>
    <w:rsid w:val="00B04527"/>
    <w:rsid w:val="00B07E9D"/>
    <w:rsid w:val="00B11A59"/>
    <w:rsid w:val="00B1269A"/>
    <w:rsid w:val="00B13E90"/>
    <w:rsid w:val="00B202F7"/>
    <w:rsid w:val="00B23D9A"/>
    <w:rsid w:val="00B446C7"/>
    <w:rsid w:val="00B62629"/>
    <w:rsid w:val="00B6492B"/>
    <w:rsid w:val="00B6556A"/>
    <w:rsid w:val="00B9088D"/>
    <w:rsid w:val="00BB1A09"/>
    <w:rsid w:val="00BB7575"/>
    <w:rsid w:val="00BC08D7"/>
    <w:rsid w:val="00BC7D37"/>
    <w:rsid w:val="00BD0228"/>
    <w:rsid w:val="00BF4678"/>
    <w:rsid w:val="00C01DF8"/>
    <w:rsid w:val="00C031C0"/>
    <w:rsid w:val="00C133FA"/>
    <w:rsid w:val="00C14E17"/>
    <w:rsid w:val="00C2125D"/>
    <w:rsid w:val="00C22B56"/>
    <w:rsid w:val="00C23991"/>
    <w:rsid w:val="00C32FB9"/>
    <w:rsid w:val="00C332C3"/>
    <w:rsid w:val="00C343B9"/>
    <w:rsid w:val="00C34C62"/>
    <w:rsid w:val="00C44472"/>
    <w:rsid w:val="00C61850"/>
    <w:rsid w:val="00C61F9E"/>
    <w:rsid w:val="00C63E54"/>
    <w:rsid w:val="00C67C2C"/>
    <w:rsid w:val="00C809A6"/>
    <w:rsid w:val="00C90CEA"/>
    <w:rsid w:val="00C91585"/>
    <w:rsid w:val="00CC0E9D"/>
    <w:rsid w:val="00CC7110"/>
    <w:rsid w:val="00CD26C2"/>
    <w:rsid w:val="00CE1C07"/>
    <w:rsid w:val="00CE6B25"/>
    <w:rsid w:val="00CF7865"/>
    <w:rsid w:val="00D26DCD"/>
    <w:rsid w:val="00D35723"/>
    <w:rsid w:val="00D44DCA"/>
    <w:rsid w:val="00D50A15"/>
    <w:rsid w:val="00D54F3E"/>
    <w:rsid w:val="00D562C9"/>
    <w:rsid w:val="00D6046F"/>
    <w:rsid w:val="00D61673"/>
    <w:rsid w:val="00D6333B"/>
    <w:rsid w:val="00D67F8A"/>
    <w:rsid w:val="00D75513"/>
    <w:rsid w:val="00D75BA6"/>
    <w:rsid w:val="00D8788B"/>
    <w:rsid w:val="00DA1E42"/>
    <w:rsid w:val="00DA5327"/>
    <w:rsid w:val="00DA606A"/>
    <w:rsid w:val="00DB5D15"/>
    <w:rsid w:val="00DC4145"/>
    <w:rsid w:val="00DD0E77"/>
    <w:rsid w:val="00DD7C73"/>
    <w:rsid w:val="00DE7244"/>
    <w:rsid w:val="00DF02DB"/>
    <w:rsid w:val="00E055AF"/>
    <w:rsid w:val="00E07B6E"/>
    <w:rsid w:val="00E25312"/>
    <w:rsid w:val="00E27274"/>
    <w:rsid w:val="00E274F9"/>
    <w:rsid w:val="00E30629"/>
    <w:rsid w:val="00E46F80"/>
    <w:rsid w:val="00E51729"/>
    <w:rsid w:val="00E54143"/>
    <w:rsid w:val="00E62DEB"/>
    <w:rsid w:val="00E643E3"/>
    <w:rsid w:val="00E65FF0"/>
    <w:rsid w:val="00E6723C"/>
    <w:rsid w:val="00E83CB8"/>
    <w:rsid w:val="00E84F38"/>
    <w:rsid w:val="00E85279"/>
    <w:rsid w:val="00E90C2F"/>
    <w:rsid w:val="00EA0FB2"/>
    <w:rsid w:val="00EA20D7"/>
    <w:rsid w:val="00EA2D16"/>
    <w:rsid w:val="00EA797A"/>
    <w:rsid w:val="00EB2863"/>
    <w:rsid w:val="00EB4908"/>
    <w:rsid w:val="00EC1D1B"/>
    <w:rsid w:val="00ED5F89"/>
    <w:rsid w:val="00EE27DC"/>
    <w:rsid w:val="00EF07A0"/>
    <w:rsid w:val="00EF7705"/>
    <w:rsid w:val="00F0653B"/>
    <w:rsid w:val="00F21819"/>
    <w:rsid w:val="00F26985"/>
    <w:rsid w:val="00F27937"/>
    <w:rsid w:val="00F30C59"/>
    <w:rsid w:val="00F316B5"/>
    <w:rsid w:val="00F336C2"/>
    <w:rsid w:val="00F3435D"/>
    <w:rsid w:val="00F346A4"/>
    <w:rsid w:val="00F359CD"/>
    <w:rsid w:val="00F37BE5"/>
    <w:rsid w:val="00F46531"/>
    <w:rsid w:val="00F474E4"/>
    <w:rsid w:val="00F54583"/>
    <w:rsid w:val="00F54C71"/>
    <w:rsid w:val="00F71039"/>
    <w:rsid w:val="00F8187A"/>
    <w:rsid w:val="00F838C4"/>
    <w:rsid w:val="00F868AB"/>
    <w:rsid w:val="00F92452"/>
    <w:rsid w:val="00FB1DCB"/>
    <w:rsid w:val="00FB2F27"/>
    <w:rsid w:val="00FC3942"/>
    <w:rsid w:val="00FC7FF6"/>
    <w:rsid w:val="00FD27CC"/>
    <w:rsid w:val="00FD49B9"/>
    <w:rsid w:val="02A32ABA"/>
    <w:rsid w:val="080C5E6F"/>
    <w:rsid w:val="088F7020"/>
    <w:rsid w:val="09871B3E"/>
    <w:rsid w:val="0A2E39AB"/>
    <w:rsid w:val="0B7429CF"/>
    <w:rsid w:val="0E2222D5"/>
    <w:rsid w:val="0F5C4DD4"/>
    <w:rsid w:val="100D5FC3"/>
    <w:rsid w:val="10CA4351"/>
    <w:rsid w:val="12752258"/>
    <w:rsid w:val="133D6DAA"/>
    <w:rsid w:val="14E84921"/>
    <w:rsid w:val="155D1885"/>
    <w:rsid w:val="15D05CE2"/>
    <w:rsid w:val="17BF3C12"/>
    <w:rsid w:val="191463A8"/>
    <w:rsid w:val="1CFFFD91"/>
    <w:rsid w:val="1F4F4249"/>
    <w:rsid w:val="1F7F3540"/>
    <w:rsid w:val="1F8F34D3"/>
    <w:rsid w:val="1FF31D2D"/>
    <w:rsid w:val="20227927"/>
    <w:rsid w:val="212D1E24"/>
    <w:rsid w:val="25E9DAAE"/>
    <w:rsid w:val="26616061"/>
    <w:rsid w:val="29B80CEA"/>
    <w:rsid w:val="29C24F96"/>
    <w:rsid w:val="2A016BE6"/>
    <w:rsid w:val="2A0B5232"/>
    <w:rsid w:val="2A85052F"/>
    <w:rsid w:val="2AA645E2"/>
    <w:rsid w:val="2AFB4E94"/>
    <w:rsid w:val="2BA325DC"/>
    <w:rsid w:val="2DD6AF4A"/>
    <w:rsid w:val="30DD6AE1"/>
    <w:rsid w:val="340B6910"/>
    <w:rsid w:val="3CA65003"/>
    <w:rsid w:val="3D77DF9E"/>
    <w:rsid w:val="3D7DA50A"/>
    <w:rsid w:val="3E39D923"/>
    <w:rsid w:val="3EE01594"/>
    <w:rsid w:val="3EEA5E4D"/>
    <w:rsid w:val="3FB7C954"/>
    <w:rsid w:val="3FE647F5"/>
    <w:rsid w:val="3FF7430D"/>
    <w:rsid w:val="421A0655"/>
    <w:rsid w:val="452FF8A7"/>
    <w:rsid w:val="465D16AD"/>
    <w:rsid w:val="494A239B"/>
    <w:rsid w:val="4B784AFA"/>
    <w:rsid w:val="4BEBFD09"/>
    <w:rsid w:val="4BF4E7A8"/>
    <w:rsid w:val="4E57277B"/>
    <w:rsid w:val="4E7E4B4F"/>
    <w:rsid w:val="51FF9B44"/>
    <w:rsid w:val="527010A3"/>
    <w:rsid w:val="52D3569F"/>
    <w:rsid w:val="541152B4"/>
    <w:rsid w:val="54EA2DFC"/>
    <w:rsid w:val="57B3191D"/>
    <w:rsid w:val="5A311DB8"/>
    <w:rsid w:val="5B832F76"/>
    <w:rsid w:val="5DEFA7CA"/>
    <w:rsid w:val="5EBE0004"/>
    <w:rsid w:val="5EEC728E"/>
    <w:rsid w:val="5EEF652F"/>
    <w:rsid w:val="5EF99FAD"/>
    <w:rsid w:val="5F3B0DB0"/>
    <w:rsid w:val="5F5C2D0D"/>
    <w:rsid w:val="5F7D66EA"/>
    <w:rsid w:val="5FBF8A76"/>
    <w:rsid w:val="5FFE6E70"/>
    <w:rsid w:val="5FFFDA40"/>
    <w:rsid w:val="61264A0C"/>
    <w:rsid w:val="621F2CF6"/>
    <w:rsid w:val="65F785E0"/>
    <w:rsid w:val="667E793D"/>
    <w:rsid w:val="67976770"/>
    <w:rsid w:val="67DF9E56"/>
    <w:rsid w:val="67FE9409"/>
    <w:rsid w:val="6A2A7555"/>
    <w:rsid w:val="6AAD19CD"/>
    <w:rsid w:val="6AC912D5"/>
    <w:rsid w:val="6BCBC769"/>
    <w:rsid w:val="6BFF52DC"/>
    <w:rsid w:val="6E4865DB"/>
    <w:rsid w:val="6EF634D5"/>
    <w:rsid w:val="6F5668C0"/>
    <w:rsid w:val="6FEEB2E2"/>
    <w:rsid w:val="6FF3FE8B"/>
    <w:rsid w:val="702B0A44"/>
    <w:rsid w:val="725A50C6"/>
    <w:rsid w:val="73FA6CA4"/>
    <w:rsid w:val="73FCA9CC"/>
    <w:rsid w:val="73FFF30A"/>
    <w:rsid w:val="740B2C95"/>
    <w:rsid w:val="74D725AA"/>
    <w:rsid w:val="766A54D2"/>
    <w:rsid w:val="76891469"/>
    <w:rsid w:val="77B12DBF"/>
    <w:rsid w:val="77FF5D83"/>
    <w:rsid w:val="77FF654B"/>
    <w:rsid w:val="789E4921"/>
    <w:rsid w:val="792E06D1"/>
    <w:rsid w:val="7975EF9F"/>
    <w:rsid w:val="79B77CFF"/>
    <w:rsid w:val="79B7A5F0"/>
    <w:rsid w:val="7A6FBF2C"/>
    <w:rsid w:val="7BBB69B9"/>
    <w:rsid w:val="7BBB8B68"/>
    <w:rsid w:val="7CAF6E6F"/>
    <w:rsid w:val="7D2C2C63"/>
    <w:rsid w:val="7D2F2564"/>
    <w:rsid w:val="7D7E1866"/>
    <w:rsid w:val="7DDA2941"/>
    <w:rsid w:val="7E272FAB"/>
    <w:rsid w:val="7EB9747E"/>
    <w:rsid w:val="7EBF76E9"/>
    <w:rsid w:val="7EEB8F23"/>
    <w:rsid w:val="7EF9268F"/>
    <w:rsid w:val="7EFF2991"/>
    <w:rsid w:val="7F5D3860"/>
    <w:rsid w:val="7F6E24DC"/>
    <w:rsid w:val="7F7F6E6C"/>
    <w:rsid w:val="7FC76F84"/>
    <w:rsid w:val="7FEE34B2"/>
    <w:rsid w:val="7FEF554C"/>
    <w:rsid w:val="7FF60B78"/>
    <w:rsid w:val="7FFCE79F"/>
    <w:rsid w:val="7FFD0CF4"/>
    <w:rsid w:val="9E71476B"/>
    <w:rsid w:val="9EED812B"/>
    <w:rsid w:val="A7EF260F"/>
    <w:rsid w:val="AA5F1CB1"/>
    <w:rsid w:val="BB4AE2A6"/>
    <w:rsid w:val="BDDF8632"/>
    <w:rsid w:val="BE6E23C9"/>
    <w:rsid w:val="BEBD79AA"/>
    <w:rsid w:val="BEEB00AD"/>
    <w:rsid w:val="BF678140"/>
    <w:rsid w:val="BF9F5E9B"/>
    <w:rsid w:val="BFD605F8"/>
    <w:rsid w:val="BFEF0B90"/>
    <w:rsid w:val="BFFCC265"/>
    <w:rsid w:val="C7DB5887"/>
    <w:rsid w:val="CBAB1CDF"/>
    <w:rsid w:val="CDFF3E1E"/>
    <w:rsid w:val="CFF9D24B"/>
    <w:rsid w:val="D1D72813"/>
    <w:rsid w:val="D57F2C69"/>
    <w:rsid w:val="D5A9B843"/>
    <w:rsid w:val="D6B81A0A"/>
    <w:rsid w:val="D9DF56C1"/>
    <w:rsid w:val="DB3F4FDA"/>
    <w:rsid w:val="DB9B5A6C"/>
    <w:rsid w:val="DCFDE65E"/>
    <w:rsid w:val="DF7F36E0"/>
    <w:rsid w:val="DF9FA30A"/>
    <w:rsid w:val="DFDF027E"/>
    <w:rsid w:val="DFF1B722"/>
    <w:rsid w:val="E2F5C167"/>
    <w:rsid w:val="E73FB1BC"/>
    <w:rsid w:val="EBEF3A6E"/>
    <w:rsid w:val="EBFF9018"/>
    <w:rsid w:val="EEB18485"/>
    <w:rsid w:val="EEC765C8"/>
    <w:rsid w:val="EEFF277C"/>
    <w:rsid w:val="EF6E8811"/>
    <w:rsid w:val="EF793634"/>
    <w:rsid w:val="EF7B5015"/>
    <w:rsid w:val="EFECB728"/>
    <w:rsid w:val="EFFBBF47"/>
    <w:rsid w:val="EFFC28A7"/>
    <w:rsid w:val="EFFFAAE8"/>
    <w:rsid w:val="F5E358EF"/>
    <w:rsid w:val="F73D6FE5"/>
    <w:rsid w:val="F73DBAFA"/>
    <w:rsid w:val="F7B546D2"/>
    <w:rsid w:val="F7EE465D"/>
    <w:rsid w:val="F7F5F5D7"/>
    <w:rsid w:val="F7FF558D"/>
    <w:rsid w:val="FB5D910E"/>
    <w:rsid w:val="FB77BF29"/>
    <w:rsid w:val="FBBABF33"/>
    <w:rsid w:val="FBBD9FB6"/>
    <w:rsid w:val="FBDF375F"/>
    <w:rsid w:val="FBEE9909"/>
    <w:rsid w:val="FBFD7B38"/>
    <w:rsid w:val="FCBFFABE"/>
    <w:rsid w:val="FD7BB64A"/>
    <w:rsid w:val="FD933A99"/>
    <w:rsid w:val="FE5F5D8C"/>
    <w:rsid w:val="FE92E622"/>
    <w:rsid w:val="FEAB886D"/>
    <w:rsid w:val="FEF9419B"/>
    <w:rsid w:val="FEFFC4B7"/>
    <w:rsid w:val="FF4F32A2"/>
    <w:rsid w:val="FFBF1C49"/>
    <w:rsid w:val="FFBFCB11"/>
    <w:rsid w:val="FFFFEE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qFormat="1" w:uiPriority="99" w:semiHidden="0"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locked/>
    <w:uiPriority w:val="99"/>
    <w:rPr>
      <w:rFonts w:ascii="黑体" w:hAnsi="黑体" w:eastAsia="黑体"/>
      <w:b/>
      <w:bCs/>
      <w:sz w:val="36"/>
      <w:szCs w:val="36"/>
    </w:rPr>
  </w:style>
  <w:style w:type="paragraph" w:styleId="3">
    <w:name w:val="Normal Indent"/>
    <w:basedOn w:val="1"/>
    <w:qFormat/>
    <w:uiPriority w:val="0"/>
    <w:pPr>
      <w:ind w:firstLine="420" w:firstLineChars="200"/>
    </w:pPr>
  </w:style>
  <w:style w:type="paragraph" w:styleId="4">
    <w:name w:val="annotation text"/>
    <w:basedOn w:val="1"/>
    <w:link w:val="32"/>
    <w:semiHidden/>
    <w:unhideWhenUsed/>
    <w:qFormat/>
    <w:uiPriority w:val="99"/>
    <w:pPr>
      <w:jc w:val="left"/>
    </w:pPr>
  </w:style>
  <w:style w:type="paragraph" w:styleId="5">
    <w:name w:val="Date"/>
    <w:basedOn w:val="1"/>
    <w:next w:val="1"/>
    <w:link w:val="22"/>
    <w:semiHidden/>
    <w:qFormat/>
    <w:uiPriority w:val="99"/>
    <w:pPr>
      <w:ind w:left="100" w:leftChars="2500"/>
    </w:pPr>
  </w:style>
  <w:style w:type="paragraph" w:styleId="6">
    <w:name w:val="Balloon Text"/>
    <w:basedOn w:val="1"/>
    <w:link w:val="23"/>
    <w:semiHidden/>
    <w:qFormat/>
    <w:uiPriority w:val="99"/>
    <w:rPr>
      <w:sz w:val="18"/>
      <w:szCs w:val="18"/>
    </w:rPr>
  </w:style>
  <w:style w:type="paragraph" w:styleId="7">
    <w:name w:val="footer"/>
    <w:basedOn w:val="1"/>
    <w:link w:val="24"/>
    <w:semiHidden/>
    <w:qFormat/>
    <w:uiPriority w:val="99"/>
    <w:pPr>
      <w:tabs>
        <w:tab w:val="center" w:pos="4153"/>
        <w:tab w:val="right" w:pos="8306"/>
      </w:tabs>
      <w:snapToGrid w:val="0"/>
      <w:jc w:val="left"/>
    </w:pPr>
    <w:rPr>
      <w:sz w:val="18"/>
      <w:szCs w:val="18"/>
    </w:rPr>
  </w:style>
  <w:style w:type="paragraph" w:styleId="8">
    <w:name w:val="header"/>
    <w:basedOn w:val="1"/>
    <w:link w:val="25"/>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99"/>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33"/>
    <w:semiHidden/>
    <w:unhideWhenUsed/>
    <w:qFormat/>
    <w:uiPriority w:val="99"/>
    <w:rPr>
      <w:b/>
      <w:bCs/>
    </w:rPr>
  </w:style>
  <w:style w:type="table" w:styleId="13">
    <w:name w:val="Table Grid"/>
    <w:basedOn w:val="1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rPr>
      <w:rFonts w:cs="Times New Roman"/>
    </w:rPr>
  </w:style>
  <w:style w:type="character" w:styleId="16">
    <w:name w:val="FollowedHyperlink"/>
    <w:basedOn w:val="14"/>
    <w:unhideWhenUsed/>
    <w:qFormat/>
    <w:uiPriority w:val="99"/>
    <w:rPr>
      <w:color w:val="800080"/>
      <w:u w:val="none"/>
    </w:rPr>
  </w:style>
  <w:style w:type="character" w:styleId="17">
    <w:name w:val="Emphasis"/>
    <w:basedOn w:val="14"/>
    <w:qFormat/>
    <w:locked/>
    <w:uiPriority w:val="0"/>
    <w:rPr>
      <w:rFonts w:ascii="宋体" w:hAnsi="宋体" w:eastAsia="宋体" w:cs="宋体"/>
      <w:sz w:val="18"/>
      <w:szCs w:val="18"/>
    </w:rPr>
  </w:style>
  <w:style w:type="character" w:styleId="18">
    <w:name w:val="Hyperlink"/>
    <w:basedOn w:val="14"/>
    <w:unhideWhenUsed/>
    <w:qFormat/>
    <w:uiPriority w:val="99"/>
    <w:rPr>
      <w:color w:val="0000FF"/>
      <w:u w:val="none"/>
    </w:rPr>
  </w:style>
  <w:style w:type="character" w:styleId="19">
    <w:name w:val="HTML Code"/>
    <w:basedOn w:val="14"/>
    <w:unhideWhenUsed/>
    <w:qFormat/>
    <w:uiPriority w:val="99"/>
    <w:rPr>
      <w:rFonts w:ascii="宋体" w:hAnsi="宋体" w:eastAsia="宋体" w:cs="宋体"/>
      <w:sz w:val="18"/>
      <w:szCs w:val="18"/>
    </w:rPr>
  </w:style>
  <w:style w:type="character" w:styleId="20">
    <w:name w:val="annotation reference"/>
    <w:basedOn w:val="14"/>
    <w:semiHidden/>
    <w:unhideWhenUsed/>
    <w:qFormat/>
    <w:uiPriority w:val="99"/>
    <w:rPr>
      <w:sz w:val="21"/>
      <w:szCs w:val="21"/>
    </w:rPr>
  </w:style>
  <w:style w:type="character" w:styleId="21">
    <w:name w:val="HTML Cite"/>
    <w:basedOn w:val="14"/>
    <w:unhideWhenUsed/>
    <w:qFormat/>
    <w:uiPriority w:val="99"/>
    <w:rPr>
      <w:rFonts w:ascii="宋体" w:hAnsi="宋体" w:eastAsia="宋体" w:cs="宋体"/>
      <w:sz w:val="18"/>
      <w:szCs w:val="18"/>
    </w:rPr>
  </w:style>
  <w:style w:type="character" w:customStyle="1" w:styleId="22">
    <w:name w:val="日期 Char"/>
    <w:basedOn w:val="14"/>
    <w:link w:val="5"/>
    <w:semiHidden/>
    <w:qFormat/>
    <w:locked/>
    <w:uiPriority w:val="99"/>
    <w:rPr>
      <w:rFonts w:cs="Times New Roman"/>
    </w:rPr>
  </w:style>
  <w:style w:type="character" w:customStyle="1" w:styleId="23">
    <w:name w:val="批注框文本 Char"/>
    <w:basedOn w:val="14"/>
    <w:link w:val="6"/>
    <w:semiHidden/>
    <w:qFormat/>
    <w:locked/>
    <w:uiPriority w:val="99"/>
    <w:rPr>
      <w:rFonts w:cs="Times New Roman"/>
      <w:sz w:val="18"/>
      <w:szCs w:val="18"/>
    </w:rPr>
  </w:style>
  <w:style w:type="character" w:customStyle="1" w:styleId="24">
    <w:name w:val="页脚 Char"/>
    <w:basedOn w:val="14"/>
    <w:link w:val="7"/>
    <w:semiHidden/>
    <w:qFormat/>
    <w:locked/>
    <w:uiPriority w:val="99"/>
    <w:rPr>
      <w:rFonts w:cs="Times New Roman"/>
      <w:sz w:val="18"/>
      <w:szCs w:val="18"/>
    </w:rPr>
  </w:style>
  <w:style w:type="character" w:customStyle="1" w:styleId="25">
    <w:name w:val="页眉 Char"/>
    <w:basedOn w:val="14"/>
    <w:link w:val="8"/>
    <w:semiHidden/>
    <w:qFormat/>
    <w:locked/>
    <w:uiPriority w:val="99"/>
    <w:rPr>
      <w:rFonts w:cs="Times New Roman"/>
      <w:sz w:val="18"/>
      <w:szCs w:val="18"/>
    </w:rPr>
  </w:style>
  <w:style w:type="paragraph" w:customStyle="1" w:styleId="26">
    <w:name w:val="List Paragraph1"/>
    <w:basedOn w:val="1"/>
    <w:qFormat/>
    <w:uiPriority w:val="99"/>
    <w:pPr>
      <w:ind w:firstLine="420" w:firstLineChars="200"/>
    </w:pPr>
  </w:style>
  <w:style w:type="paragraph" w:customStyle="1" w:styleId="27">
    <w:name w:val="char"/>
    <w:basedOn w:val="1"/>
    <w:qFormat/>
    <w:uiPriority w:val="99"/>
    <w:pPr>
      <w:widowControl/>
      <w:spacing w:after="160" w:line="240" w:lineRule="exact"/>
      <w:jc w:val="left"/>
    </w:pPr>
    <w:rPr>
      <w:rFonts w:cs="Times New Roman"/>
      <w:szCs w:val="22"/>
    </w:rPr>
  </w:style>
  <w:style w:type="character" w:customStyle="1" w:styleId="28">
    <w:name w:val="hover42"/>
    <w:basedOn w:val="14"/>
    <w:qFormat/>
    <w:uiPriority w:val="0"/>
    <w:rPr>
      <w:color w:val="000000"/>
      <w:shd w:val="clear" w:color="auto" w:fill="FFFFFF"/>
    </w:rPr>
  </w:style>
  <w:style w:type="character" w:customStyle="1" w:styleId="29">
    <w:name w:val="bsharetext"/>
    <w:basedOn w:val="14"/>
    <w:qFormat/>
    <w:uiPriority w:val="0"/>
  </w:style>
  <w:style w:type="paragraph" w:styleId="30">
    <w:name w:val="List Paragraph"/>
    <w:basedOn w:val="1"/>
    <w:unhideWhenUsed/>
    <w:qFormat/>
    <w:uiPriority w:val="99"/>
    <w:pPr>
      <w:ind w:firstLine="420" w:firstLineChars="200"/>
    </w:pPr>
  </w:style>
  <w:style w:type="character" w:customStyle="1" w:styleId="31">
    <w:name w:val="NormalCharacter"/>
    <w:semiHidden/>
    <w:qFormat/>
    <w:uiPriority w:val="0"/>
  </w:style>
  <w:style w:type="character" w:customStyle="1" w:styleId="32">
    <w:name w:val="批注文字 Char"/>
    <w:basedOn w:val="14"/>
    <w:link w:val="4"/>
    <w:semiHidden/>
    <w:qFormat/>
    <w:uiPriority w:val="99"/>
    <w:rPr>
      <w:rFonts w:ascii="Calibri" w:hAnsi="Calibri" w:cs="Calibri"/>
      <w:kern w:val="2"/>
      <w:sz w:val="21"/>
      <w:szCs w:val="21"/>
    </w:rPr>
  </w:style>
  <w:style w:type="character" w:customStyle="1" w:styleId="33">
    <w:name w:val="批注主题 Char"/>
    <w:basedOn w:val="32"/>
    <w:link w:val="11"/>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3012</Words>
  <Characters>3192</Characters>
  <Lines>18</Lines>
  <Paragraphs>5</Paragraphs>
  <TotalTime>12</TotalTime>
  <ScaleCrop>false</ScaleCrop>
  <LinksUpToDate>false</LinksUpToDate>
  <CharactersWithSpaces>3269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2020-05-03T23:11:00Z</dcterms:created>
  <dc:creator>Administrator</dc:creator>
  <cp:lastModifiedBy>wtj</cp:lastModifiedBy>
  <cp:lastPrinted>2022-04-29T20:53:00Z</cp:lastPrinted>
  <dcterms:modified xsi:type="dcterms:W3CDTF">2023-03-20T15:54:39Z</dcterms:modified>
  <dc:title>2015年益阳市司法局</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commondata">
    <vt:lpwstr>eyJoZGlkIjoiOWZlY2I3NTY2MjIxNDc0ZGU5NzYwMTQ1NGRhMGM1ODcifQ==</vt:lpwstr>
  </property>
  <property fmtid="{D5CDD505-2E9C-101B-9397-08002B2CF9AE}" pid="4" name="ICV">
    <vt:lpwstr>E3C8F9D815854EC5AE9ED4E0515E4A29</vt:lpwstr>
  </property>
</Properties>
</file>