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hint="eastAsia" w:ascii="黑体" w:hAnsi="黑体" w:eastAsia="黑体" w:cs="黑体"/>
          <w:sz w:val="44"/>
          <w:szCs w:val="44"/>
        </w:rPr>
      </w:pPr>
    </w:p>
    <w:p>
      <w:pPr>
        <w:spacing w:line="240" w:lineRule="exact"/>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益阳市文化旅游广电体育局</w:t>
      </w:r>
    </w:p>
    <w:p>
      <w:pPr>
        <w:jc w:val="center"/>
        <w:rPr>
          <w:rFonts w:ascii="黑体" w:hAnsi="黑体" w:eastAsia="黑体" w:cs="黑体"/>
          <w:sz w:val="44"/>
          <w:szCs w:val="44"/>
        </w:rPr>
      </w:pPr>
      <w:r>
        <w:rPr>
          <w:rFonts w:ascii="黑体" w:hAnsi="黑体" w:eastAsia="黑体" w:cs="黑体"/>
          <w:sz w:val="44"/>
          <w:szCs w:val="44"/>
        </w:rPr>
        <w:t>20</w:t>
      </w:r>
      <w:r>
        <w:rPr>
          <w:rFonts w:hint="eastAsia" w:ascii="黑体" w:hAnsi="黑体" w:eastAsia="黑体" w:cs="黑体"/>
          <w:sz w:val="44"/>
          <w:szCs w:val="44"/>
        </w:rPr>
        <w:t>20年度送戏下乡、演艺惠民及</w:t>
      </w:r>
    </w:p>
    <w:p>
      <w:pPr>
        <w:jc w:val="center"/>
        <w:rPr>
          <w:rFonts w:ascii="黑体" w:hAnsi="黑体" w:eastAsia="黑体" w:cs="黑体"/>
          <w:sz w:val="44"/>
          <w:szCs w:val="44"/>
        </w:rPr>
      </w:pPr>
      <w:r>
        <w:rPr>
          <w:rFonts w:hint="eastAsia" w:ascii="黑体" w:hAnsi="黑体" w:eastAsia="黑体" w:cs="黑体"/>
          <w:sz w:val="44"/>
          <w:szCs w:val="44"/>
        </w:rPr>
        <w:t>周末广场电影专项资金绩效自评报告</w:t>
      </w:r>
    </w:p>
    <w:p>
      <w:pPr>
        <w:rPr>
          <w:rFonts w:ascii="仿宋" w:hAnsi="仿宋" w:eastAsia="仿宋" w:cs="仿宋_GB2312"/>
          <w:sz w:val="32"/>
          <w:szCs w:val="32"/>
        </w:rPr>
      </w:pPr>
    </w:p>
    <w:p>
      <w:pPr>
        <w:spacing w:line="560" w:lineRule="exact"/>
        <w:rPr>
          <w:rFonts w:ascii="仿宋" w:hAnsi="仿宋" w:eastAsia="仿宋" w:cs="仿宋_GB2312"/>
          <w:sz w:val="32"/>
          <w:szCs w:val="32"/>
        </w:rPr>
      </w:pPr>
      <w:r>
        <w:rPr>
          <w:rFonts w:hint="eastAsia" w:ascii="仿宋" w:hAnsi="仿宋" w:eastAsia="仿宋" w:cs="仿宋_GB2312"/>
          <w:sz w:val="32"/>
          <w:szCs w:val="32"/>
        </w:rPr>
        <w:t>益阳市财政局：</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kern w:val="28"/>
          <w:sz w:val="32"/>
          <w:szCs w:val="32"/>
        </w:rPr>
        <w:t>为了加强财政支出管理，增强预算单位支出责任，根据《中共湖南省委办公厅湖南省人民政府办公厅关于全面实施预算绩效管理的实施意见》（湘办发〔2019〕10号）、</w:t>
      </w:r>
      <w:r>
        <w:rPr>
          <w:rFonts w:hint="eastAsia" w:ascii="仿宋" w:hAnsi="仿宋" w:eastAsia="仿宋" w:cs="仿宋_GB2312"/>
          <w:sz w:val="32"/>
          <w:szCs w:val="32"/>
        </w:rPr>
        <w:t>《益阳市财政局关于转发〈湖南省预算绩效管理工作规程（试行）〉的通知》（益财绩〔</w:t>
      </w:r>
      <w:r>
        <w:rPr>
          <w:rFonts w:ascii="仿宋" w:hAnsi="仿宋" w:eastAsia="仿宋" w:cs="仿宋_GB2312"/>
          <w:sz w:val="32"/>
          <w:szCs w:val="32"/>
        </w:rPr>
        <w:t>2014</w:t>
      </w:r>
      <w:r>
        <w:rPr>
          <w:rFonts w:hint="eastAsia" w:ascii="仿宋" w:hAnsi="仿宋" w:eastAsia="仿宋" w:cs="仿宋_GB2312"/>
          <w:sz w:val="32"/>
          <w:szCs w:val="32"/>
        </w:rPr>
        <w:t>〕</w:t>
      </w:r>
      <w:r>
        <w:rPr>
          <w:rFonts w:ascii="仿宋" w:hAnsi="仿宋" w:eastAsia="仿宋" w:cs="仿宋_GB2312"/>
          <w:sz w:val="32"/>
          <w:szCs w:val="32"/>
        </w:rPr>
        <w:t>126</w:t>
      </w:r>
      <w:r>
        <w:rPr>
          <w:rFonts w:hint="eastAsia" w:ascii="仿宋" w:hAnsi="仿宋" w:eastAsia="仿宋" w:cs="仿宋_GB2312"/>
          <w:sz w:val="32"/>
          <w:szCs w:val="32"/>
        </w:rPr>
        <w:t>号）、《益阳市财政局关于开展2020年度预算绩效自评工作的通知》等文件精神，我局组织对2020年度送戏下乡、演艺惠民及周末广场电影项目资金（以下简称该项目资金）开展了绩效自评。现将有关情况报告如下：</w:t>
      </w:r>
    </w:p>
    <w:p>
      <w:pPr>
        <w:topLinePunct/>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pPr>
        <w:topLinePunct/>
        <w:spacing w:line="560" w:lineRule="exact"/>
        <w:ind w:firstLine="640" w:firstLineChars="200"/>
        <w:rPr>
          <w:rFonts w:ascii="仿宋" w:hAnsi="仿宋" w:eastAsia="仿宋" w:cs="Times New Roman"/>
          <w:sz w:val="32"/>
          <w:szCs w:val="32"/>
        </w:rPr>
      </w:pPr>
      <w:r>
        <w:rPr>
          <w:rFonts w:hint="eastAsia" w:ascii="楷体" w:hAnsi="楷体" w:eastAsia="楷体" w:cs="楷体"/>
          <w:sz w:val="32"/>
          <w:szCs w:val="32"/>
        </w:rPr>
        <w:t>（一）</w:t>
      </w:r>
      <w:r>
        <w:rPr>
          <w:rFonts w:hint="eastAsia" w:ascii="楷体" w:hAnsi="楷体" w:eastAsia="楷体" w:cs="Times New Roman"/>
          <w:sz w:val="32"/>
          <w:szCs w:val="32"/>
        </w:rPr>
        <w:t>项目单位基本情况</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w:t>
      </w:r>
      <w:r>
        <w:rPr>
          <w:rFonts w:hint="eastAsia" w:ascii="仿宋" w:hAnsi="仿宋" w:eastAsia="仿宋" w:cs="仿宋_GB2312"/>
          <w:sz w:val="32"/>
          <w:szCs w:val="32"/>
        </w:rPr>
        <w:t>等21个科室，</w:t>
      </w:r>
      <w:r>
        <w:rPr>
          <w:rFonts w:hint="eastAsia" w:ascii="仿宋" w:hAnsi="仿宋" w:eastAsia="仿宋" w:cs="Times New Roman"/>
          <w:sz w:val="32"/>
          <w:szCs w:val="32"/>
        </w:rPr>
        <w:t>下设市</w:t>
      </w:r>
      <w:r>
        <w:rPr>
          <w:rFonts w:hint="eastAsia" w:ascii="仿宋" w:hAnsi="仿宋" w:eastAsia="仿宋" w:cs="仿宋_GB2312"/>
          <w:sz w:val="32"/>
          <w:szCs w:val="32"/>
        </w:rPr>
        <w:t>文化馆、市电影文化传媒有限公司（以下简称市电影公司）等13个单位。</w:t>
      </w:r>
    </w:p>
    <w:p>
      <w:pPr>
        <w:topLinePunct/>
        <w:spacing w:line="560" w:lineRule="exact"/>
        <w:ind w:firstLine="640" w:firstLineChars="200"/>
        <w:rPr>
          <w:rFonts w:ascii="仿宋" w:hAnsi="仿宋" w:eastAsia="仿宋" w:cs="仿宋"/>
          <w:sz w:val="32"/>
          <w:szCs w:val="32"/>
        </w:rPr>
      </w:pPr>
      <w:r>
        <w:rPr>
          <w:rFonts w:hint="eastAsia" w:ascii="楷体" w:hAnsi="楷体" w:eastAsia="楷体" w:cs="Times New Roman"/>
          <w:sz w:val="32"/>
          <w:szCs w:val="32"/>
        </w:rPr>
        <w:t>（二）项目基本情况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为深入推进文化惠民工程，弘扬地方传统文化，丰富城乡居民业余生活，根据《湖南省“演艺惠民-送戏下乡”工程实施方案》（湘文艺[2009]172号）等文件精神，市委宣传部、</w:t>
      </w:r>
      <w:r>
        <w:rPr>
          <w:rFonts w:hint="eastAsia" w:ascii="仿宋" w:hAnsi="仿宋" w:eastAsia="仿宋" w:cs="Times New Roman"/>
          <w:sz w:val="32"/>
          <w:szCs w:val="32"/>
        </w:rPr>
        <w:t>市文旅广体局</w:t>
      </w:r>
      <w:r>
        <w:rPr>
          <w:rFonts w:hint="eastAsia" w:ascii="仿宋" w:hAnsi="仿宋" w:eastAsia="仿宋" w:cs="仿宋"/>
          <w:sz w:val="32"/>
          <w:szCs w:val="32"/>
        </w:rPr>
        <w:t>决定在全市城乡开展“益阳花鼓大戏台-送戏惠民”活动（以下简称送戏下乡项目），建立益阳花鼓大戏台长效机制。同时，为解决进城务工、城市低收入等人员文化生活需要，决定在中心城区各广场设立周末电影院，定期播放电影（以下简称周末广场电影项目）。</w:t>
      </w:r>
    </w:p>
    <w:p>
      <w:pPr>
        <w:topLinePunct/>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（三）绩效目标完成情况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1.送戏下乡项目。2020年，</w:t>
      </w:r>
      <w:r>
        <w:rPr>
          <w:rFonts w:hint="eastAsia" w:ascii="仿宋" w:hAnsi="仿宋" w:eastAsia="仿宋" w:cs="Times New Roman"/>
          <w:sz w:val="32"/>
          <w:szCs w:val="32"/>
        </w:rPr>
        <w:t>市文旅广体局</w:t>
      </w:r>
      <w:r>
        <w:rPr>
          <w:rFonts w:hint="eastAsia" w:ascii="仿宋" w:hAnsi="仿宋" w:eastAsia="仿宋" w:cs="仿宋"/>
          <w:sz w:val="32"/>
          <w:szCs w:val="32"/>
        </w:rPr>
        <w:t>共计划演出300场次，其中：乡镇巡演168场次、省市扶贫点贫困村慰问演出55场次、敬老院慰问演出1场次、戏曲进校园演出4场次、第九届花鼓戏汇演40场次、益阳大剧院“周末花鼓戏剧场”32场次。全市实际演出300场次，目标任务基本完成。</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2.周末广场电影项目。市中心城区共建立了21个固定放映点，覆盖55个社区、20个大型广场、1所大专院校。2020年计划放映1000场次，实际完成放映1068场，观众近20万人次。</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二、项目资金使用管理情况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2020年，市级预算共拨付该项目资金235万元，其中送戏下乡项目资金90万元，</w:t>
      </w:r>
      <w:r>
        <w:rPr>
          <w:rFonts w:hint="eastAsia" w:ascii="仿宋" w:hAnsi="仿宋" w:eastAsia="仿宋" w:cs="仿宋_GB2312"/>
          <w:sz w:val="32"/>
          <w:szCs w:val="32"/>
        </w:rPr>
        <w:t>周末广场电影项目资金145万元，另市委宣传部从文化产业引导资金中安排送戏下乡项目资金60万元。</w:t>
      </w:r>
      <w:r>
        <w:rPr>
          <w:rFonts w:hint="eastAsia" w:ascii="仿宋" w:hAnsi="仿宋" w:eastAsia="仿宋" w:cs="仿宋"/>
          <w:sz w:val="32"/>
          <w:szCs w:val="32"/>
        </w:rPr>
        <w:t>送戏下乡项目共支出</w:t>
      </w:r>
      <w:r>
        <w:rPr>
          <w:rFonts w:hint="eastAsia" w:ascii="仿宋" w:hAnsi="仿宋" w:eastAsia="仿宋"/>
          <w:sz w:val="32"/>
          <w:szCs w:val="32"/>
        </w:rPr>
        <w:t>146.93</w:t>
      </w:r>
      <w:r>
        <w:rPr>
          <w:rFonts w:hint="eastAsia" w:ascii="仿宋" w:hAnsi="仿宋" w:eastAsia="仿宋" w:cs="仿宋"/>
          <w:sz w:val="32"/>
          <w:szCs w:val="32"/>
        </w:rPr>
        <w:t>万元，其中用于支付剧团演出场次补贴123万元，舞台搭建、场地租赁、保险、工作经费等其它费用23.93万元；</w:t>
      </w:r>
      <w:r>
        <w:rPr>
          <w:rFonts w:hint="eastAsia" w:ascii="仿宋" w:hAnsi="仿宋" w:eastAsia="仿宋" w:cs="仿宋_GB2312"/>
          <w:sz w:val="32"/>
          <w:szCs w:val="32"/>
        </w:rPr>
        <w:t>周末广场电影项目共支出140.4万元，其中放映费(含人员工资)128.9万元，设备运输费(含油料费)、宣传费3.3万元，运输车辆维护、保险费0.3万元，放映员服装费0.3万元，电影行业会费0.5万元，防疫物质1.1万元，放映设备折旧费6万元。</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三、项目组织实施管理情况</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一是制定实施方案。年初，</w:t>
      </w:r>
      <w:r>
        <w:rPr>
          <w:rFonts w:hint="eastAsia" w:ascii="仿宋" w:hAnsi="仿宋" w:eastAsia="仿宋" w:cs="Times New Roman"/>
          <w:sz w:val="32"/>
          <w:szCs w:val="32"/>
        </w:rPr>
        <w:t>市文旅广体局、市电影公司制定当年送戏下乡、周末广场电影计划，确定演出（放映）地点、演出（放映）场次、演出（放映）剧目等。</w:t>
      </w:r>
      <w:r>
        <w:rPr>
          <w:rFonts w:hint="eastAsia" w:ascii="仿宋" w:hAnsi="仿宋" w:eastAsia="仿宋" w:cs="仿宋"/>
          <w:sz w:val="32"/>
          <w:szCs w:val="32"/>
        </w:rPr>
        <w:t>周末广场电影项目还要求实行六个统一，即统一放映时间、统一公益宣传片、统一放映流程、统一市场经营、统一放映节目、统一规范管理。</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二是实行公开招标。按照年度演出计划，市文旅广体局组织对剧团实行公开招标，与中标剧团签订演出合同，明确双方权利义务。</w:t>
      </w:r>
    </w:p>
    <w:p>
      <w:pPr>
        <w:topLinePunct/>
        <w:spacing w:line="560" w:lineRule="exact"/>
        <w:ind w:firstLine="640" w:firstLineChars="200"/>
        <w:rPr>
          <w:rFonts w:ascii="仿宋" w:hAnsi="仿宋" w:eastAsia="仿宋" w:cs="仿宋"/>
          <w:sz w:val="32"/>
          <w:szCs w:val="32"/>
        </w:rPr>
      </w:pPr>
      <w:r>
        <w:rPr>
          <w:rFonts w:hint="eastAsia" w:ascii="仿宋" w:hAnsi="仿宋" w:eastAsia="仿宋" w:cs="Times New Roman"/>
          <w:sz w:val="32"/>
          <w:szCs w:val="32"/>
        </w:rPr>
        <w:t>三是实施演出（放映）。各剧团、市电影公司按照演出（放映）计划和要求，组织人员赴指定地点演出（放映）。电影放映结束后，放映员填制</w:t>
      </w:r>
      <w:r>
        <w:rPr>
          <w:rFonts w:hint="eastAsia" w:ascii="仿宋" w:hAnsi="仿宋" w:eastAsia="仿宋" w:cs="仿宋"/>
          <w:sz w:val="32"/>
          <w:szCs w:val="32"/>
        </w:rPr>
        <w:t>电影放映回执单，并附2张现场照片，经所在社区签章认可后，作为放映验收依据。</w:t>
      </w:r>
    </w:p>
    <w:p>
      <w:pPr>
        <w:topLinePunct/>
        <w:spacing w:line="560" w:lineRule="exact"/>
        <w:ind w:firstLine="640" w:firstLineChars="200"/>
        <w:rPr>
          <w:rFonts w:ascii="仿宋" w:hAnsi="仿宋" w:eastAsia="仿宋" w:cs="Times New Roman"/>
          <w:bCs/>
          <w:sz w:val="32"/>
          <w:szCs w:val="32"/>
        </w:rPr>
      </w:pPr>
      <w:r>
        <w:rPr>
          <w:rFonts w:hint="eastAsia" w:ascii="仿宋" w:hAnsi="仿宋" w:eastAsia="仿宋" w:cs="Times New Roman"/>
          <w:sz w:val="32"/>
          <w:szCs w:val="32"/>
        </w:rPr>
        <w:t>四是组织验收考核。市委宣传部、</w:t>
      </w:r>
      <w:r>
        <w:rPr>
          <w:rFonts w:hint="eastAsia" w:ascii="仿宋" w:hAnsi="仿宋" w:eastAsia="仿宋" w:cs="仿宋"/>
          <w:sz w:val="32"/>
          <w:szCs w:val="32"/>
        </w:rPr>
        <w:t>市文旅广体局成立了送戏下乡、周末广场电影项目监督检查工作组，采取定期、不定期方式，对送戏下乡、周末广场电影项目实施监督检查。周末广场电影项目还在每个放映点设立了监督员，电影放映结束后，由监督员按要求对放映时间、影片内容、放映质量等进行监督，并征求观众意见。</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四、绩效评价工作情况</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（一）绩效评价目的</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开展送戏下乡、周末广场电影项目绩效评价，全面了解、分析该项目资金分配、使用及管理等情况，督促项目单位进一步完善项目申报、实施等程序，规范资金分配、使用及管理，切实提高财政资金使用效益。</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（二）绩效评价工作过程</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相关政策规定和《通知》文件要求，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仿宋_GB2312"/>
          <w:sz w:val="32"/>
          <w:szCs w:val="32"/>
        </w:rPr>
        <w:t>五、</w:t>
      </w:r>
      <w:r>
        <w:rPr>
          <w:rFonts w:hint="eastAsia" w:ascii="黑体" w:hAnsi="黑体" w:eastAsia="黑体" w:cs="Times New Roman"/>
          <w:bCs/>
          <w:sz w:val="32"/>
          <w:szCs w:val="32"/>
        </w:rPr>
        <w:t>绩效评价结果和主要绩效</w:t>
      </w:r>
    </w:p>
    <w:p>
      <w:pPr>
        <w:topLinePunct/>
        <w:spacing w:line="560" w:lineRule="exact"/>
        <w:ind w:firstLine="640" w:firstLineChars="200"/>
        <w:rPr>
          <w:rFonts w:ascii="仿宋" w:hAnsi="仿宋" w:eastAsia="仿宋" w:cs="Times New Roman"/>
          <w:color w:val="FF0000"/>
          <w:sz w:val="32"/>
          <w:szCs w:val="32"/>
        </w:rPr>
      </w:pPr>
      <w:r>
        <w:rPr>
          <w:rFonts w:hint="eastAsia" w:ascii="仿宋" w:hAnsi="仿宋" w:eastAsia="仿宋" w:cs="Times New Roman"/>
          <w:sz w:val="32"/>
          <w:szCs w:val="32"/>
        </w:rPr>
        <w:t>根据该项目资金绩效评价指标体系和绩效检查情况，该项目整体绩效分值100分，实得90分。主要绩效表现在：通过开展送戏下乡活动，将益阳人民特别是中老年朋友喜闻乐见的花鼓戏送到城乡居民家门口，每一处演出，花鼓戏迷们都争相观看，场场爆满，人山人海。在市中心城区设立周末电影放映点，丰富了进城务工、城乡低收入等人员文化生活，通过精选充满正能量的影片，让人民群众了解党的历史，教育人民热爱党、热爱祖国，珍惜来之不易的幸福生活。同时，通过送戏下乡活动，让一度陷入低谷的花鼓艺术重焕生机，有效推动了地方文化发展，融洽了党群干群关系，群众满意度较高。</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六、存在的主要问题</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绩效目标编制不够规范。在编制部门预算绩效目标时，指标设定还需更全面、更科学，要进一步合理设置指标值，逐步改进定性指标使用较多，定量指标使命较少的状况。</w:t>
      </w:r>
    </w:p>
    <w:p>
      <w:pPr>
        <w:topLinePunct/>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640" w:firstLineChars="200"/>
        <w:rPr>
          <w:rFonts w:ascii="仿宋" w:hAnsi="仿宋" w:eastAsia="仿宋" w:cs="Times New Roman"/>
          <w:sz w:val="32"/>
          <w:szCs w:val="32"/>
        </w:rPr>
      </w:pPr>
    </w:p>
    <w:p>
      <w:pPr>
        <w:topLinePunct/>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4160" w:firstLineChars="1300"/>
        <w:rPr>
          <w:rFonts w:ascii="仿宋" w:hAnsi="仿宋" w:eastAsia="仿宋" w:cs="Times New Roman"/>
          <w:sz w:val="32"/>
          <w:szCs w:val="32"/>
        </w:rPr>
      </w:pPr>
      <w:r>
        <w:rPr>
          <w:rFonts w:hint="eastAsia" w:ascii="仿宋" w:hAnsi="仿宋" w:eastAsia="仿宋" w:cs="Times New Roman"/>
          <w:sz w:val="32"/>
          <w:szCs w:val="32"/>
        </w:rPr>
        <w:t>益阳市文化旅游广电体育局</w:t>
      </w:r>
    </w:p>
    <w:p>
      <w:pPr>
        <w:topLinePunct/>
        <w:spacing w:line="56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2021年4月15日</w:t>
      </w:r>
    </w:p>
    <w:p>
      <w:pPr>
        <w:topLinePunct/>
        <w:spacing w:line="560" w:lineRule="exact"/>
        <w:ind w:firstLine="5120" w:firstLineChars="1600"/>
        <w:rPr>
          <w:rFonts w:ascii="仿宋" w:hAnsi="仿宋" w:eastAsia="仿宋" w:cs="Times New Roman"/>
          <w:sz w:val="32"/>
          <w:szCs w:val="32"/>
        </w:rPr>
      </w:pPr>
    </w:p>
    <w:p>
      <w:pPr>
        <w:topLinePunct/>
        <w:spacing w:line="560" w:lineRule="exact"/>
        <w:ind w:firstLine="5120" w:firstLineChars="1600"/>
        <w:rPr>
          <w:rFonts w:ascii="仿宋" w:hAnsi="仿宋" w:eastAsia="仿宋" w:cs="Times New Roman"/>
          <w:sz w:val="32"/>
          <w:szCs w:val="32"/>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topLinePunct/>
        <w:spacing w:line="560" w:lineRule="exact"/>
        <w:jc w:val="center"/>
        <w:rPr>
          <w:rFonts w:ascii="黑体" w:hAnsi="黑体" w:eastAsia="黑体" w:cs="Times New Roman"/>
          <w:sz w:val="36"/>
          <w:szCs w:val="36"/>
        </w:rPr>
      </w:pPr>
    </w:p>
    <w:p>
      <w:pPr>
        <w:spacing w:line="600" w:lineRule="exact"/>
        <w:jc w:val="center"/>
        <w:rPr>
          <w:rFonts w:hint="eastAsia" w:ascii="方正小标宋简体" w:eastAsia="方正小标宋简体" w:cs="Times New Roman"/>
          <w:kern w:val="0"/>
          <w:sz w:val="36"/>
          <w:szCs w:val="36"/>
        </w:rPr>
      </w:pPr>
      <w:r>
        <w:rPr>
          <w:rFonts w:ascii="方正小标宋简体" w:eastAsia="方正小标宋简体" w:cs="Times New Roman"/>
          <w:kern w:val="0"/>
          <w:sz w:val="36"/>
          <w:szCs w:val="36"/>
        </w:rPr>
        <w:t>2020年度项目支出绩效自评表</w:t>
      </w:r>
    </w:p>
    <w:p>
      <w:pPr>
        <w:spacing w:line="240" w:lineRule="exact"/>
        <w:jc w:val="center"/>
        <w:rPr>
          <w:rFonts w:hint="eastAsia" w:ascii="方正小标宋简体" w:eastAsia="方正小标宋简体" w:cs="Times New Roman"/>
          <w:kern w:val="0"/>
          <w:sz w:val="36"/>
          <w:szCs w:val="36"/>
        </w:rPr>
      </w:pPr>
    </w:p>
    <w:p>
      <w:pPr>
        <w:spacing w:line="240" w:lineRule="exact"/>
        <w:jc w:val="center"/>
        <w:rPr>
          <w:rFonts w:ascii="方正小标宋简体" w:eastAsia="方正小标宋简体" w:cs="Times New Roman"/>
          <w:kern w:val="0"/>
          <w:sz w:val="36"/>
          <w:szCs w:val="36"/>
        </w:rPr>
      </w:pPr>
    </w:p>
    <w:tbl>
      <w:tblPr>
        <w:tblStyle w:val="9"/>
        <w:tblW w:w="10001" w:type="dxa"/>
        <w:jc w:val="center"/>
        <w:tblLayout w:type="autofit"/>
        <w:tblCellMar>
          <w:top w:w="0" w:type="dxa"/>
          <w:left w:w="108" w:type="dxa"/>
          <w:bottom w:w="0" w:type="dxa"/>
          <w:right w:w="108" w:type="dxa"/>
        </w:tblCellMar>
      </w:tblPr>
      <w:tblGrid>
        <w:gridCol w:w="1080"/>
        <w:gridCol w:w="1080"/>
        <w:gridCol w:w="1080"/>
        <w:gridCol w:w="1155"/>
        <w:gridCol w:w="1276"/>
        <w:gridCol w:w="1061"/>
        <w:gridCol w:w="828"/>
        <w:gridCol w:w="873"/>
        <w:gridCol w:w="1568"/>
      </w:tblGrid>
      <w:tr>
        <w:tblPrEx>
          <w:tblCellMar>
            <w:top w:w="0" w:type="dxa"/>
            <w:left w:w="108" w:type="dxa"/>
            <w:bottom w:w="0" w:type="dxa"/>
            <w:right w:w="108" w:type="dxa"/>
          </w:tblCellMar>
        </w:tblPrEx>
        <w:trPr>
          <w:trHeight w:val="318"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项目名称</w:t>
            </w:r>
          </w:p>
        </w:tc>
        <w:tc>
          <w:tcPr>
            <w:tcW w:w="8921" w:type="dxa"/>
            <w:gridSpan w:val="8"/>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送戏下乡、演艺惠民及周末广场电影专项资金</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主管部门</w:t>
            </w:r>
          </w:p>
        </w:tc>
        <w:tc>
          <w:tcPr>
            <w:tcW w:w="4591" w:type="dxa"/>
            <w:gridSpan w:val="4"/>
            <w:tcBorders>
              <w:top w:val="single" w:color="auto" w:sz="4" w:space="0"/>
              <w:left w:val="nil"/>
              <w:bottom w:val="single" w:color="auto" w:sz="4" w:space="0"/>
              <w:right w:val="single" w:color="auto" w:sz="4" w:space="0"/>
            </w:tcBorders>
            <w:vAlign w:val="center"/>
          </w:tcPr>
          <w:p>
            <w:pPr>
              <w:widowControl/>
              <w:ind w:firstLine="1050" w:firstLineChars="500"/>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益阳市委宣传部</w:t>
            </w:r>
          </w:p>
        </w:tc>
        <w:tc>
          <w:tcPr>
            <w:tcW w:w="1061" w:type="dxa"/>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实施单位</w:t>
            </w:r>
          </w:p>
        </w:tc>
        <w:tc>
          <w:tcPr>
            <w:tcW w:w="3269"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市文旅广体局、市电影公司</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项目资金</w:t>
            </w:r>
            <w:r>
              <w:rPr>
                <w:rFonts w:ascii="Times New Roman" w:hAnsi="Times New Roman" w:eastAsia="仿宋_GB2312" w:cs="Times New Roman"/>
                <w:color w:val="000000"/>
                <w:kern w:val="0"/>
              </w:rPr>
              <w:br w:type="textWrapping"/>
            </w:r>
            <w:r>
              <w:rPr>
                <w:rFonts w:ascii="Times New Roman" w:hAnsi="Times New Roman" w:eastAsia="仿宋_GB2312" w:cs="Times New Roman"/>
                <w:color w:val="000000"/>
                <w:kern w:val="0"/>
              </w:rPr>
              <w:t>（万元）</w:t>
            </w: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5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年初</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预算数</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全年</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预算数</w:t>
            </w:r>
          </w:p>
        </w:tc>
        <w:tc>
          <w:tcPr>
            <w:tcW w:w="1061"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rPr>
            </w:pPr>
            <w:r>
              <w:rPr>
                <w:rFonts w:ascii="Times New Roman" w:hAnsi="Times New Roman" w:eastAsia="仿宋_GB2312" w:cs="Times New Roman"/>
              </w:rPr>
              <w:t>全年</w:t>
            </w:r>
          </w:p>
          <w:p>
            <w:pPr>
              <w:spacing w:line="240" w:lineRule="exact"/>
              <w:jc w:val="center"/>
              <w:rPr>
                <w:rFonts w:ascii="Times New Roman" w:hAnsi="Times New Roman" w:eastAsia="仿宋_GB2312" w:cs="Times New Roman"/>
              </w:rPr>
            </w:pPr>
            <w:r>
              <w:rPr>
                <w:rFonts w:ascii="Times New Roman" w:hAnsi="Times New Roman" w:eastAsia="仿宋_GB2312" w:cs="Times New Roman"/>
              </w:rPr>
              <w:t>执行数</w:t>
            </w:r>
          </w:p>
        </w:tc>
        <w:tc>
          <w:tcPr>
            <w:tcW w:w="828"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分值</w:t>
            </w:r>
          </w:p>
        </w:tc>
        <w:tc>
          <w:tcPr>
            <w:tcW w:w="873"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执行率</w:t>
            </w:r>
          </w:p>
        </w:tc>
        <w:tc>
          <w:tcPr>
            <w:tcW w:w="1568"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年度资金总额　</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235</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235</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227.33</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96.7%</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其中：当年财政拨款　</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235</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235</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227.33</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96.7%</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上年结转资金　</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其他资金</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年度总体目标</w:t>
            </w:r>
          </w:p>
        </w:tc>
        <w:tc>
          <w:tcPr>
            <w:tcW w:w="4591"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预期目标</w:t>
            </w:r>
          </w:p>
        </w:tc>
        <w:tc>
          <w:tcPr>
            <w:tcW w:w="4330"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4591" w:type="dxa"/>
            <w:gridSpan w:val="4"/>
            <w:tcBorders>
              <w:top w:val="single" w:color="auto" w:sz="4" w:space="0"/>
              <w:left w:val="nil"/>
              <w:bottom w:val="single" w:color="auto" w:sz="4" w:space="0"/>
              <w:right w:val="single" w:color="000000" w:sz="4" w:space="0"/>
            </w:tcBorders>
            <w:vAlign w:val="center"/>
          </w:tcPr>
          <w:p>
            <w:pPr>
              <w:widowControl/>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送戏下乡300场次、周末广场电影1000场次</w:t>
            </w:r>
          </w:p>
        </w:tc>
        <w:tc>
          <w:tcPr>
            <w:tcW w:w="4330"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送戏下乡300场、周末广场电影1068场</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绩</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一级指标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二级指标</w:t>
            </w:r>
          </w:p>
        </w:tc>
        <w:tc>
          <w:tcPr>
            <w:tcW w:w="115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三级指标</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指标值</w:t>
            </w:r>
          </w:p>
        </w:tc>
        <w:tc>
          <w:tcPr>
            <w:tcW w:w="106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实际</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完成值</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得分</w:t>
            </w:r>
          </w:p>
        </w:tc>
        <w:tc>
          <w:tcPr>
            <w:tcW w:w="156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产出指标</w:t>
            </w:r>
          </w:p>
          <w:p>
            <w:pPr>
              <w:widowControl/>
              <w:jc w:val="center"/>
              <w:rPr>
                <w:rFonts w:ascii="Times New Roman" w:hAnsi="Times New Roman" w:eastAsia="仿宋_GB2312" w:cs="Times New Roman"/>
                <w:color w:val="000000"/>
                <w:kern w:val="0"/>
              </w:rPr>
            </w:pP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(50分)</w:t>
            </w: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数量指标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送戏300</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300</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电影1000</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1068</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质量指标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演出质量</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良好</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8</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7</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放映质量</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良好</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7</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时效指标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全年</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全年</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single" w:color="auto" w:sz="4" w:space="0"/>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成本指标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场次补贴</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5000元</w:t>
            </w:r>
            <w:r>
              <w:rPr>
                <w:rFonts w:hint="eastAsia" w:ascii="仿宋" w:hAnsi="仿宋" w:eastAsia="仿宋" w:cs="Times New Roman"/>
                <w:color w:val="000000"/>
                <w:kern w:val="0"/>
              </w:rPr>
              <w:t>∕</w:t>
            </w:r>
            <w:r>
              <w:rPr>
                <w:rFonts w:hint="eastAsia" w:ascii="Times New Roman" w:hAnsi="Times New Roman" w:eastAsia="仿宋_GB2312" w:cs="Times New Roman"/>
                <w:color w:val="000000"/>
                <w:kern w:val="0"/>
              </w:rPr>
              <w:t>场</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设备折旧</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5</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4</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效益指标</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（30分）</w:t>
            </w: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经济效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公益项目</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社会效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丰富人民群众文化生活需要</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95%</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30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25</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生态效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绩</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标</w:t>
            </w:r>
          </w:p>
        </w:tc>
        <w:tc>
          <w:tcPr>
            <w:tcW w:w="1080"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p>
            <w:pPr>
              <w:jc w:val="center"/>
              <w:rPr>
                <w:rFonts w:ascii="Times New Roman" w:hAnsi="Times New Roman" w:eastAsia="仿宋_GB2312" w:cs="Times New Roman"/>
                <w:color w:val="000000"/>
                <w:kern w:val="0"/>
              </w:rPr>
            </w:pPr>
          </w:p>
        </w:tc>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可持续影响指标</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演艺惠民</w:t>
            </w:r>
          </w:p>
        </w:tc>
        <w:tc>
          <w:tcPr>
            <w:tcW w:w="106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kern w:val="0"/>
              </w:rPr>
            </w:pPr>
          </w:p>
        </w:tc>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6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仿宋_GB2312" w:cs="Times New Roman"/>
                <w:color w:val="000000"/>
                <w:kern w:val="0"/>
              </w:rPr>
            </w:pPr>
            <w:r>
              <w:rPr>
                <w:rFonts w:ascii="Times New Roman" w:hAnsi="Times New Roman" w:eastAsia="仿宋_GB2312" w:cs="Times New Roman"/>
                <w:color w:val="000000"/>
                <w:kern w:val="0"/>
              </w:rPr>
              <w:t>满意度</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w:t>
            </w:r>
          </w:p>
          <w:p>
            <w:pPr>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（10分）</w:t>
            </w:r>
          </w:p>
        </w:tc>
        <w:tc>
          <w:tcPr>
            <w:tcW w:w="1080" w:type="dxa"/>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服务对象满意度指标</w:t>
            </w:r>
          </w:p>
        </w:tc>
        <w:tc>
          <w:tcPr>
            <w:tcW w:w="115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276" w:type="dxa"/>
            <w:tcBorders>
              <w:top w:val="nil"/>
              <w:left w:val="nil"/>
              <w:bottom w:val="single" w:color="auto" w:sz="4" w:space="0"/>
              <w:right w:val="single" w:color="auto" w:sz="4" w:space="0"/>
            </w:tcBorders>
            <w:vAlign w:val="center"/>
          </w:tcPr>
          <w:p>
            <w:pPr>
              <w:spacing w:line="300" w:lineRule="exact"/>
              <w:jc w:val="center"/>
              <w:rPr>
                <w:rFonts w:ascii="仿宋" w:hAnsi="仿宋" w:eastAsia="仿宋"/>
              </w:rPr>
            </w:pPr>
            <w:r>
              <w:rPr>
                <w:rFonts w:hint="eastAsia" w:ascii="仿宋" w:hAnsi="仿宋" w:eastAsia="仿宋"/>
              </w:rPr>
              <w:t>群众满意度调查</w:t>
            </w:r>
          </w:p>
        </w:tc>
        <w:tc>
          <w:tcPr>
            <w:tcW w:w="1061" w:type="dxa"/>
            <w:tcBorders>
              <w:top w:val="nil"/>
              <w:left w:val="nil"/>
              <w:bottom w:val="single" w:color="auto" w:sz="4" w:space="0"/>
              <w:right w:val="single" w:color="auto" w:sz="4" w:space="0"/>
            </w:tcBorders>
            <w:vAlign w:val="center"/>
          </w:tcPr>
          <w:p>
            <w:pPr>
              <w:spacing w:line="300" w:lineRule="exact"/>
              <w:jc w:val="center"/>
              <w:rPr>
                <w:rFonts w:ascii="仿宋" w:hAnsi="仿宋" w:eastAsia="仿宋"/>
              </w:rPr>
            </w:pPr>
            <w:r>
              <w:rPr>
                <w:rFonts w:hint="eastAsia" w:ascii="仿宋" w:hAnsi="仿宋" w:eastAsia="仿宋"/>
              </w:rPr>
              <w:t>95%以上</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总分</w:t>
            </w:r>
          </w:p>
        </w:tc>
        <w:tc>
          <w:tcPr>
            <w:tcW w:w="8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100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90</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bl>
    <w:p>
      <w:pPr>
        <w:topLinePunct/>
        <w:spacing w:line="560" w:lineRule="exact"/>
        <w:rPr>
          <w:rFonts w:hint="eastAsia" w:ascii="Times New Roman" w:hAnsi="Times New Roman" w:eastAsia="仿宋_GB2312" w:cs="Times New Roman"/>
          <w:kern w:val="0"/>
          <w:sz w:val="22"/>
          <w:szCs w:val="22"/>
        </w:rPr>
      </w:pPr>
      <w:r>
        <w:rPr>
          <w:rFonts w:ascii="Times New Roman" w:hAnsi="Times New Roman" w:eastAsia="仿宋_GB2312" w:cs="Times New Roman"/>
          <w:kern w:val="0"/>
          <w:sz w:val="22"/>
          <w:szCs w:val="22"/>
        </w:rPr>
        <w:t>填表人：</w:t>
      </w:r>
      <w:r>
        <w:rPr>
          <w:rFonts w:hint="eastAsia" w:ascii="Times New Roman" w:hAnsi="Times New Roman" w:eastAsia="仿宋_GB2312" w:cs="Times New Roman"/>
          <w:kern w:val="0"/>
          <w:sz w:val="22"/>
          <w:szCs w:val="22"/>
        </w:rPr>
        <w:t>龚菱芳</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填报日期：</w:t>
      </w:r>
      <w:r>
        <w:rPr>
          <w:rFonts w:hint="eastAsia" w:ascii="Times New Roman" w:hAnsi="Times New Roman" w:eastAsia="仿宋_GB2312" w:cs="Times New Roman"/>
          <w:kern w:val="0"/>
          <w:sz w:val="22"/>
          <w:szCs w:val="22"/>
        </w:rPr>
        <w:t>2021年4月15日</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bookmarkStart w:id="0" w:name="_GoBack"/>
      <w:bookmarkEnd w:id="0"/>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 xml:space="preserve"> 联系电话：</w:t>
      </w:r>
      <w:r>
        <w:rPr>
          <w:rFonts w:hint="eastAsia" w:ascii="Times New Roman" w:hAnsi="Times New Roman" w:eastAsia="仿宋_GB2312" w:cs="Times New Roman"/>
          <w:kern w:val="0"/>
          <w:sz w:val="22"/>
          <w:szCs w:val="22"/>
          <w:lang w:val="en-US" w:eastAsia="zh-CN"/>
        </w:rPr>
        <w:t>0737-4383310</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 xml:space="preserve">        </w:t>
      </w:r>
    </w:p>
    <w:p>
      <w:pPr>
        <w:topLinePunct/>
        <w:spacing w:line="560" w:lineRule="exact"/>
        <w:rPr>
          <w:rFonts w:ascii="宋体" w:cs="Times New Roman"/>
          <w:spacing w:val="16"/>
          <w:sz w:val="24"/>
          <w:szCs w:val="24"/>
        </w:rPr>
      </w:pPr>
      <w:r>
        <w:rPr>
          <w:rFonts w:ascii="Times New Roman" w:hAnsi="Times New Roman" w:eastAsia="仿宋_GB2312" w:cs="Times New Roman"/>
          <w:kern w:val="0"/>
          <w:sz w:val="22"/>
          <w:szCs w:val="22"/>
        </w:rPr>
        <w:t>单位负责人签字：</w:t>
      </w:r>
    </w:p>
    <w:sectPr>
      <w:headerReference r:id="rId3" w:type="default"/>
      <w:footerReference r:id="rId4" w:type="default"/>
      <w:pgSz w:w="11906" w:h="16838"/>
      <w:pgMar w:top="1440" w:right="1803" w:bottom="1712"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Fonts w:cs="Calibri"/>
      </w:rPr>
      <w:fldChar w:fldCharType="begin"/>
    </w:r>
    <w:r>
      <w:rPr>
        <w:rStyle w:val="12"/>
        <w:rFonts w:cs="Calibri"/>
      </w:rPr>
      <w:instrText xml:space="preserve">PAGE  </w:instrText>
    </w:r>
    <w:r>
      <w:rPr>
        <w:rStyle w:val="12"/>
        <w:rFonts w:cs="Calibri"/>
      </w:rPr>
      <w:fldChar w:fldCharType="separate"/>
    </w:r>
    <w:r>
      <w:rPr>
        <w:rStyle w:val="12"/>
        <w:rFonts w:cs="Calibri"/>
      </w:rPr>
      <w:t>1</w:t>
    </w:r>
    <w:r>
      <w:rPr>
        <w:rStyle w:val="12"/>
        <w:rFonts w:cs="Calibri"/>
      </w:rPr>
      <w:fldChar w:fldCharType="end"/>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HorizontalSpacing w:val="105"/>
  <w:drawingGridVerticalSpacing w:val="319"/>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64B6"/>
    <w:rsid w:val="0022127B"/>
    <w:rsid w:val="00226508"/>
    <w:rsid w:val="0024254A"/>
    <w:rsid w:val="002502C6"/>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C3"/>
    <w:rsid w:val="005B3509"/>
    <w:rsid w:val="005B6A07"/>
    <w:rsid w:val="005C0127"/>
    <w:rsid w:val="005C0F91"/>
    <w:rsid w:val="005C44D4"/>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1585"/>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80C5E6F"/>
    <w:rsid w:val="0A2E39AB"/>
    <w:rsid w:val="0B7429CF"/>
    <w:rsid w:val="0E2222D5"/>
    <w:rsid w:val="0F5C4DD4"/>
    <w:rsid w:val="100D5FC3"/>
    <w:rsid w:val="10CA4351"/>
    <w:rsid w:val="133D6DAA"/>
    <w:rsid w:val="14E84921"/>
    <w:rsid w:val="155D1885"/>
    <w:rsid w:val="15D05CE2"/>
    <w:rsid w:val="191463A8"/>
    <w:rsid w:val="1FF31D2D"/>
    <w:rsid w:val="20227927"/>
    <w:rsid w:val="26616061"/>
    <w:rsid w:val="29B80CEA"/>
    <w:rsid w:val="2A016BE6"/>
    <w:rsid w:val="2A0B5232"/>
    <w:rsid w:val="2A85052F"/>
    <w:rsid w:val="2AA645E2"/>
    <w:rsid w:val="2AFB4E94"/>
    <w:rsid w:val="2BA325DC"/>
    <w:rsid w:val="30DD6AE1"/>
    <w:rsid w:val="340B6910"/>
    <w:rsid w:val="3EE01594"/>
    <w:rsid w:val="3FE647F5"/>
    <w:rsid w:val="421A0655"/>
    <w:rsid w:val="465D16AD"/>
    <w:rsid w:val="494A239B"/>
    <w:rsid w:val="4E57277B"/>
    <w:rsid w:val="52D3569F"/>
    <w:rsid w:val="541152B4"/>
    <w:rsid w:val="54EA2DFC"/>
    <w:rsid w:val="57B3191D"/>
    <w:rsid w:val="5A311DB8"/>
    <w:rsid w:val="5B832F76"/>
    <w:rsid w:val="61264A0C"/>
    <w:rsid w:val="6A2A7555"/>
    <w:rsid w:val="6AAD19CD"/>
    <w:rsid w:val="6AC912D5"/>
    <w:rsid w:val="6E4865DB"/>
    <w:rsid w:val="6E52728F"/>
    <w:rsid w:val="6EF634D5"/>
    <w:rsid w:val="702B0A44"/>
    <w:rsid w:val="725A50C6"/>
    <w:rsid w:val="740B2C95"/>
    <w:rsid w:val="766A54D2"/>
    <w:rsid w:val="76891469"/>
    <w:rsid w:val="77B12DBF"/>
    <w:rsid w:val="792E06D1"/>
    <w:rsid w:val="79B77CFF"/>
    <w:rsid w:val="7CAF6E6F"/>
    <w:rsid w:val="7D2C2C63"/>
    <w:rsid w:val="7D2F2564"/>
    <w:rsid w:val="7E272FAB"/>
    <w:rsid w:val="7EBF76E9"/>
    <w:rsid w:val="7FC76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unhideWhenUsed/>
    <w:uiPriority w:val="99"/>
    <w:pPr>
      <w:jc w:val="left"/>
    </w:pPr>
  </w:style>
  <w:style w:type="paragraph" w:styleId="3">
    <w:name w:val="Date"/>
    <w:basedOn w:val="1"/>
    <w:next w:val="1"/>
    <w:link w:val="19"/>
    <w:semiHidden/>
    <w:qFormat/>
    <w:uiPriority w:val="99"/>
    <w:pPr>
      <w:ind w:left="100" w:leftChars="2500"/>
    </w:pPr>
  </w:style>
  <w:style w:type="paragraph" w:styleId="4">
    <w:name w:val="Balloon Text"/>
    <w:basedOn w:val="1"/>
    <w:link w:val="20"/>
    <w:semiHidden/>
    <w:qFormat/>
    <w:uiPriority w:val="99"/>
    <w:rPr>
      <w:sz w:val="18"/>
      <w:szCs w:val="18"/>
    </w:rPr>
  </w:style>
  <w:style w:type="paragraph" w:styleId="5">
    <w:name w:val="footer"/>
    <w:basedOn w:val="1"/>
    <w:link w:val="21"/>
    <w:semiHidden/>
    <w:qFormat/>
    <w:uiPriority w:val="99"/>
    <w:pPr>
      <w:tabs>
        <w:tab w:val="center" w:pos="4153"/>
        <w:tab w:val="right" w:pos="8306"/>
      </w:tabs>
      <w:snapToGrid w:val="0"/>
      <w:jc w:val="left"/>
    </w:pPr>
    <w:rPr>
      <w:sz w:val="18"/>
      <w:szCs w:val="18"/>
    </w:rPr>
  </w:style>
  <w:style w:type="paragraph" w:styleId="6">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30"/>
    <w:semiHidden/>
    <w:unhideWhenUsed/>
    <w:uiPriority w:val="99"/>
    <w:rPr>
      <w:b/>
      <w:bCs/>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FollowedHyperlink"/>
    <w:basedOn w:val="11"/>
    <w:unhideWhenUsed/>
    <w:qFormat/>
    <w:uiPriority w:val="99"/>
    <w:rPr>
      <w:color w:val="800080"/>
      <w:u w:val="none"/>
    </w:rPr>
  </w:style>
  <w:style w:type="character" w:styleId="14">
    <w:name w:val="Emphasis"/>
    <w:basedOn w:val="11"/>
    <w:qFormat/>
    <w:locked/>
    <w:uiPriority w:val="0"/>
    <w:rPr>
      <w:rFonts w:ascii="宋体" w:hAnsi="宋体" w:eastAsia="宋体" w:cs="宋体"/>
      <w:sz w:val="18"/>
      <w:szCs w:val="18"/>
    </w:rPr>
  </w:style>
  <w:style w:type="character" w:styleId="15">
    <w:name w:val="Hyperlink"/>
    <w:basedOn w:val="11"/>
    <w:unhideWhenUsed/>
    <w:qFormat/>
    <w:uiPriority w:val="99"/>
    <w:rPr>
      <w:color w:val="0000FF"/>
      <w:u w:val="none"/>
    </w:rPr>
  </w:style>
  <w:style w:type="character" w:styleId="16">
    <w:name w:val="HTML Code"/>
    <w:basedOn w:val="11"/>
    <w:unhideWhenUsed/>
    <w:qFormat/>
    <w:uiPriority w:val="99"/>
    <w:rPr>
      <w:rFonts w:ascii="宋体" w:hAnsi="宋体" w:eastAsia="宋体" w:cs="宋体"/>
      <w:sz w:val="18"/>
      <w:szCs w:val="18"/>
    </w:rPr>
  </w:style>
  <w:style w:type="character" w:styleId="17">
    <w:name w:val="annotation reference"/>
    <w:basedOn w:val="11"/>
    <w:semiHidden/>
    <w:unhideWhenUsed/>
    <w:qFormat/>
    <w:uiPriority w:val="99"/>
    <w:rPr>
      <w:sz w:val="21"/>
      <w:szCs w:val="21"/>
    </w:rPr>
  </w:style>
  <w:style w:type="character" w:styleId="18">
    <w:name w:val="HTML Cite"/>
    <w:basedOn w:val="11"/>
    <w:unhideWhenUsed/>
    <w:qFormat/>
    <w:uiPriority w:val="99"/>
    <w:rPr>
      <w:rFonts w:ascii="宋体" w:hAnsi="宋体" w:eastAsia="宋体" w:cs="宋体"/>
      <w:sz w:val="18"/>
      <w:szCs w:val="18"/>
    </w:rPr>
  </w:style>
  <w:style w:type="character" w:customStyle="1" w:styleId="19">
    <w:name w:val="日期 Char"/>
    <w:basedOn w:val="11"/>
    <w:link w:val="3"/>
    <w:semiHidden/>
    <w:qFormat/>
    <w:locked/>
    <w:uiPriority w:val="99"/>
    <w:rPr>
      <w:rFonts w:cs="Times New Roman"/>
    </w:rPr>
  </w:style>
  <w:style w:type="character" w:customStyle="1" w:styleId="20">
    <w:name w:val="批注框文本 Char"/>
    <w:basedOn w:val="11"/>
    <w:link w:val="4"/>
    <w:semiHidden/>
    <w:qFormat/>
    <w:locked/>
    <w:uiPriority w:val="99"/>
    <w:rPr>
      <w:rFonts w:cs="Times New Roman"/>
      <w:sz w:val="18"/>
      <w:szCs w:val="18"/>
    </w:rPr>
  </w:style>
  <w:style w:type="character" w:customStyle="1" w:styleId="21">
    <w:name w:val="页脚 Char"/>
    <w:basedOn w:val="11"/>
    <w:link w:val="5"/>
    <w:semiHidden/>
    <w:qFormat/>
    <w:locked/>
    <w:uiPriority w:val="99"/>
    <w:rPr>
      <w:rFonts w:cs="Times New Roman"/>
      <w:sz w:val="18"/>
      <w:szCs w:val="18"/>
    </w:rPr>
  </w:style>
  <w:style w:type="character" w:customStyle="1" w:styleId="22">
    <w:name w:val="页眉 Char"/>
    <w:basedOn w:val="11"/>
    <w:link w:val="6"/>
    <w:semiHidden/>
    <w:qFormat/>
    <w:locked/>
    <w:uiPriority w:val="99"/>
    <w:rPr>
      <w:rFonts w:cs="Times New Roman"/>
      <w:sz w:val="18"/>
      <w:szCs w:val="18"/>
    </w:rPr>
  </w:style>
  <w:style w:type="paragraph" w:customStyle="1" w:styleId="23">
    <w:name w:val="List Paragraph1"/>
    <w:basedOn w:val="1"/>
    <w:qFormat/>
    <w:uiPriority w:val="99"/>
    <w:pPr>
      <w:ind w:firstLine="420" w:firstLineChars="200"/>
    </w:pPr>
  </w:style>
  <w:style w:type="paragraph" w:customStyle="1" w:styleId="24">
    <w:name w:val="char"/>
    <w:basedOn w:val="1"/>
    <w:qFormat/>
    <w:uiPriority w:val="99"/>
    <w:pPr>
      <w:widowControl/>
      <w:spacing w:after="160" w:line="240" w:lineRule="exact"/>
      <w:jc w:val="left"/>
    </w:pPr>
    <w:rPr>
      <w:rFonts w:cs="Times New Roman"/>
      <w:szCs w:val="22"/>
    </w:rPr>
  </w:style>
  <w:style w:type="character" w:customStyle="1" w:styleId="25">
    <w:name w:val="hover42"/>
    <w:basedOn w:val="11"/>
    <w:qFormat/>
    <w:uiPriority w:val="0"/>
    <w:rPr>
      <w:color w:val="000000"/>
      <w:shd w:val="clear" w:color="auto" w:fill="FFFFFF"/>
    </w:rPr>
  </w:style>
  <w:style w:type="character" w:customStyle="1" w:styleId="26">
    <w:name w:val="bsharetext"/>
    <w:basedOn w:val="11"/>
    <w:qFormat/>
    <w:uiPriority w:val="0"/>
  </w:style>
  <w:style w:type="paragraph" w:styleId="27">
    <w:name w:val="List Paragraph"/>
    <w:basedOn w:val="1"/>
    <w:unhideWhenUsed/>
    <w:qFormat/>
    <w:uiPriority w:val="99"/>
    <w:pPr>
      <w:ind w:firstLine="420" w:firstLineChars="200"/>
    </w:pPr>
  </w:style>
  <w:style w:type="character" w:customStyle="1" w:styleId="28">
    <w:name w:val="NormalCharacter"/>
    <w:semiHidden/>
    <w:qFormat/>
    <w:uiPriority w:val="0"/>
  </w:style>
  <w:style w:type="character" w:customStyle="1" w:styleId="29">
    <w:name w:val="批注文字 Char"/>
    <w:basedOn w:val="11"/>
    <w:link w:val="2"/>
    <w:semiHidden/>
    <w:uiPriority w:val="99"/>
    <w:rPr>
      <w:rFonts w:ascii="Calibri" w:hAnsi="Calibri" w:cs="Calibri"/>
      <w:kern w:val="2"/>
      <w:sz w:val="21"/>
      <w:szCs w:val="21"/>
    </w:rPr>
  </w:style>
  <w:style w:type="character" w:customStyle="1" w:styleId="30">
    <w:name w:val="批注主题 Char"/>
    <w:basedOn w:val="29"/>
    <w:link w:val="8"/>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D621E-A701-4728-94B7-0309DE5B7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501</Words>
  <Characters>2862</Characters>
  <Lines>23</Lines>
  <Paragraphs>6</Paragraphs>
  <TotalTime>0</TotalTime>
  <ScaleCrop>false</ScaleCrop>
  <LinksUpToDate>false</LinksUpToDate>
  <CharactersWithSpaces>3357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2020-04-29T07:11:00Z</dcterms:created>
  <dc:creator>Administrator</dc:creator>
  <cp:lastModifiedBy>小武子</cp:lastModifiedBy>
  <cp:lastPrinted>2021-04-14T03:48:00Z</cp:lastPrinted>
  <dcterms:modified xsi:type="dcterms:W3CDTF">2022-02-08T07:52:28Z</dcterms:modified>
  <dc:title>2015年益阳市司法局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