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spacing w:line="240" w:lineRule="exact"/>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益阳市文化旅游广电体育局</w:t>
      </w:r>
    </w:p>
    <w:p>
      <w:pPr>
        <w:jc w:val="center"/>
        <w:rPr>
          <w:rFonts w:hint="eastAsia" w:ascii="黑体" w:hAnsi="黑体" w:eastAsia="黑体" w:cs="黑体"/>
          <w:sz w:val="44"/>
          <w:szCs w:val="44"/>
        </w:rPr>
      </w:pPr>
      <w:r>
        <w:rPr>
          <w:rFonts w:ascii="黑体" w:hAnsi="黑体" w:eastAsia="黑体" w:cs="黑体"/>
          <w:sz w:val="44"/>
          <w:szCs w:val="44"/>
        </w:rPr>
        <w:t>20</w:t>
      </w:r>
      <w:r>
        <w:rPr>
          <w:rFonts w:hint="eastAsia" w:ascii="黑体" w:hAnsi="黑体" w:eastAsia="黑体" w:cs="黑体"/>
          <w:sz w:val="44"/>
          <w:szCs w:val="44"/>
        </w:rPr>
        <w:t>20年度体育产业发展引导资金</w:t>
      </w:r>
    </w:p>
    <w:p>
      <w:pPr>
        <w:jc w:val="center"/>
        <w:rPr>
          <w:rFonts w:ascii="黑体" w:hAnsi="黑体" w:eastAsia="黑体" w:cs="黑体"/>
          <w:sz w:val="44"/>
          <w:szCs w:val="44"/>
        </w:rPr>
      </w:pPr>
      <w:r>
        <w:rPr>
          <w:rFonts w:hint="eastAsia" w:ascii="黑体" w:hAnsi="黑体" w:eastAsia="黑体" w:cs="黑体"/>
          <w:sz w:val="44"/>
          <w:szCs w:val="44"/>
        </w:rPr>
        <w:t>绩效自评报告</w:t>
      </w:r>
    </w:p>
    <w:p>
      <w:pPr>
        <w:rPr>
          <w:rFonts w:ascii="仿宋" w:hAnsi="仿宋" w:eastAsia="仿宋" w:cs="仿宋_GB2312"/>
          <w:sz w:val="32"/>
          <w:szCs w:val="32"/>
        </w:rPr>
      </w:pPr>
    </w:p>
    <w:p>
      <w:pPr>
        <w:spacing w:line="560" w:lineRule="exact"/>
        <w:rPr>
          <w:rFonts w:ascii="仿宋" w:hAnsi="仿宋" w:eastAsia="仿宋" w:cs="仿宋_GB2312"/>
          <w:sz w:val="32"/>
          <w:szCs w:val="32"/>
        </w:rPr>
      </w:pPr>
      <w:r>
        <w:rPr>
          <w:rFonts w:hint="eastAsia" w:ascii="仿宋" w:hAnsi="仿宋" w:eastAsia="仿宋" w:cs="仿宋_GB2312"/>
          <w:sz w:val="32"/>
          <w:szCs w:val="32"/>
        </w:rPr>
        <w:t>益阳市财政局：</w:t>
      </w:r>
    </w:p>
    <w:p>
      <w:pPr>
        <w:spacing w:line="560" w:lineRule="exact"/>
        <w:jc w:val="lef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kern w:val="28"/>
          <w:sz w:val="32"/>
          <w:szCs w:val="32"/>
        </w:rPr>
        <w:t>为了加强财政支出管理，增强预算单位支出责任，根据《中共湖南省委办公厅湖南省人民政府办公厅关于全面实施预算绩效管理的实施意见》（湘办发〔2019〕10号）、</w:t>
      </w:r>
      <w:r>
        <w:rPr>
          <w:rFonts w:hint="eastAsia" w:ascii="仿宋" w:hAnsi="仿宋" w:eastAsia="仿宋" w:cs="仿宋_GB2312"/>
          <w:sz w:val="32"/>
          <w:szCs w:val="32"/>
        </w:rPr>
        <w:t>《益阳市财政局关于转发〈湖南省预算绩效管理工作规程（试行）〉的通知》（益财绩〔</w:t>
      </w:r>
      <w:r>
        <w:rPr>
          <w:rFonts w:ascii="仿宋" w:hAnsi="仿宋" w:eastAsia="仿宋" w:cs="仿宋_GB2312"/>
          <w:sz w:val="32"/>
          <w:szCs w:val="32"/>
        </w:rPr>
        <w:t>2014</w:t>
      </w:r>
      <w:r>
        <w:rPr>
          <w:rFonts w:hint="eastAsia" w:ascii="仿宋" w:hAnsi="仿宋" w:eastAsia="仿宋" w:cs="仿宋_GB2312"/>
          <w:sz w:val="32"/>
          <w:szCs w:val="32"/>
        </w:rPr>
        <w:t>〕</w:t>
      </w:r>
      <w:r>
        <w:rPr>
          <w:rFonts w:ascii="仿宋" w:hAnsi="仿宋" w:eastAsia="仿宋" w:cs="仿宋_GB2312"/>
          <w:sz w:val="32"/>
          <w:szCs w:val="32"/>
        </w:rPr>
        <w:t>126</w:t>
      </w:r>
      <w:r>
        <w:rPr>
          <w:rFonts w:hint="eastAsia" w:ascii="仿宋" w:hAnsi="仿宋" w:eastAsia="仿宋" w:cs="仿宋_GB2312"/>
          <w:sz w:val="32"/>
          <w:szCs w:val="32"/>
        </w:rPr>
        <w:t>号）、《益阳市财政局关于开展2020年度预算绩效自评工作的通知》等文件精神，我局组织对2020年度送戏下乡、演艺惠民及周末广场电影项目资金（以下简称该项目资金）开展了绩效自评。现将有关情况报告如下：</w:t>
      </w:r>
    </w:p>
    <w:p>
      <w:pPr>
        <w:topLinePunct/>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一、基本情况</w:t>
      </w:r>
    </w:p>
    <w:p>
      <w:pPr>
        <w:topLinePunct/>
        <w:spacing w:line="560" w:lineRule="exact"/>
        <w:ind w:firstLine="640" w:firstLineChars="200"/>
        <w:rPr>
          <w:rFonts w:ascii="仿宋" w:hAnsi="仿宋" w:eastAsia="仿宋" w:cs="Times New Roman"/>
          <w:sz w:val="32"/>
          <w:szCs w:val="32"/>
        </w:rPr>
      </w:pPr>
      <w:r>
        <w:rPr>
          <w:rFonts w:hint="eastAsia" w:ascii="楷体" w:hAnsi="楷体" w:eastAsia="楷体" w:cs="楷体"/>
          <w:sz w:val="32"/>
          <w:szCs w:val="32"/>
        </w:rPr>
        <w:t>（一）</w:t>
      </w:r>
      <w:r>
        <w:rPr>
          <w:rFonts w:hint="eastAsia" w:ascii="楷体" w:hAnsi="楷体" w:eastAsia="楷体" w:cs="Times New Roman"/>
          <w:sz w:val="32"/>
          <w:szCs w:val="32"/>
        </w:rPr>
        <w:t>项目单位基本情况</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Times New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实有人数46人，内设办公室、文艺科</w:t>
      </w:r>
      <w:r>
        <w:rPr>
          <w:rFonts w:hint="eastAsia" w:ascii="仿宋" w:hAnsi="仿宋" w:eastAsia="仿宋" w:cs="仿宋_GB2312"/>
          <w:sz w:val="32"/>
          <w:szCs w:val="32"/>
        </w:rPr>
        <w:t>等21个科室，</w:t>
      </w:r>
      <w:r>
        <w:rPr>
          <w:rFonts w:hint="eastAsia" w:ascii="仿宋" w:hAnsi="仿宋" w:eastAsia="仿宋" w:cs="Times New Roman"/>
          <w:sz w:val="32"/>
          <w:szCs w:val="32"/>
        </w:rPr>
        <w:t>下设市全民健身服务中心</w:t>
      </w:r>
      <w:r>
        <w:rPr>
          <w:rFonts w:hint="eastAsia" w:ascii="仿宋" w:hAnsi="仿宋" w:eastAsia="仿宋" w:cs="仿宋_GB2312"/>
          <w:sz w:val="32"/>
          <w:szCs w:val="32"/>
        </w:rPr>
        <w:t>等13个单位。</w:t>
      </w:r>
    </w:p>
    <w:p>
      <w:pPr>
        <w:topLinePunct/>
        <w:spacing w:line="560" w:lineRule="exact"/>
        <w:ind w:firstLine="640" w:firstLineChars="200"/>
        <w:rPr>
          <w:rFonts w:ascii="仿宋" w:hAnsi="仿宋" w:eastAsia="仿宋" w:cs="仿宋"/>
          <w:sz w:val="32"/>
          <w:szCs w:val="32"/>
        </w:rPr>
      </w:pPr>
      <w:r>
        <w:rPr>
          <w:rFonts w:hint="eastAsia" w:ascii="楷体" w:hAnsi="楷体" w:eastAsia="楷体" w:cs="Times New Roman"/>
          <w:sz w:val="32"/>
          <w:szCs w:val="32"/>
        </w:rPr>
        <w:t>（二）项目基本情况</w:t>
      </w:r>
    </w:p>
    <w:p>
      <w:pPr>
        <w:topLinePunct/>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根据《国务院关于加快发展体育产业促进体育消费若干意见》（国发﹝2014﹞46号）,《湖南省人民政府关于加快发展体育产业促进体育消费的实施意见》（湘政发〔2015〕41号）,《中共益阳市委 益阳市人民政府关于推进“运动益阳”建设 创建国家运动休闲城市的实施意见》（益发〔2017〕10号）等文件精神，设立体育产业发展引导资金，采取项目补贴、贷款贴息、购买服务等方式支持体育产业发展，支持范围包括体育竞赛表演活动；体育健身休闲活动；体育场馆服务、体育设施服务、体育中介服务、体育培训、体育人才聘用、体育管理服务、体育调查服务、体育传媒与信息服务、以及其他与体育相关的服务。2020年度市级预算拨付项目资金80万元。</w:t>
      </w:r>
    </w:p>
    <w:p>
      <w:pPr>
        <w:topLinePunct/>
        <w:spacing w:line="560" w:lineRule="exact"/>
        <w:ind w:firstLine="640" w:firstLineChars="200"/>
        <w:rPr>
          <w:rFonts w:hint="eastAsia" w:ascii="楷体" w:hAnsi="楷体" w:eastAsia="楷体" w:cs="仿宋"/>
          <w:sz w:val="32"/>
          <w:szCs w:val="32"/>
        </w:rPr>
      </w:pPr>
      <w:r>
        <w:rPr>
          <w:rFonts w:hint="eastAsia" w:ascii="楷体" w:hAnsi="楷体" w:eastAsia="楷体" w:cs="仿宋"/>
          <w:sz w:val="32"/>
          <w:szCs w:val="32"/>
        </w:rPr>
        <w:t>（三）绩效目标完成情况</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了落实《益阳全民健身实施计划（2016-2020年》，切实解决全民健身方面存在的困难，进一步加快发展我市体育产业，促进体育消费，推动经济发展，2020年体育产业发展引导资金80万元用于支持了31个社区和行政村全民健身路径（10+1型）和农民健身工程以及益阳社区男子篮球赛等重点体育项目。</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二、项目资金使用管理情况</w:t>
      </w:r>
    </w:p>
    <w:p>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2020年，市级预算共拨付该项目资金80万元，全民健身路径（10+1型）和农民健身工程共支出74.05万元，社区男子篮球赛共支出5万元。</w:t>
      </w:r>
    </w:p>
    <w:p>
      <w:pPr>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三、项目组织实施管理情况</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bCs/>
          <w:sz w:val="32"/>
          <w:szCs w:val="32"/>
        </w:rPr>
        <w:t>一是制定实施方案。年初，</w:t>
      </w:r>
      <w:r>
        <w:rPr>
          <w:rFonts w:hint="eastAsia" w:ascii="仿宋" w:hAnsi="仿宋" w:eastAsia="仿宋" w:cs="Times New Roman"/>
          <w:sz w:val="32"/>
          <w:szCs w:val="32"/>
        </w:rPr>
        <w:t>市文旅广体局制定当年全民健身路径分配方案及重点体育项目支持方案，在市财政局的指导和监督下实施。</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二是实行公开招标。按照年度计划，市文旅广体局组织对全民健身路径购置实行公开招标，与中标供应商签订合同，明确双方权利义务。</w:t>
      </w:r>
    </w:p>
    <w:p>
      <w:pPr>
        <w:topLinePunct/>
        <w:spacing w:line="560" w:lineRule="exact"/>
        <w:ind w:firstLine="640" w:firstLineChars="200"/>
        <w:rPr>
          <w:rFonts w:ascii="仿宋" w:hAnsi="仿宋" w:eastAsia="仿宋" w:cs="仿宋"/>
          <w:sz w:val="32"/>
          <w:szCs w:val="32"/>
        </w:rPr>
      </w:pPr>
      <w:r>
        <w:rPr>
          <w:rFonts w:hint="eastAsia" w:ascii="仿宋" w:hAnsi="仿宋" w:eastAsia="仿宋" w:cs="Times New Roman"/>
          <w:sz w:val="32"/>
          <w:szCs w:val="32"/>
        </w:rPr>
        <w:t>三是配送安装到位。按照分配方案将健身器材配送安装到位后，由社区或行政村</w:t>
      </w:r>
      <w:r>
        <w:rPr>
          <w:rFonts w:hint="eastAsia" w:ascii="仿宋" w:hAnsi="仿宋" w:eastAsia="仿宋" w:cs="仿宋"/>
          <w:sz w:val="32"/>
          <w:szCs w:val="32"/>
        </w:rPr>
        <w:t>签章认可作为验收依据。</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Times New Roman"/>
          <w:bCs/>
          <w:sz w:val="32"/>
          <w:szCs w:val="32"/>
        </w:rPr>
        <w:t>四、绩效评价工作情况</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（一）绩效评价目的</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通过开展体育产业发展引导资金绩效评价，全面了解、分析该项目资金分配、使用及管理等情况，督促项目单位进一步完善项目申报、实施等程序，规范资金分配、使用及管理，切实提高财政资金使用效益。</w:t>
      </w:r>
    </w:p>
    <w:p>
      <w:pPr>
        <w:topLinePunct/>
        <w:spacing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（二）绩效评价工作过程</w:t>
      </w:r>
    </w:p>
    <w:p>
      <w:pPr>
        <w:topLinePunct/>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按照相关政策规定和《通知》文件要求，我局抽调专人成立了绩效评价工作组，明确了工作职责，制定了绩效评价方案，明确了绩效评价时间，召开了相关会议，收集了相关资料，对照绩效评价内容逐条逐项组织开展自评，得出评价结论，形成绩效评价自评报告。</w:t>
      </w:r>
    </w:p>
    <w:p>
      <w:pPr>
        <w:topLinePunct/>
        <w:spacing w:line="560" w:lineRule="exact"/>
        <w:ind w:firstLine="640" w:firstLineChars="200"/>
        <w:rPr>
          <w:rFonts w:ascii="黑体" w:hAnsi="黑体" w:eastAsia="黑体" w:cs="Times New Roman"/>
          <w:bCs/>
          <w:sz w:val="32"/>
          <w:szCs w:val="32"/>
        </w:rPr>
      </w:pPr>
      <w:r>
        <w:rPr>
          <w:rFonts w:hint="eastAsia" w:ascii="黑体" w:hAnsi="黑体" w:eastAsia="黑体" w:cs="仿宋_GB2312"/>
          <w:sz w:val="32"/>
          <w:szCs w:val="32"/>
        </w:rPr>
        <w:t>五、</w:t>
      </w:r>
      <w:r>
        <w:rPr>
          <w:rFonts w:hint="eastAsia" w:ascii="黑体" w:hAnsi="黑体" w:eastAsia="黑体" w:cs="Times New Roman"/>
          <w:bCs/>
          <w:sz w:val="32"/>
          <w:szCs w:val="32"/>
        </w:rPr>
        <w:t>绩效评价结果和主要绩效</w:t>
      </w:r>
    </w:p>
    <w:p>
      <w:pPr>
        <w:topLinePunct/>
        <w:spacing w:line="5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根据该项目资金绩效评价指标体系和绩效检查情况，该项目整体绩效分值100分，实得98分。主要绩效表现在：通过组织开展中心城区社区男子篮球赛，充分展示了新时期广大社区居民昂扬向上的精神面貌，营造浓厚的社区健身氛围；通过支持社区和行政村的全民健身路径及农民健身工程，为全面落实全民健身国家战略和健康中国行动计划，广泛发动全社会参与全民运动健身模范市创建工作奠定基础。</w:t>
      </w:r>
    </w:p>
    <w:p>
      <w:pPr>
        <w:topLinePunct/>
        <w:spacing w:line="560" w:lineRule="exact"/>
        <w:ind w:firstLine="640" w:firstLineChars="200"/>
        <w:rPr>
          <w:rFonts w:ascii="黑体" w:hAnsi="黑体" w:eastAsia="黑体" w:cs="仿宋"/>
          <w:bCs/>
          <w:color w:val="000000"/>
          <w:sz w:val="32"/>
          <w:szCs w:val="32"/>
        </w:rPr>
      </w:pPr>
      <w:r>
        <w:rPr>
          <w:rFonts w:hint="eastAsia" w:ascii="黑体" w:hAnsi="黑体" w:eastAsia="黑体" w:cs="仿宋"/>
          <w:bCs/>
          <w:color w:val="000000"/>
          <w:sz w:val="32"/>
          <w:szCs w:val="32"/>
        </w:rPr>
        <w:t>六、存在的主要问题</w:t>
      </w:r>
    </w:p>
    <w:p>
      <w:pPr>
        <w:topLinePunct/>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绩效目标编制不够规范。在编制部门预算绩效目标时，指标设定还需更全面、更科学，要进一步合理设置指标值，逐步改进定性指标使用较多，定量指标使命较少的状况。</w:t>
      </w:r>
    </w:p>
    <w:p>
      <w:pPr>
        <w:topLinePunct/>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w:t>
      </w: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640" w:firstLineChars="200"/>
        <w:rPr>
          <w:rFonts w:ascii="仿宋" w:hAnsi="仿宋" w:eastAsia="仿宋" w:cs="Times New Roman"/>
          <w:sz w:val="32"/>
          <w:szCs w:val="32"/>
        </w:rPr>
      </w:pPr>
    </w:p>
    <w:p>
      <w:pPr>
        <w:topLinePunct/>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p>
    <w:p>
      <w:pPr>
        <w:topLinePunct/>
        <w:spacing w:line="560" w:lineRule="exact"/>
        <w:ind w:firstLine="4160" w:firstLineChars="1300"/>
        <w:rPr>
          <w:rFonts w:ascii="仿宋" w:hAnsi="仿宋" w:eastAsia="仿宋" w:cs="Times New Roman"/>
          <w:sz w:val="32"/>
          <w:szCs w:val="32"/>
        </w:rPr>
      </w:pPr>
      <w:r>
        <w:rPr>
          <w:rFonts w:hint="eastAsia" w:ascii="仿宋" w:hAnsi="仿宋" w:eastAsia="仿宋" w:cs="Times New Roman"/>
          <w:sz w:val="32"/>
          <w:szCs w:val="32"/>
        </w:rPr>
        <w:t>益阳市文化旅游广电体育局</w:t>
      </w:r>
    </w:p>
    <w:p>
      <w:pPr>
        <w:topLinePunct/>
        <w:spacing w:line="56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2021年4月15日</w:t>
      </w:r>
    </w:p>
    <w:p>
      <w:pPr>
        <w:topLinePunct/>
        <w:spacing w:line="560" w:lineRule="exact"/>
        <w:ind w:firstLine="5120" w:firstLineChars="1600"/>
        <w:rPr>
          <w:rFonts w:ascii="仿宋" w:hAnsi="仿宋" w:eastAsia="仿宋" w:cs="Times New Roman"/>
          <w:sz w:val="32"/>
          <w:szCs w:val="32"/>
        </w:rPr>
      </w:pPr>
    </w:p>
    <w:p>
      <w:pPr>
        <w:topLinePunct/>
        <w:spacing w:line="560" w:lineRule="exact"/>
        <w:ind w:firstLine="5120" w:firstLineChars="1600"/>
        <w:rPr>
          <w:rFonts w:ascii="仿宋" w:hAnsi="仿宋" w:eastAsia="仿宋" w:cs="Times New Roman"/>
          <w:sz w:val="32"/>
          <w:szCs w:val="32"/>
        </w:rPr>
      </w:pPr>
    </w:p>
    <w:p>
      <w:pPr>
        <w:topLinePunct/>
        <w:spacing w:line="560" w:lineRule="exact"/>
        <w:jc w:val="center"/>
        <w:rPr>
          <w:rFonts w:ascii="黑体" w:hAnsi="黑体" w:eastAsia="黑体" w:cs="Times New Roman"/>
          <w:sz w:val="36"/>
          <w:szCs w:val="36"/>
        </w:rPr>
      </w:pPr>
    </w:p>
    <w:p>
      <w:pPr>
        <w:spacing w:line="600" w:lineRule="exact"/>
        <w:jc w:val="center"/>
        <w:rPr>
          <w:rFonts w:hint="eastAsia" w:ascii="方正小标宋简体" w:eastAsia="方正小标宋简体" w:cs="Times New Roman"/>
          <w:kern w:val="0"/>
          <w:sz w:val="36"/>
          <w:szCs w:val="36"/>
        </w:rPr>
      </w:pPr>
    </w:p>
    <w:p>
      <w:pPr>
        <w:spacing w:line="600" w:lineRule="exact"/>
        <w:jc w:val="center"/>
        <w:rPr>
          <w:rFonts w:hint="eastAsia" w:ascii="方正小标宋简体" w:eastAsia="方正小标宋简体" w:cs="Times New Roman"/>
          <w:kern w:val="0"/>
          <w:sz w:val="36"/>
          <w:szCs w:val="36"/>
        </w:rPr>
      </w:pPr>
    </w:p>
    <w:p>
      <w:pPr>
        <w:spacing w:line="600" w:lineRule="exact"/>
        <w:jc w:val="center"/>
        <w:rPr>
          <w:rFonts w:ascii="方正小标宋简体" w:eastAsia="方正小标宋简体" w:cs="Times New Roman"/>
          <w:kern w:val="0"/>
          <w:sz w:val="36"/>
          <w:szCs w:val="36"/>
        </w:rPr>
      </w:pPr>
      <w:r>
        <w:rPr>
          <w:rFonts w:ascii="方正小标宋简体" w:eastAsia="方正小标宋简体" w:cs="Times New Roman"/>
          <w:kern w:val="0"/>
          <w:sz w:val="36"/>
          <w:szCs w:val="36"/>
        </w:rPr>
        <w:t>2020年度项目支出绩效自评表</w:t>
      </w:r>
    </w:p>
    <w:p>
      <w:pPr>
        <w:spacing w:line="240" w:lineRule="exact"/>
        <w:jc w:val="center"/>
        <w:rPr>
          <w:rFonts w:ascii="方正小标宋简体" w:eastAsia="方正小标宋简体" w:cs="Times New Roman"/>
          <w:kern w:val="0"/>
          <w:sz w:val="36"/>
          <w:szCs w:val="36"/>
        </w:rPr>
      </w:pPr>
    </w:p>
    <w:p>
      <w:pPr>
        <w:spacing w:line="240" w:lineRule="exact"/>
        <w:jc w:val="center"/>
        <w:rPr>
          <w:rFonts w:ascii="方正小标宋简体" w:eastAsia="方正小标宋简体" w:cs="Times New Roman"/>
          <w:kern w:val="0"/>
          <w:sz w:val="36"/>
          <w:szCs w:val="36"/>
        </w:rPr>
      </w:pPr>
    </w:p>
    <w:tbl>
      <w:tblPr>
        <w:tblStyle w:val="9"/>
        <w:tblW w:w="10001" w:type="dxa"/>
        <w:jc w:val="center"/>
        <w:tblLayout w:type="autofit"/>
        <w:tblCellMar>
          <w:top w:w="0" w:type="dxa"/>
          <w:left w:w="108" w:type="dxa"/>
          <w:bottom w:w="0" w:type="dxa"/>
          <w:right w:w="108" w:type="dxa"/>
        </w:tblCellMar>
      </w:tblPr>
      <w:tblGrid>
        <w:gridCol w:w="1080"/>
        <w:gridCol w:w="1080"/>
        <w:gridCol w:w="1080"/>
        <w:gridCol w:w="1013"/>
        <w:gridCol w:w="1560"/>
        <w:gridCol w:w="919"/>
        <w:gridCol w:w="828"/>
        <w:gridCol w:w="873"/>
        <w:gridCol w:w="1568"/>
      </w:tblGrid>
      <w:tr>
        <w:tblPrEx>
          <w:tblCellMar>
            <w:top w:w="0" w:type="dxa"/>
            <w:left w:w="108" w:type="dxa"/>
            <w:bottom w:w="0" w:type="dxa"/>
            <w:right w:w="108" w:type="dxa"/>
          </w:tblCellMar>
        </w:tblPrEx>
        <w:trPr>
          <w:trHeight w:val="318"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项目名称</w:t>
            </w:r>
          </w:p>
        </w:tc>
        <w:tc>
          <w:tcPr>
            <w:tcW w:w="8921" w:type="dxa"/>
            <w:gridSpan w:val="8"/>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体育产业发展引导资金</w:t>
            </w:r>
          </w:p>
        </w:tc>
      </w:tr>
      <w:tr>
        <w:tblPrEx>
          <w:tblCellMar>
            <w:top w:w="0" w:type="dxa"/>
            <w:left w:w="108" w:type="dxa"/>
            <w:bottom w:w="0" w:type="dxa"/>
            <w:right w:w="108" w:type="dxa"/>
          </w:tblCellMar>
        </w:tblPrEx>
        <w:trPr>
          <w:trHeight w:val="407" w:hRule="atLeast"/>
          <w:jc w:val="center"/>
        </w:trPr>
        <w:tc>
          <w:tcPr>
            <w:tcW w:w="108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主管部门</w:t>
            </w:r>
          </w:p>
        </w:tc>
        <w:tc>
          <w:tcPr>
            <w:tcW w:w="4733" w:type="dxa"/>
            <w:gridSpan w:val="4"/>
            <w:tcBorders>
              <w:top w:val="single" w:color="auto" w:sz="4" w:space="0"/>
              <w:left w:val="nil"/>
              <w:bottom w:val="single" w:color="auto" w:sz="4" w:space="0"/>
              <w:right w:val="single" w:color="auto" w:sz="4" w:space="0"/>
            </w:tcBorders>
            <w:vAlign w:val="center"/>
          </w:tcPr>
          <w:p>
            <w:pPr>
              <w:widowControl/>
              <w:ind w:firstLine="1050" w:firstLineChars="500"/>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益阳市委宣传部</w:t>
            </w:r>
          </w:p>
        </w:tc>
        <w:tc>
          <w:tcPr>
            <w:tcW w:w="919" w:type="dxa"/>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实施单位</w:t>
            </w:r>
          </w:p>
        </w:tc>
        <w:tc>
          <w:tcPr>
            <w:tcW w:w="3269"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市文旅广体局</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项目资金</w:t>
            </w:r>
            <w:r>
              <w:rPr>
                <w:rFonts w:ascii="Times New Roman" w:hAnsi="Times New Roman" w:eastAsia="仿宋_GB2312" w:cs="Times New Roman"/>
                <w:color w:val="000000"/>
                <w:kern w:val="0"/>
              </w:rPr>
              <w:br w:type="textWrapping"/>
            </w:r>
            <w:r>
              <w:rPr>
                <w:rFonts w:ascii="Times New Roman" w:hAnsi="Times New Roman" w:eastAsia="仿宋_GB2312" w:cs="Times New Roman"/>
                <w:color w:val="000000"/>
                <w:kern w:val="0"/>
              </w:rPr>
              <w:t>（万元）</w:t>
            </w: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01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年初</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预算数</w:t>
            </w: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全年</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预算数</w:t>
            </w:r>
          </w:p>
        </w:tc>
        <w:tc>
          <w:tcPr>
            <w:tcW w:w="91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rPr>
            </w:pPr>
            <w:r>
              <w:rPr>
                <w:rFonts w:ascii="Times New Roman" w:hAnsi="Times New Roman" w:eastAsia="仿宋_GB2312" w:cs="Times New Roman"/>
              </w:rPr>
              <w:t>全年</w:t>
            </w:r>
          </w:p>
          <w:p>
            <w:pPr>
              <w:spacing w:line="240" w:lineRule="exact"/>
              <w:jc w:val="center"/>
              <w:rPr>
                <w:rFonts w:ascii="Times New Roman" w:hAnsi="Times New Roman" w:eastAsia="仿宋_GB2312" w:cs="Times New Roman"/>
              </w:rPr>
            </w:pPr>
            <w:r>
              <w:rPr>
                <w:rFonts w:ascii="Times New Roman" w:hAnsi="Times New Roman" w:eastAsia="仿宋_GB2312" w:cs="Times New Roman"/>
              </w:rPr>
              <w:t>执行数</w:t>
            </w:r>
          </w:p>
        </w:tc>
        <w:tc>
          <w:tcPr>
            <w:tcW w:w="828"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rPr>
            </w:pPr>
            <w:r>
              <w:rPr>
                <w:rFonts w:ascii="Times New Roman" w:hAnsi="Times New Roman" w:eastAsia="仿宋_GB2312" w:cs="Times New Roman"/>
              </w:rPr>
              <w:t>分值</w:t>
            </w:r>
          </w:p>
        </w:tc>
        <w:tc>
          <w:tcPr>
            <w:tcW w:w="873"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rPr>
            </w:pPr>
            <w:r>
              <w:rPr>
                <w:rFonts w:ascii="Times New Roman" w:hAnsi="Times New Roman" w:eastAsia="仿宋_GB2312" w:cs="Times New Roman"/>
              </w:rPr>
              <w:t>执行率</w:t>
            </w:r>
          </w:p>
        </w:tc>
        <w:tc>
          <w:tcPr>
            <w:tcW w:w="1568" w:type="dxa"/>
            <w:tcBorders>
              <w:top w:val="nil"/>
              <w:left w:val="nil"/>
              <w:bottom w:val="single" w:color="auto" w:sz="4" w:space="0"/>
              <w:right w:val="single" w:color="auto" w:sz="4" w:space="0"/>
            </w:tcBorders>
            <w:vAlign w:val="center"/>
          </w:tcPr>
          <w:p>
            <w:pPr>
              <w:jc w:val="center"/>
              <w:rPr>
                <w:rFonts w:ascii="Times New Roman" w:hAnsi="Times New Roman" w:eastAsia="仿宋_GB2312" w:cs="Times New Roman"/>
              </w:rPr>
            </w:pPr>
            <w:r>
              <w:rPr>
                <w:rFonts w:ascii="Times New Roman" w:hAnsi="Times New Roman" w:eastAsia="仿宋_GB2312" w:cs="Times New Roman"/>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年度资金总额　</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80</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80</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79.05</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10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98.81%</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其中：当年财政拨款　</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80</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80</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79.05</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98.81%</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上年结转资金　</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2160" w:type="dxa"/>
            <w:gridSpan w:val="2"/>
            <w:tcBorders>
              <w:top w:val="nil"/>
              <w:left w:val="nil"/>
              <w:bottom w:val="single" w:color="auto" w:sz="4" w:space="0"/>
              <w:right w:val="single" w:color="auto" w:sz="4" w:space="0"/>
            </w:tcBorders>
            <w:vAlign w:val="center"/>
          </w:tcPr>
          <w:p>
            <w:pPr>
              <w:widowControl/>
              <w:ind w:firstLine="630" w:firstLineChars="300"/>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其他资金</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年度总体目标</w:t>
            </w:r>
          </w:p>
        </w:tc>
        <w:tc>
          <w:tcPr>
            <w:tcW w:w="4733" w:type="dxa"/>
            <w:gridSpan w:val="4"/>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预期目标</w:t>
            </w:r>
          </w:p>
        </w:tc>
        <w:tc>
          <w:tcPr>
            <w:tcW w:w="4188"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4733" w:type="dxa"/>
            <w:gridSpan w:val="4"/>
            <w:tcBorders>
              <w:top w:val="single" w:color="auto" w:sz="4" w:space="0"/>
              <w:left w:val="nil"/>
              <w:bottom w:val="single" w:color="auto" w:sz="4" w:space="0"/>
              <w:right w:val="single" w:color="000000" w:sz="4" w:space="0"/>
            </w:tcBorders>
            <w:vAlign w:val="center"/>
          </w:tcPr>
          <w:p>
            <w:pPr>
              <w:widowControl/>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创建全民运动健身模范市，营造浓厚全民健身氛围</w:t>
            </w:r>
          </w:p>
        </w:tc>
        <w:tc>
          <w:tcPr>
            <w:tcW w:w="4188" w:type="dxa"/>
            <w:gridSpan w:val="4"/>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举办全民健身赛事，支持全民健身项目</w:t>
            </w:r>
          </w:p>
        </w:tc>
      </w:tr>
      <w:tr>
        <w:tblPrEx>
          <w:tblCellMar>
            <w:top w:w="0" w:type="dxa"/>
            <w:left w:w="108" w:type="dxa"/>
            <w:bottom w:w="0" w:type="dxa"/>
            <w:right w:w="108" w:type="dxa"/>
          </w:tblCellMar>
        </w:tblPrEx>
        <w:trPr>
          <w:trHeight w:val="572" w:hRule="atLeast"/>
          <w:jc w:val="center"/>
        </w:trPr>
        <w:tc>
          <w:tcPr>
            <w:tcW w:w="1080" w:type="dxa"/>
            <w:vMerge w:val="restart"/>
            <w:tcBorders>
              <w:top w:val="nil"/>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绩</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一级指标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二级指标</w:t>
            </w:r>
          </w:p>
        </w:tc>
        <w:tc>
          <w:tcPr>
            <w:tcW w:w="101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三级指标</w:t>
            </w:r>
          </w:p>
        </w:tc>
        <w:tc>
          <w:tcPr>
            <w:tcW w:w="156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年度</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指标值</w:t>
            </w:r>
          </w:p>
        </w:tc>
        <w:tc>
          <w:tcPr>
            <w:tcW w:w="9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实际</w:t>
            </w:r>
          </w:p>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完成值</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得分</w:t>
            </w:r>
          </w:p>
        </w:tc>
        <w:tc>
          <w:tcPr>
            <w:tcW w:w="156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产出指标</w:t>
            </w:r>
          </w:p>
          <w:p>
            <w:pPr>
              <w:widowControl/>
              <w:jc w:val="center"/>
              <w:rPr>
                <w:rFonts w:ascii="Times New Roman" w:hAnsi="Times New Roman" w:eastAsia="仿宋_GB2312" w:cs="Times New Roman"/>
                <w:color w:val="000000"/>
                <w:kern w:val="0"/>
              </w:rPr>
            </w:pP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(50分)</w:t>
            </w: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数量指标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社区男球赛</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100%</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全民健身路径</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20套</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w:t>
            </w:r>
            <w:r>
              <w:rPr>
                <w:rFonts w:hint="eastAsia" w:ascii="Times New Roman" w:hAnsi="Times New Roman" w:eastAsia="仿宋_GB2312" w:cs="Times New Roman"/>
                <w:color w:val="000000"/>
                <w:kern w:val="0"/>
              </w:rPr>
              <w:t>3</w:t>
            </w:r>
            <w:r>
              <w:rPr>
                <w:rFonts w:ascii="Times New Roman" w:hAnsi="Times New Roman" w:eastAsia="仿宋_GB2312" w:cs="Times New Roman"/>
                <w:color w:val="000000"/>
                <w:kern w:val="0"/>
              </w:rPr>
              <w:t>：</w:t>
            </w:r>
          </w:p>
        </w:tc>
        <w:tc>
          <w:tcPr>
            <w:tcW w:w="1560"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农民健身工程</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11套</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质量指标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质量优良</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100%</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时效指标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single" w:color="auto" w:sz="4" w:space="0"/>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成本指标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效益指标</w:t>
            </w:r>
          </w:p>
          <w:p>
            <w:pPr>
              <w:widowControl/>
              <w:jc w:val="left"/>
              <w:rPr>
                <w:rFonts w:ascii="Times New Roman" w:hAnsi="Times New Roman" w:eastAsia="仿宋_GB2312" w:cs="Times New Roman"/>
                <w:color w:val="000000"/>
                <w:kern w:val="0"/>
              </w:rPr>
            </w:pPr>
          </w:p>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（30分）</w:t>
            </w: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经济效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益指标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社会效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益指标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社会效益</w:t>
            </w: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良好</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30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30</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nil"/>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restart"/>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生态效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益指标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80" w:type="dxa"/>
            <w:vMerge w:val="continue"/>
            <w:tcBorders>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绩</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效</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标</w:t>
            </w:r>
          </w:p>
        </w:tc>
        <w:tc>
          <w:tcPr>
            <w:tcW w:w="1080"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p>
            <w:pPr>
              <w:jc w:val="center"/>
              <w:rPr>
                <w:rFonts w:ascii="Times New Roman" w:hAnsi="Times New Roman" w:eastAsia="仿宋_GB2312" w:cs="Times New Roman"/>
                <w:color w:val="000000"/>
                <w:kern w:val="0"/>
              </w:rPr>
            </w:pPr>
          </w:p>
        </w:tc>
        <w:tc>
          <w:tcPr>
            <w:tcW w:w="1080"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可持续影响指标</w:t>
            </w:r>
          </w:p>
        </w:tc>
        <w:tc>
          <w:tcPr>
            <w:tcW w:w="10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持续创建</w:t>
            </w:r>
          </w:p>
        </w:tc>
        <w:tc>
          <w:tcPr>
            <w:tcW w:w="91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kern w:val="0"/>
              </w:rPr>
            </w:pPr>
          </w:p>
        </w:tc>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指标2：</w:t>
            </w:r>
          </w:p>
        </w:tc>
        <w:tc>
          <w:tcPr>
            <w:tcW w:w="156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919"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ascii="Times New Roman" w:hAnsi="Times New Roman" w:eastAsia="仿宋_GB2312" w:cs="Times New Roman"/>
                <w:color w:val="000000"/>
                <w:kern w:val="0"/>
              </w:rPr>
            </w:pPr>
          </w:p>
        </w:tc>
        <w:tc>
          <w:tcPr>
            <w:tcW w:w="1080" w:type="dxa"/>
            <w:tcBorders>
              <w:top w:val="single" w:color="auto" w:sz="4" w:space="0"/>
              <w:left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满意度</w:t>
            </w:r>
          </w:p>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w:t>
            </w:r>
          </w:p>
          <w:p>
            <w:pPr>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（10分）</w:t>
            </w:r>
          </w:p>
        </w:tc>
        <w:tc>
          <w:tcPr>
            <w:tcW w:w="1080" w:type="dxa"/>
            <w:tcBorders>
              <w:top w:val="nil"/>
              <w:left w:val="nil"/>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服务对象满意度指标</w:t>
            </w:r>
          </w:p>
        </w:tc>
        <w:tc>
          <w:tcPr>
            <w:tcW w:w="101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指标1：</w:t>
            </w:r>
          </w:p>
        </w:tc>
        <w:tc>
          <w:tcPr>
            <w:tcW w:w="1560" w:type="dxa"/>
            <w:tcBorders>
              <w:top w:val="nil"/>
              <w:left w:val="nil"/>
              <w:bottom w:val="single" w:color="auto" w:sz="4" w:space="0"/>
              <w:right w:val="single" w:color="auto" w:sz="4" w:space="0"/>
            </w:tcBorders>
            <w:vAlign w:val="center"/>
          </w:tcPr>
          <w:p>
            <w:pPr>
              <w:spacing w:line="300" w:lineRule="exact"/>
              <w:rPr>
                <w:rFonts w:ascii="仿宋" w:hAnsi="仿宋" w:eastAsia="仿宋"/>
              </w:rPr>
            </w:pPr>
            <w:r>
              <w:rPr>
                <w:rFonts w:hint="eastAsia" w:ascii="仿宋" w:hAnsi="仿宋" w:eastAsia="仿宋"/>
              </w:rPr>
              <w:t>群众满意度</w:t>
            </w:r>
          </w:p>
        </w:tc>
        <w:tc>
          <w:tcPr>
            <w:tcW w:w="919" w:type="dxa"/>
            <w:tcBorders>
              <w:top w:val="nil"/>
              <w:left w:val="nil"/>
              <w:bottom w:val="single" w:color="auto" w:sz="4" w:space="0"/>
              <w:right w:val="single" w:color="auto" w:sz="4" w:space="0"/>
            </w:tcBorders>
            <w:vAlign w:val="center"/>
          </w:tcPr>
          <w:p>
            <w:pPr>
              <w:spacing w:line="300" w:lineRule="exact"/>
              <w:jc w:val="center"/>
              <w:rPr>
                <w:rFonts w:ascii="仿宋" w:hAnsi="仿宋" w:eastAsia="仿宋"/>
              </w:rPr>
            </w:pPr>
            <w:r>
              <w:rPr>
                <w:rFonts w:hint="eastAsia" w:ascii="仿宋" w:hAnsi="仿宋" w:eastAsia="仿宋"/>
              </w:rPr>
              <w:t>96%</w:t>
            </w:r>
          </w:p>
        </w:tc>
        <w:tc>
          <w:tcPr>
            <w:tcW w:w="82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10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rPr>
              <w:t>9</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总分</w:t>
            </w:r>
          </w:p>
        </w:tc>
        <w:tc>
          <w:tcPr>
            <w:tcW w:w="82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100</w:t>
            </w:r>
          </w:p>
        </w:tc>
        <w:tc>
          <w:tcPr>
            <w:tcW w:w="873"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98</w:t>
            </w:r>
          </w:p>
        </w:tc>
        <w:tc>
          <w:tcPr>
            <w:tcW w:w="1568"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r>
    </w:tbl>
    <w:p>
      <w:pPr>
        <w:topLinePunct/>
        <w:spacing w:line="560" w:lineRule="exac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填表人：</w:t>
      </w:r>
      <w:r>
        <w:rPr>
          <w:rFonts w:hint="eastAsia" w:ascii="Times New Roman" w:hAnsi="Times New Roman" w:eastAsia="仿宋_GB2312" w:cs="Times New Roman"/>
          <w:kern w:val="0"/>
          <w:sz w:val="22"/>
          <w:szCs w:val="22"/>
        </w:rPr>
        <w:t>龚菱芳</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填报日期：</w:t>
      </w:r>
      <w:r>
        <w:rPr>
          <w:rFonts w:hint="eastAsia" w:ascii="Times New Roman" w:hAnsi="Times New Roman" w:eastAsia="仿宋_GB2312" w:cs="Times New Roman"/>
          <w:kern w:val="0"/>
          <w:sz w:val="22"/>
          <w:szCs w:val="22"/>
        </w:rPr>
        <w:t>2021年4月15日</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bookmarkStart w:id="0" w:name="_GoBack"/>
      <w:bookmarkEnd w:id="0"/>
      <w:r>
        <w:rPr>
          <w:rFonts w:ascii="Times New Roman" w:hAnsi="Times New Roman" w:eastAsia="仿宋_GB2312" w:cs="Times New Roman"/>
          <w:kern w:val="0"/>
          <w:sz w:val="22"/>
          <w:szCs w:val="22"/>
        </w:rPr>
        <w:t xml:space="preserve"> 联系电话：</w:t>
      </w:r>
      <w:r>
        <w:rPr>
          <w:rFonts w:hint="eastAsia" w:ascii="Times New Roman" w:hAnsi="Times New Roman" w:eastAsia="仿宋_GB2312" w:cs="Times New Roman"/>
          <w:kern w:val="0"/>
          <w:sz w:val="22"/>
          <w:szCs w:val="22"/>
          <w:lang w:val="en-US" w:eastAsia="zh-CN"/>
        </w:rPr>
        <w:t>0737-4383310</w:t>
      </w:r>
      <w:r>
        <w:rPr>
          <w:rFonts w:ascii="Times New Roman" w:hAnsi="Times New Roman" w:eastAsia="仿宋_GB2312" w:cs="Times New Roman"/>
          <w:kern w:val="0"/>
          <w:sz w:val="22"/>
          <w:szCs w:val="22"/>
        </w:rPr>
        <w:t xml:space="preserve">    </w:t>
      </w:r>
      <w:r>
        <w:rPr>
          <w:rFonts w:hint="eastAsia" w:ascii="Times New Roman" w:hAnsi="Times New Roman" w:eastAsia="仿宋_GB2312" w:cs="Times New Roman"/>
          <w:kern w:val="0"/>
          <w:sz w:val="22"/>
          <w:szCs w:val="22"/>
        </w:rPr>
        <w:t xml:space="preserve"> </w:t>
      </w:r>
      <w:r>
        <w:rPr>
          <w:rFonts w:ascii="Times New Roman" w:hAnsi="Times New Roman" w:eastAsia="仿宋_GB2312" w:cs="Times New Roman"/>
          <w:kern w:val="0"/>
          <w:sz w:val="22"/>
          <w:szCs w:val="22"/>
        </w:rPr>
        <w:t xml:space="preserve">        </w:t>
      </w:r>
    </w:p>
    <w:p>
      <w:pPr>
        <w:topLinePunct/>
        <w:spacing w:line="560" w:lineRule="exact"/>
        <w:rPr>
          <w:rFonts w:ascii="宋体" w:cs="Times New Roman"/>
          <w:spacing w:val="16"/>
          <w:sz w:val="24"/>
          <w:szCs w:val="24"/>
        </w:rPr>
      </w:pPr>
      <w:r>
        <w:rPr>
          <w:rFonts w:ascii="Times New Roman" w:hAnsi="Times New Roman" w:eastAsia="仿宋_GB2312" w:cs="Times New Roman"/>
          <w:kern w:val="0"/>
          <w:sz w:val="22"/>
          <w:szCs w:val="22"/>
        </w:rPr>
        <w:t>单位负责人签字：</w:t>
      </w:r>
    </w:p>
    <w:sectPr>
      <w:headerReference r:id="rId3" w:type="default"/>
      <w:footerReference r:id="rId4" w:type="default"/>
      <w:pgSz w:w="11906" w:h="16838"/>
      <w:pgMar w:top="1440" w:right="1803" w:bottom="1712"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Fonts w:cs="Calibri"/>
      </w:rPr>
      <w:fldChar w:fldCharType="begin"/>
    </w:r>
    <w:r>
      <w:rPr>
        <w:rStyle w:val="12"/>
        <w:rFonts w:cs="Calibri"/>
      </w:rPr>
      <w:instrText xml:space="preserve">PAGE  </w:instrText>
    </w:r>
    <w:r>
      <w:rPr>
        <w:rStyle w:val="12"/>
        <w:rFonts w:cs="Calibri"/>
      </w:rPr>
      <w:fldChar w:fldCharType="separate"/>
    </w:r>
    <w:r>
      <w:rPr>
        <w:rStyle w:val="12"/>
        <w:rFonts w:cs="Calibri"/>
      </w:rPr>
      <w:t>1</w:t>
    </w:r>
    <w:r>
      <w:rPr>
        <w:rStyle w:val="12"/>
        <w:rFonts w:cs="Calibri"/>
      </w:rPr>
      <w:fldChar w:fldCharType="end"/>
    </w:r>
  </w:p>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HorizontalSpacing w:val="105"/>
  <w:drawingGridVerticalSpacing w:val="319"/>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4F71"/>
    <w:rsid w:val="002164B6"/>
    <w:rsid w:val="0022127B"/>
    <w:rsid w:val="00226508"/>
    <w:rsid w:val="0024254A"/>
    <w:rsid w:val="002502C6"/>
    <w:rsid w:val="002518CD"/>
    <w:rsid w:val="002702F8"/>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C3"/>
    <w:rsid w:val="005B3509"/>
    <w:rsid w:val="005B6A07"/>
    <w:rsid w:val="005C0127"/>
    <w:rsid w:val="005C0F91"/>
    <w:rsid w:val="005C44D4"/>
    <w:rsid w:val="005D5E2D"/>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33C5"/>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0CEA"/>
    <w:rsid w:val="00C91585"/>
    <w:rsid w:val="00CC0E9D"/>
    <w:rsid w:val="00CC7110"/>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1729"/>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80C5E6F"/>
    <w:rsid w:val="0A2E39AB"/>
    <w:rsid w:val="0B7429CF"/>
    <w:rsid w:val="0E2222D5"/>
    <w:rsid w:val="0F5C4DD4"/>
    <w:rsid w:val="100D5FC3"/>
    <w:rsid w:val="10CA4351"/>
    <w:rsid w:val="133D6DAA"/>
    <w:rsid w:val="14E84921"/>
    <w:rsid w:val="155D1885"/>
    <w:rsid w:val="15D05CE2"/>
    <w:rsid w:val="191463A8"/>
    <w:rsid w:val="1FF31D2D"/>
    <w:rsid w:val="20227927"/>
    <w:rsid w:val="26616061"/>
    <w:rsid w:val="29B80CEA"/>
    <w:rsid w:val="2A016BE6"/>
    <w:rsid w:val="2A0B5232"/>
    <w:rsid w:val="2A85052F"/>
    <w:rsid w:val="2AA645E2"/>
    <w:rsid w:val="2AFB4E94"/>
    <w:rsid w:val="2BA325DC"/>
    <w:rsid w:val="30DD6AE1"/>
    <w:rsid w:val="340B6910"/>
    <w:rsid w:val="3EE01594"/>
    <w:rsid w:val="3FE647F5"/>
    <w:rsid w:val="421A0655"/>
    <w:rsid w:val="465D16AD"/>
    <w:rsid w:val="486F7AB7"/>
    <w:rsid w:val="494A239B"/>
    <w:rsid w:val="4E57277B"/>
    <w:rsid w:val="52D3569F"/>
    <w:rsid w:val="541152B4"/>
    <w:rsid w:val="54EA2DFC"/>
    <w:rsid w:val="57B3191D"/>
    <w:rsid w:val="5A311DB8"/>
    <w:rsid w:val="5B832F76"/>
    <w:rsid w:val="61264A0C"/>
    <w:rsid w:val="6A2A7555"/>
    <w:rsid w:val="6AAD19CD"/>
    <w:rsid w:val="6AC912D5"/>
    <w:rsid w:val="6E4865DB"/>
    <w:rsid w:val="6EF634D5"/>
    <w:rsid w:val="702B0A44"/>
    <w:rsid w:val="725A50C6"/>
    <w:rsid w:val="740B2C95"/>
    <w:rsid w:val="766A54D2"/>
    <w:rsid w:val="76891469"/>
    <w:rsid w:val="77B12DBF"/>
    <w:rsid w:val="792E06D1"/>
    <w:rsid w:val="79B77CFF"/>
    <w:rsid w:val="7CAF6E6F"/>
    <w:rsid w:val="7D2C2C63"/>
    <w:rsid w:val="7D2F2564"/>
    <w:rsid w:val="7E272FAB"/>
    <w:rsid w:val="7EBF76E9"/>
    <w:rsid w:val="7FC76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99"/>
    <w:pPr>
      <w:jc w:val="left"/>
    </w:pPr>
  </w:style>
  <w:style w:type="paragraph" w:styleId="3">
    <w:name w:val="Date"/>
    <w:basedOn w:val="1"/>
    <w:next w:val="1"/>
    <w:link w:val="19"/>
    <w:semiHidden/>
    <w:qFormat/>
    <w:uiPriority w:val="99"/>
    <w:pPr>
      <w:ind w:left="100" w:leftChars="2500"/>
    </w:pPr>
  </w:style>
  <w:style w:type="paragraph" w:styleId="4">
    <w:name w:val="Balloon Text"/>
    <w:basedOn w:val="1"/>
    <w:link w:val="20"/>
    <w:semiHidden/>
    <w:qFormat/>
    <w:uiPriority w:val="99"/>
    <w:rPr>
      <w:sz w:val="18"/>
      <w:szCs w:val="18"/>
    </w:rPr>
  </w:style>
  <w:style w:type="paragraph" w:styleId="5">
    <w:name w:val="footer"/>
    <w:basedOn w:val="1"/>
    <w:link w:val="21"/>
    <w:semiHidden/>
    <w:qFormat/>
    <w:uiPriority w:val="99"/>
    <w:pPr>
      <w:tabs>
        <w:tab w:val="center" w:pos="4153"/>
        <w:tab w:val="right" w:pos="8306"/>
      </w:tabs>
      <w:snapToGrid w:val="0"/>
      <w:jc w:val="left"/>
    </w:pPr>
    <w:rPr>
      <w:sz w:val="18"/>
      <w:szCs w:val="18"/>
    </w:rPr>
  </w:style>
  <w:style w:type="paragraph" w:styleId="6">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30"/>
    <w:semiHidden/>
    <w:unhideWhenUsed/>
    <w:qFormat/>
    <w:uiPriority w:val="99"/>
    <w:rPr>
      <w:b/>
      <w:bCs/>
    </w:rPr>
  </w:style>
  <w:style w:type="table" w:styleId="10">
    <w:name w:val="Table Grid"/>
    <w:basedOn w:val="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FollowedHyperlink"/>
    <w:basedOn w:val="11"/>
    <w:unhideWhenUsed/>
    <w:qFormat/>
    <w:uiPriority w:val="99"/>
    <w:rPr>
      <w:color w:val="800080"/>
      <w:u w:val="none"/>
    </w:rPr>
  </w:style>
  <w:style w:type="character" w:styleId="14">
    <w:name w:val="Emphasis"/>
    <w:basedOn w:val="11"/>
    <w:qFormat/>
    <w:locked/>
    <w:uiPriority w:val="0"/>
    <w:rPr>
      <w:rFonts w:ascii="宋体" w:hAnsi="宋体" w:eastAsia="宋体" w:cs="宋体"/>
      <w:sz w:val="18"/>
      <w:szCs w:val="18"/>
    </w:rPr>
  </w:style>
  <w:style w:type="character" w:styleId="15">
    <w:name w:val="Hyperlink"/>
    <w:basedOn w:val="11"/>
    <w:unhideWhenUsed/>
    <w:qFormat/>
    <w:uiPriority w:val="99"/>
    <w:rPr>
      <w:color w:val="0000FF"/>
      <w:u w:val="none"/>
    </w:rPr>
  </w:style>
  <w:style w:type="character" w:styleId="16">
    <w:name w:val="HTML Code"/>
    <w:basedOn w:val="11"/>
    <w:unhideWhenUsed/>
    <w:qFormat/>
    <w:uiPriority w:val="99"/>
    <w:rPr>
      <w:rFonts w:ascii="宋体" w:hAnsi="宋体" w:eastAsia="宋体" w:cs="宋体"/>
      <w:sz w:val="18"/>
      <w:szCs w:val="18"/>
    </w:rPr>
  </w:style>
  <w:style w:type="character" w:styleId="17">
    <w:name w:val="annotation reference"/>
    <w:basedOn w:val="11"/>
    <w:semiHidden/>
    <w:unhideWhenUsed/>
    <w:qFormat/>
    <w:uiPriority w:val="99"/>
    <w:rPr>
      <w:sz w:val="21"/>
      <w:szCs w:val="21"/>
    </w:rPr>
  </w:style>
  <w:style w:type="character" w:styleId="18">
    <w:name w:val="HTML Cite"/>
    <w:basedOn w:val="11"/>
    <w:unhideWhenUsed/>
    <w:qFormat/>
    <w:uiPriority w:val="99"/>
    <w:rPr>
      <w:rFonts w:ascii="宋体" w:hAnsi="宋体" w:eastAsia="宋体" w:cs="宋体"/>
      <w:sz w:val="18"/>
      <w:szCs w:val="18"/>
    </w:rPr>
  </w:style>
  <w:style w:type="character" w:customStyle="1" w:styleId="19">
    <w:name w:val="日期 Char"/>
    <w:basedOn w:val="11"/>
    <w:link w:val="3"/>
    <w:semiHidden/>
    <w:qFormat/>
    <w:locked/>
    <w:uiPriority w:val="99"/>
    <w:rPr>
      <w:rFonts w:cs="Times New Roman"/>
    </w:rPr>
  </w:style>
  <w:style w:type="character" w:customStyle="1" w:styleId="20">
    <w:name w:val="批注框文本 Char"/>
    <w:basedOn w:val="11"/>
    <w:link w:val="4"/>
    <w:semiHidden/>
    <w:qFormat/>
    <w:locked/>
    <w:uiPriority w:val="99"/>
    <w:rPr>
      <w:rFonts w:cs="Times New Roman"/>
      <w:sz w:val="18"/>
      <w:szCs w:val="18"/>
    </w:rPr>
  </w:style>
  <w:style w:type="character" w:customStyle="1" w:styleId="21">
    <w:name w:val="页脚 Char"/>
    <w:basedOn w:val="11"/>
    <w:link w:val="5"/>
    <w:semiHidden/>
    <w:qFormat/>
    <w:locked/>
    <w:uiPriority w:val="99"/>
    <w:rPr>
      <w:rFonts w:cs="Times New Roman"/>
      <w:sz w:val="18"/>
      <w:szCs w:val="18"/>
    </w:rPr>
  </w:style>
  <w:style w:type="character" w:customStyle="1" w:styleId="22">
    <w:name w:val="页眉 Char"/>
    <w:basedOn w:val="11"/>
    <w:link w:val="6"/>
    <w:semiHidden/>
    <w:qFormat/>
    <w:locked/>
    <w:uiPriority w:val="99"/>
    <w:rPr>
      <w:rFonts w:cs="Times New Roman"/>
      <w:sz w:val="18"/>
      <w:szCs w:val="18"/>
    </w:rPr>
  </w:style>
  <w:style w:type="paragraph" w:customStyle="1" w:styleId="23">
    <w:name w:val="List Paragraph1"/>
    <w:basedOn w:val="1"/>
    <w:qFormat/>
    <w:uiPriority w:val="99"/>
    <w:pPr>
      <w:ind w:firstLine="420" w:firstLineChars="200"/>
    </w:pPr>
  </w:style>
  <w:style w:type="paragraph" w:customStyle="1" w:styleId="24">
    <w:name w:val="char"/>
    <w:basedOn w:val="1"/>
    <w:qFormat/>
    <w:uiPriority w:val="99"/>
    <w:pPr>
      <w:widowControl/>
      <w:spacing w:after="160" w:line="240" w:lineRule="exact"/>
      <w:jc w:val="left"/>
    </w:pPr>
    <w:rPr>
      <w:rFonts w:cs="Times New Roman"/>
      <w:szCs w:val="22"/>
    </w:rPr>
  </w:style>
  <w:style w:type="character" w:customStyle="1" w:styleId="25">
    <w:name w:val="hover42"/>
    <w:basedOn w:val="11"/>
    <w:qFormat/>
    <w:uiPriority w:val="0"/>
    <w:rPr>
      <w:color w:val="000000"/>
      <w:shd w:val="clear" w:color="auto" w:fill="FFFFFF"/>
    </w:rPr>
  </w:style>
  <w:style w:type="character" w:customStyle="1" w:styleId="26">
    <w:name w:val="bsharetext"/>
    <w:basedOn w:val="11"/>
    <w:qFormat/>
    <w:uiPriority w:val="0"/>
  </w:style>
  <w:style w:type="paragraph" w:styleId="27">
    <w:name w:val="List Paragraph"/>
    <w:basedOn w:val="1"/>
    <w:unhideWhenUsed/>
    <w:qFormat/>
    <w:uiPriority w:val="99"/>
    <w:pPr>
      <w:ind w:firstLine="420" w:firstLineChars="200"/>
    </w:pPr>
  </w:style>
  <w:style w:type="character" w:customStyle="1" w:styleId="28">
    <w:name w:val="NormalCharacter"/>
    <w:semiHidden/>
    <w:qFormat/>
    <w:uiPriority w:val="0"/>
  </w:style>
  <w:style w:type="character" w:customStyle="1" w:styleId="29">
    <w:name w:val="批注文字 Char"/>
    <w:basedOn w:val="11"/>
    <w:link w:val="2"/>
    <w:semiHidden/>
    <w:qFormat/>
    <w:uiPriority w:val="99"/>
    <w:rPr>
      <w:rFonts w:ascii="Calibri" w:hAnsi="Calibri" w:cs="Calibri"/>
      <w:kern w:val="2"/>
      <w:sz w:val="21"/>
      <w:szCs w:val="21"/>
    </w:rPr>
  </w:style>
  <w:style w:type="character" w:customStyle="1" w:styleId="30">
    <w:name w:val="批注主题 Char"/>
    <w:basedOn w:val="29"/>
    <w:link w:val="8"/>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9734E-4FED-47DD-ABBE-F94E8430D8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398</Words>
  <Characters>2272</Characters>
  <Lines>18</Lines>
  <Paragraphs>5</Paragraphs>
  <TotalTime>175</TotalTime>
  <ScaleCrop>false</ScaleCrop>
  <LinksUpToDate>false</LinksUpToDate>
  <CharactersWithSpaces>2665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2020-04-29T07:11:00Z</dcterms:created>
  <dc:creator>Administrator</dc:creator>
  <cp:lastModifiedBy>小武子</cp:lastModifiedBy>
  <cp:lastPrinted>2021-04-15T03:28:00Z</cp:lastPrinted>
  <dcterms:modified xsi:type="dcterms:W3CDTF">2022-02-08T07:46:02Z</dcterms:modified>
  <dc:title>2015年益阳市司法局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