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lang w:val="en-US" w:eastAsia="zh-CN"/>
        </w:rPr>
      </w:pPr>
      <w:r>
        <w:rPr>
          <w:rFonts w:hint="eastAsia" w:ascii="宋体" w:hAnsi="宋体" w:eastAsia="宋体" w:cs="宋体"/>
          <w:b/>
          <w:bCs/>
          <w:lang w:val="en-US" w:eastAsia="zh-CN"/>
        </w:rPr>
        <w:t>益阳市第二届职业技能大赛</w:t>
      </w:r>
    </w:p>
    <w:p>
      <w:pPr>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rPr>
          <w:rFonts w:hint="default"/>
          <w:lang w:val="en-US" w:eastAsia="zh-CN"/>
        </w:rPr>
      </w:pPr>
    </w:p>
    <w:p>
      <w:pPr>
        <w:pStyle w:val="2"/>
        <w:keepNext w:val="0"/>
        <w:keepLines w:val="0"/>
        <w:pageBreakBefore w:val="0"/>
        <w:widowControl w:val="0"/>
        <w:wordWrap/>
        <w:topLinePunct w:val="0"/>
        <w:bidi w:val="0"/>
        <w:adjustRightInd/>
        <w:snapToGrid w:val="0"/>
        <w:spacing w:line="240" w:lineRule="auto"/>
        <w:jc w:val="center"/>
        <w:textAlignment w:val="auto"/>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焊</w:t>
      </w:r>
    </w:p>
    <w:p>
      <w:pPr>
        <w:pStyle w:val="2"/>
        <w:keepNext w:val="0"/>
        <w:keepLines w:val="0"/>
        <w:pageBreakBefore w:val="0"/>
        <w:widowControl w:val="0"/>
        <w:wordWrap/>
        <w:topLinePunct w:val="0"/>
        <w:bidi w:val="0"/>
        <w:adjustRightInd/>
        <w:snapToGrid w:val="0"/>
        <w:spacing w:line="240" w:lineRule="auto"/>
        <w:jc w:val="center"/>
        <w:textAlignment w:val="auto"/>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接</w:t>
      </w:r>
    </w:p>
    <w:p>
      <w:pPr>
        <w:pStyle w:val="2"/>
        <w:keepNext w:val="0"/>
        <w:keepLines w:val="0"/>
        <w:pageBreakBefore w:val="0"/>
        <w:widowControl w:val="0"/>
        <w:wordWrap/>
        <w:topLinePunct w:val="0"/>
        <w:bidi w:val="0"/>
        <w:adjustRightInd/>
        <w:snapToGrid w:val="0"/>
        <w:spacing w:line="240" w:lineRule="auto"/>
        <w:jc w:val="center"/>
        <w:textAlignment w:val="auto"/>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竞</w:t>
      </w:r>
    </w:p>
    <w:p>
      <w:pPr>
        <w:pStyle w:val="2"/>
        <w:keepNext w:val="0"/>
        <w:keepLines w:val="0"/>
        <w:pageBreakBefore w:val="0"/>
        <w:widowControl w:val="0"/>
        <w:wordWrap/>
        <w:topLinePunct w:val="0"/>
        <w:bidi w:val="0"/>
        <w:adjustRightInd/>
        <w:snapToGrid w:val="0"/>
        <w:spacing w:line="240" w:lineRule="auto"/>
        <w:jc w:val="center"/>
        <w:textAlignment w:val="auto"/>
        <w:rPr>
          <w:rFonts w:hint="default" w:ascii="黑体" w:hAnsi="黑体" w:eastAsia="黑体" w:cs="黑体"/>
          <w:b/>
          <w:bCs/>
          <w:sz w:val="48"/>
          <w:szCs w:val="48"/>
          <w:lang w:val="en-US" w:eastAsia="zh-CN"/>
        </w:rPr>
      </w:pPr>
      <w:r>
        <w:rPr>
          <w:rFonts w:hint="eastAsia" w:ascii="黑体" w:hAnsi="黑体" w:eastAsia="黑体" w:cs="黑体"/>
          <w:b/>
          <w:bCs/>
          <w:sz w:val="48"/>
          <w:szCs w:val="48"/>
          <w:lang w:val="en-US" w:eastAsia="zh-CN"/>
        </w:rPr>
        <w:t>赛</w:t>
      </w:r>
    </w:p>
    <w:p>
      <w:pPr>
        <w:pStyle w:val="2"/>
        <w:keepNext w:val="0"/>
        <w:keepLines w:val="0"/>
        <w:pageBreakBefore w:val="0"/>
        <w:widowControl w:val="0"/>
        <w:wordWrap/>
        <w:topLinePunct w:val="0"/>
        <w:bidi w:val="0"/>
        <w:adjustRightInd/>
        <w:snapToGrid w:val="0"/>
        <w:spacing w:line="240" w:lineRule="auto"/>
        <w:jc w:val="center"/>
        <w:textAlignment w:val="auto"/>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项</w:t>
      </w:r>
    </w:p>
    <w:p>
      <w:pPr>
        <w:pStyle w:val="2"/>
        <w:keepNext w:val="0"/>
        <w:keepLines w:val="0"/>
        <w:pageBreakBefore w:val="0"/>
        <w:widowControl w:val="0"/>
        <w:wordWrap/>
        <w:topLinePunct w:val="0"/>
        <w:bidi w:val="0"/>
        <w:adjustRightInd/>
        <w:snapToGrid w:val="0"/>
        <w:spacing w:line="240" w:lineRule="auto"/>
        <w:jc w:val="center"/>
        <w:textAlignment w:val="auto"/>
        <w:rPr>
          <w:rFonts w:hint="default"/>
          <w:sz w:val="52"/>
          <w:szCs w:val="52"/>
          <w:lang w:val="en-US" w:eastAsia="zh-CN"/>
        </w:rPr>
      </w:pPr>
      <w:r>
        <w:rPr>
          <w:rFonts w:hint="eastAsia" w:ascii="黑体" w:hAnsi="黑体" w:eastAsia="黑体" w:cs="黑体"/>
          <w:b/>
          <w:bCs/>
          <w:sz w:val="48"/>
          <w:szCs w:val="48"/>
          <w:lang w:val="en-US" w:eastAsia="zh-CN"/>
        </w:rPr>
        <w:t>目</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left="0" w:leftChars="0" w:firstLine="0" w:firstLineChars="0"/>
        <w:rPr>
          <w:rFonts w:hint="default"/>
          <w:lang w:val="en-US" w:eastAsia="zh-CN"/>
        </w:rPr>
      </w:pPr>
    </w:p>
    <w:p>
      <w:pPr>
        <w:bidi w:val="0"/>
        <w:ind w:left="0" w:leftChars="0" w:firstLine="0" w:firstLineChars="0"/>
        <w:rPr>
          <w:rFonts w:hint="default"/>
          <w:lang w:val="en-US" w:eastAsia="zh-CN"/>
        </w:rPr>
      </w:pPr>
    </w:p>
    <w:p>
      <w:pPr>
        <w:bidi w:val="0"/>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益阳市职业技能竞赛组织委员会</w:t>
      </w:r>
    </w:p>
    <w:p>
      <w:pPr>
        <w:bidi w:val="0"/>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2023年08月</w:t>
      </w:r>
    </w:p>
    <w:p>
      <w:pPr>
        <w:ind w:left="0" w:leftChars="0" w:firstLine="0" w:firstLineChars="0"/>
        <w:rPr>
          <w:rFonts w:hint="default"/>
          <w:lang w:val="en-US" w:eastAsia="zh-CN"/>
        </w:rPr>
      </w:pPr>
      <w:bookmarkStart w:id="28" w:name="_GoBack"/>
      <w:bookmarkEnd w:id="28"/>
    </w:p>
    <w:sdt>
      <w:sdtPr>
        <w:rPr>
          <w:rFonts w:ascii="宋体" w:hAnsi="宋体" w:eastAsia="宋体" w:cstheme="minorBidi"/>
          <w:kern w:val="2"/>
          <w:sz w:val="21"/>
          <w:szCs w:val="24"/>
          <w:lang w:val="en-US" w:eastAsia="zh-CN" w:bidi="ar-SA"/>
        </w:rPr>
        <w:id w:val="147457825"/>
        <w15:color w:val="DBDBDB"/>
        <w:docPartObj>
          <w:docPartGallery w:val="Table of Contents"/>
          <w:docPartUnique/>
        </w:docPartObj>
      </w:sdtPr>
      <w:sdtEndPr>
        <w:rPr>
          <w:rFonts w:hint="default" w:ascii="Times New Roman" w:hAnsi="Times New Roman" w:eastAsia="仿宋" w:cstheme="minorBidi"/>
          <w:kern w:val="2"/>
          <w:sz w:val="32"/>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4"/>
              <w:szCs w:val="44"/>
            </w:rPr>
            <w:t>目录</w:t>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TOC \o "1-2" \h \u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_Toc30696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一、技术描述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_Toc30696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_Toc18273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（一）项目概要</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_Toc18273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_Toc2998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（二）基本知识与能力要求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_Toc2998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_Toc4451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（三）相关文件</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_Toc4451 \h </w:instrText>
          </w:r>
          <w:r>
            <w:rPr>
              <w:rFonts w:hint="eastAsia" w:ascii="仿宋" w:hAnsi="仿宋" w:eastAsia="仿宋" w:cs="仿宋"/>
              <w:sz w:val="32"/>
              <w:szCs w:val="32"/>
            </w:rPr>
            <w:fldChar w:fldCharType="separate"/>
          </w:r>
          <w:r>
            <w:rPr>
              <w:rFonts w:hint="eastAsia" w:ascii="仿宋" w:hAnsi="仿宋" w:eastAsia="仿宋" w:cs="仿宋"/>
              <w:sz w:val="32"/>
              <w:szCs w:val="32"/>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_Toc6443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二、试题及评判标准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_Toc6443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_Toc31207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（一）试题</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_Toc31207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_Toc8231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（二）命题方式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_Toc8231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_Toc511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（三）试题说明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_Toc511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_Toc5343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（四）评判标准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_Toc5343 \h </w:instrText>
          </w:r>
          <w:r>
            <w:rPr>
              <w:rFonts w:hint="eastAsia" w:ascii="仿宋" w:hAnsi="仿宋" w:eastAsia="仿宋" w:cs="仿宋"/>
              <w:sz w:val="32"/>
              <w:szCs w:val="32"/>
            </w:rPr>
            <w:fldChar w:fldCharType="separate"/>
          </w:r>
          <w:r>
            <w:rPr>
              <w:rFonts w:hint="eastAsia" w:ascii="仿宋" w:hAnsi="仿宋" w:eastAsia="仿宋" w:cs="仿宋"/>
              <w:sz w:val="32"/>
              <w:szCs w:val="32"/>
            </w:rPr>
            <w:t>10</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_Toc20599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三、竞赛细则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_Toc20599 \h </w:instrText>
          </w:r>
          <w:r>
            <w:rPr>
              <w:rFonts w:hint="eastAsia" w:ascii="仿宋" w:hAnsi="仿宋" w:eastAsia="仿宋" w:cs="仿宋"/>
              <w:sz w:val="32"/>
              <w:szCs w:val="32"/>
            </w:rPr>
            <w:fldChar w:fldCharType="separate"/>
          </w:r>
          <w:r>
            <w:rPr>
              <w:rFonts w:hint="eastAsia" w:ascii="仿宋" w:hAnsi="仿宋" w:eastAsia="仿宋" w:cs="仿宋"/>
              <w:sz w:val="32"/>
              <w:szCs w:val="32"/>
            </w:rPr>
            <w:t>17</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_Toc10428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（一）裁判员分组及职责</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_Toc10428 \h </w:instrText>
          </w:r>
          <w:r>
            <w:rPr>
              <w:rFonts w:hint="eastAsia" w:ascii="仿宋" w:hAnsi="仿宋" w:eastAsia="仿宋" w:cs="仿宋"/>
              <w:sz w:val="32"/>
              <w:szCs w:val="32"/>
            </w:rPr>
            <w:fldChar w:fldCharType="separate"/>
          </w:r>
          <w:r>
            <w:rPr>
              <w:rFonts w:hint="eastAsia" w:ascii="仿宋" w:hAnsi="仿宋" w:eastAsia="仿宋" w:cs="仿宋"/>
              <w:sz w:val="32"/>
              <w:szCs w:val="32"/>
            </w:rPr>
            <w:t>17</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_Toc1972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（二）赛场规则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_Toc1972 \h </w:instrText>
          </w:r>
          <w:r>
            <w:rPr>
              <w:rFonts w:hint="eastAsia" w:ascii="仿宋" w:hAnsi="仿宋" w:eastAsia="仿宋" w:cs="仿宋"/>
              <w:sz w:val="32"/>
              <w:szCs w:val="32"/>
            </w:rPr>
            <w:fldChar w:fldCharType="separate"/>
          </w:r>
          <w:r>
            <w:rPr>
              <w:rFonts w:hint="eastAsia" w:ascii="仿宋" w:hAnsi="仿宋" w:eastAsia="仿宋" w:cs="仿宋"/>
              <w:sz w:val="32"/>
              <w:szCs w:val="32"/>
            </w:rPr>
            <w:t>18</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_Toc22694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（三）技术违规处罚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_Toc22694 \h </w:instrText>
          </w:r>
          <w:r>
            <w:rPr>
              <w:rFonts w:hint="eastAsia" w:ascii="仿宋" w:hAnsi="仿宋" w:eastAsia="仿宋" w:cs="仿宋"/>
              <w:sz w:val="32"/>
              <w:szCs w:val="32"/>
            </w:rPr>
            <w:fldChar w:fldCharType="separate"/>
          </w:r>
          <w:r>
            <w:rPr>
              <w:rFonts w:hint="eastAsia" w:ascii="仿宋" w:hAnsi="仿宋" w:eastAsia="仿宋" w:cs="仿宋"/>
              <w:sz w:val="32"/>
              <w:szCs w:val="32"/>
            </w:rPr>
            <w:t>19</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_Toc27826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（四）纪律要求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_Toc27826 \h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_Toc27283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四、竞赛相关设施设备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_Toc27283 \h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_Toc5844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（一）赛场规格要求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_Toc5844 \h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_Toc25750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（二）赛场及工位布局图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_Toc25750 \h </w:instrText>
          </w:r>
          <w:r>
            <w:rPr>
              <w:rFonts w:hint="eastAsia" w:ascii="仿宋" w:hAnsi="仿宋" w:eastAsia="仿宋" w:cs="仿宋"/>
              <w:sz w:val="32"/>
              <w:szCs w:val="32"/>
            </w:rPr>
            <w:fldChar w:fldCharType="separate"/>
          </w:r>
          <w:r>
            <w:rPr>
              <w:rFonts w:hint="eastAsia" w:ascii="仿宋" w:hAnsi="仿宋" w:eastAsia="仿宋" w:cs="仿宋"/>
              <w:sz w:val="32"/>
              <w:szCs w:val="32"/>
            </w:rPr>
            <w:t>21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_Toc30509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（三）基础设施清单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_Toc30509 \h </w:instrText>
          </w:r>
          <w:r>
            <w:rPr>
              <w:rFonts w:hint="eastAsia" w:ascii="仿宋" w:hAnsi="仿宋" w:eastAsia="仿宋" w:cs="仿宋"/>
              <w:sz w:val="32"/>
              <w:szCs w:val="32"/>
            </w:rPr>
            <w:fldChar w:fldCharType="separate"/>
          </w:r>
          <w:r>
            <w:rPr>
              <w:rFonts w:hint="eastAsia" w:ascii="仿宋" w:hAnsi="仿宋" w:eastAsia="仿宋" w:cs="仿宋"/>
              <w:sz w:val="32"/>
              <w:szCs w:val="32"/>
            </w:rPr>
            <w:t>21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_Toc12671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五、安全、健康要求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_Toc12671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_Toc15158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（一）赛场人员安全要求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_Toc15158 \h </w:instrText>
          </w:r>
          <w:r>
            <w:rPr>
              <w:rFonts w:hint="eastAsia" w:ascii="仿宋" w:hAnsi="仿宋" w:eastAsia="仿宋" w:cs="仿宋"/>
              <w:sz w:val="32"/>
              <w:szCs w:val="32"/>
            </w:rPr>
            <w:fldChar w:fldCharType="separate"/>
          </w:r>
          <w:r>
            <w:rPr>
              <w:rFonts w:hint="eastAsia" w:ascii="仿宋" w:hAnsi="仿宋" w:eastAsia="仿宋" w:cs="仿宋"/>
              <w:sz w:val="32"/>
              <w:szCs w:val="32"/>
            </w:rPr>
            <w:t>28</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_Toc1855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（二）场地设备安全要求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_Toc1855 \h </w:instrText>
          </w:r>
          <w:r>
            <w:rPr>
              <w:rFonts w:hint="eastAsia" w:ascii="仿宋" w:hAnsi="仿宋" w:eastAsia="仿宋" w:cs="仿宋"/>
              <w:sz w:val="32"/>
              <w:szCs w:val="32"/>
            </w:rPr>
            <w:fldChar w:fldCharType="separate"/>
          </w:r>
          <w:r>
            <w:rPr>
              <w:rFonts w:hint="eastAsia" w:ascii="仿宋" w:hAnsi="仿宋" w:eastAsia="仿宋" w:cs="仿宋"/>
              <w:sz w:val="32"/>
              <w:szCs w:val="32"/>
            </w:rPr>
            <w:t>29</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_Toc1458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模块A板对接仰位焊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_Toc1458 \h </w:instrText>
          </w:r>
          <w:r>
            <w:rPr>
              <w:rFonts w:hint="eastAsia" w:ascii="仿宋" w:hAnsi="仿宋" w:eastAsia="仿宋" w:cs="仿宋"/>
              <w:sz w:val="32"/>
              <w:szCs w:val="32"/>
            </w:rPr>
            <w:fldChar w:fldCharType="separate"/>
          </w:r>
          <w:r>
            <w:rPr>
              <w:rFonts w:hint="eastAsia" w:ascii="仿宋" w:hAnsi="仿宋" w:eastAsia="仿宋" w:cs="仿宋"/>
              <w:sz w:val="32"/>
              <w:szCs w:val="32"/>
            </w:rPr>
            <w:t>32</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_Toc30848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模块B管对接垂直固定焊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_Toc30848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5"/>
            <w:tabs>
              <w:tab w:val="right" w:leader="dot" w:pos="8845"/>
            </w:tabs>
            <w:rPr>
              <w:rFonts w:hint="eastAsia" w:ascii="仿宋" w:hAnsi="仿宋" w:eastAsia="仿宋" w:cs="仿宋"/>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_Toc15664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模块C板对接横位焊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_Toc15664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rPr>
              <w:rFonts w:hint="default"/>
              <w:lang w:val="en-US" w:eastAsia="zh-CN"/>
            </w:rPr>
            <w:sectPr>
              <w:footerReference r:id="rId5" w:type="default"/>
              <w:pgSz w:w="11906" w:h="16838"/>
              <w:pgMar w:top="2098" w:right="1474" w:bottom="1984" w:left="1587" w:header="851" w:footer="1417" w:gutter="0"/>
              <w:pgNumType w:fmt="decimal"/>
              <w:cols w:space="425" w:num="1"/>
              <w:docGrid w:type="lines" w:linePitch="312" w:charSpace="0"/>
            </w:sectPr>
          </w:pPr>
          <w:r>
            <w:rPr>
              <w:rFonts w:hint="eastAsia" w:ascii="仿宋" w:hAnsi="仿宋" w:eastAsia="仿宋" w:cs="仿宋"/>
              <w:sz w:val="32"/>
              <w:szCs w:val="32"/>
              <w:lang w:val="en-US" w:eastAsia="zh-CN"/>
            </w:rPr>
            <w:fldChar w:fldCharType="end"/>
          </w:r>
        </w:p>
      </w:sdtContent>
    </w:sdt>
    <w:p>
      <w:pPr>
        <w:pStyle w:val="3"/>
        <w:bidi w:val="0"/>
        <w:rPr>
          <w:rFonts w:hint="default"/>
          <w:lang w:val="en-US" w:eastAsia="zh-CN"/>
        </w:rPr>
      </w:pPr>
      <w:bookmarkStart w:id="0" w:name="_Toc30696"/>
      <w:r>
        <w:rPr>
          <w:rFonts w:hint="default"/>
          <w:lang w:val="en-US" w:eastAsia="zh-CN"/>
        </w:rPr>
        <w:t>一、技术描述</w:t>
      </w:r>
      <w:bookmarkEnd w:id="0"/>
    </w:p>
    <w:p>
      <w:pPr>
        <w:pStyle w:val="5"/>
        <w:bidi w:val="0"/>
        <w:outlineLvl w:val="1"/>
        <w:rPr>
          <w:rFonts w:hint="default"/>
          <w:lang w:val="en-US" w:eastAsia="zh-CN"/>
        </w:rPr>
      </w:pPr>
      <w:bookmarkStart w:id="1" w:name="_Toc18273"/>
      <w:r>
        <w:rPr>
          <w:rFonts w:hint="default"/>
          <w:lang w:val="en-US" w:eastAsia="zh-CN"/>
        </w:rPr>
        <w:t>（一）项目概要</w:t>
      </w:r>
      <w:bookmarkEnd w:id="1"/>
    </w:p>
    <w:p>
      <w:pPr>
        <w:bidi w:val="0"/>
        <w:rPr>
          <w:rFonts w:hint="default"/>
          <w:lang w:val="en-US" w:eastAsia="zh-CN"/>
        </w:rPr>
      </w:pPr>
      <w:r>
        <w:rPr>
          <w:rFonts w:hint="default"/>
          <w:lang w:val="en-US" w:eastAsia="zh-CN"/>
        </w:rPr>
        <w:t>焊工是操作焊接和切割设备，进行金属工件的焊接或切割成型的人员。为了达到质量要求，焊工必须能够读懂焊接图纸、焊接标准和标记符号。焊工还应了解材料的特性并掌握所要求的焊接方法。</w:t>
      </w:r>
    </w:p>
    <w:p>
      <w:pPr>
        <w:bidi w:val="0"/>
        <w:rPr>
          <w:rFonts w:hint="default"/>
          <w:lang w:val="en-US" w:eastAsia="zh-CN"/>
        </w:rPr>
      </w:pPr>
      <w:r>
        <w:rPr>
          <w:rFonts w:hint="default"/>
          <w:lang w:val="en-US" w:eastAsia="zh-CN"/>
        </w:rPr>
        <w:t>焊工的焊接技能应涵盖多种材料的型材、板、管的各类产品的组对和工程焊接，本次竞赛只涉及低碳钢材料。</w:t>
      </w:r>
    </w:p>
    <w:p>
      <w:pPr>
        <w:bidi w:val="0"/>
        <w:rPr>
          <w:rFonts w:hint="default"/>
          <w:lang w:val="en-US" w:eastAsia="zh-CN"/>
        </w:rPr>
      </w:pPr>
      <w:r>
        <w:rPr>
          <w:rFonts w:hint="default"/>
          <w:lang w:val="en-US" w:eastAsia="zh-CN"/>
        </w:rPr>
        <w:t>焊工应掌握焊接作业安全和个人职业健康防护知识，并严格遵守安全和个人健康防护相关规定。</w:t>
      </w:r>
    </w:p>
    <w:p>
      <w:pPr>
        <w:pStyle w:val="5"/>
        <w:bidi w:val="0"/>
        <w:outlineLvl w:val="1"/>
        <w:rPr>
          <w:rFonts w:hint="default"/>
          <w:lang w:val="en-US" w:eastAsia="zh-CN"/>
        </w:rPr>
      </w:pPr>
      <w:bookmarkStart w:id="2" w:name="_Toc2998"/>
      <w:r>
        <w:rPr>
          <w:rFonts w:hint="default"/>
          <w:lang w:val="en-US" w:eastAsia="zh-CN"/>
        </w:rPr>
        <w:t>（二）基本知识与能力要求</w:t>
      </w:r>
      <w:bookmarkEnd w:id="2"/>
    </w:p>
    <w:p>
      <w:pPr>
        <w:bidi w:val="0"/>
        <w:rPr>
          <w:rFonts w:hint="default"/>
          <w:lang w:val="en-US" w:eastAsia="zh-CN"/>
        </w:rPr>
      </w:pPr>
      <w:r>
        <w:rPr>
          <w:rFonts w:hint="default"/>
          <w:lang w:val="en-US" w:eastAsia="zh-CN"/>
        </w:rPr>
        <w:t>参赛选手应掌握焊接相关的理论知识，但本次选拔赛不单独进行理论知识考试，相关的理论知识与要求将通过实际操作比赛来考核。按照世界技能标准规范要求（WSSS），选手应理解掌握下列知识与技能。</w:t>
      </w:r>
    </w:p>
    <w:p>
      <w:pPr>
        <w:bidi w:val="0"/>
        <w:rPr>
          <w:rFonts w:hint="default"/>
          <w:lang w:val="en-US" w:eastAsia="zh-CN"/>
        </w:rPr>
      </w:pPr>
    </w:p>
    <w:p>
      <w:pPr>
        <w:pStyle w:val="2"/>
        <w:bidi w:val="0"/>
        <w:rPr>
          <w:rFonts w:hint="default"/>
          <w:lang w:val="en-US" w:eastAsia="zh-CN"/>
        </w:rPr>
      </w:pPr>
      <w:bookmarkStart w:id="3" w:name="_Toc20522"/>
      <w:r>
        <w:rPr>
          <w:rFonts w:hint="default"/>
          <w:lang w:val="en-US" w:eastAsia="zh-CN"/>
        </w:rPr>
        <w:t>知识与技能</w:t>
      </w:r>
      <w:bookmarkEnd w:id="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6803"/>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pStyle w:val="82"/>
              <w:keepNext w:val="0"/>
              <w:keepLines w:val="0"/>
              <w:pageBreakBefore w:val="0"/>
              <w:widowControl w:val="0"/>
              <w:kinsoku/>
              <w:wordWrap/>
              <w:overflowPunct/>
              <w:topLinePunct w:val="0"/>
              <w:autoSpaceDE/>
              <w:autoSpaceDN/>
              <w:bidi w:val="0"/>
              <w:adjustRightInd/>
              <w:snapToGrid w:val="0"/>
              <w:spacing w:before="69" w:line="240" w:lineRule="auto"/>
              <w:ind w:left="0" w:leftChars="0" w:firstLine="0" w:firstLineChars="0"/>
              <w:jc w:val="center"/>
              <w:textAlignment w:val="auto"/>
              <w:rPr>
                <w:rFonts w:hint="default"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1</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工作组织和管理</w:t>
            </w:r>
          </w:p>
        </w:tc>
        <w:tc>
          <w:tcPr>
            <w:tcW w:w="1417" w:type="dxa"/>
            <w:vAlign w:val="center"/>
          </w:tcPr>
          <w:p>
            <w:pPr>
              <w:pStyle w:val="82"/>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center"/>
              <w:textAlignment w:val="auto"/>
              <w:rPr>
                <w:rFonts w:hint="default"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1)焊接行业相关的健康、安全、防护和卫生的标准和法规；</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2)在各种环境下个人防护装备的防护范围、使用和维护；</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3)特殊作业或危险作业时如何选择和使用安全设备；</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4)采用ISOE和/或ISOA（欧洲和/或美国）标准的图纸表达方法；</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5)图纸和竞赛方案中使用的术语和符号；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6)制造商提供的术语和安全数据；</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7)焊接作业对环境和可持续发展的要求和影响；</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8)基本数学运算和单位转换；</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9)几何原理、方法及计算</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1)注意自身和他人安全；</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2)根据需要，选择、穿戴并维护个人防护装备；</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3)识别危险情况，并采取适当措施以保护自身和他人安全；</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4)在危险环境作业时，应遵守正确的工艺流程；</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5)定位并识别尺寸和焊接符号；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6)遵守生产商提供的安全数据表；</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7)保持工作环境整洁；</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8)在规定时间内完成工作；</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9)遵守特定焊接工艺规程完成合格焊缝。</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2</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准备和组装技术</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1)制造或工程图纸及焊接符号的含义；</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2)焊材的分类和具体使用，包含：</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1非熔化极焊接方法用焊丝的型号和牌号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2熔化极焊接方法用焊丝的规格和特定用途</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3焊条的选择和准备</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3)表面污染对焊缝性能的影响机理；</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4)依据下列内容正确设定焊机：</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1焊接极性</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2焊接位置</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3材料</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4材料厚度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5填充材料和送丝速度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5)设备硬件、GTAW钨极形状、焊丝种类和直径等所需的精细调整；</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6)与接头的形状、强度和材质相匹配的坡口制备方法；</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7)钢材及其合金的变形控制方法。</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1）根据产品说明书进行焊接设备设置，包含（但不限于）：</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1焊接极性</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2焊接电流</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3焊接电压</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4送丝速度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5焊接速度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6焊枪运行/焊条倾角</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7熔敷金属过渡模式</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2）根据规范和图纸要求制备母材坡口；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3）通过合理的准备和操作来减少和校正变形；</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4）执行合理的工艺来控制热输入。</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3</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焊接材料</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1)下列材料的机械性能和物理性能：</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1碳钢</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2)根据母材正确选择焊接方法；</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3)焊材的选择；</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4)焊材的正确存放和处理方式；</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5)焊接气体和保护气体的术语、特性以及安全使用；</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6)焊接对材料组织的影响。</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1)根据材料的机械性能和物理性能使用材料；</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2)根据焊材的种类、用途和安全因素正确储存焊材；</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3)依据图纸材料清单，选择并准备材料；</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4)选择保护焊缝区域不受污染的方法；</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5)选择保护气体。</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4</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焊条电弧焊SMAW（111）和熔化极非惰性气体保护焊GMAW（135）</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焊接方法</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1)解读图纸和焊接符号含义；</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2)焊接位置，焊接倾角和焊接速度；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3)有效起弧/停弧的技术；</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4)单面焊双面成形技术；</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5)消除对接焊缝和角焊缝熔敷缺陷的技术。</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1)按照规程规范进行焊接接头焊接；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2)解读焊接术语并完成符合规范要求的任务；</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3)在所有位置（除立向下外）进行碳钢板、管的单面焊双面成形焊缝的焊接；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4)管、板对接全熔透焊焊缝的焊接；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5)停弧/起弧。</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5</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非惰性气体保护药芯焊丝电弧焊FCAW-G（136）焊接方法</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1)解读图纸和焊接符号含义；</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2)焊接位置，焊接倾角和焊接速度；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3)有效起弧/停弧的技术；</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4)消除对接焊缝熔敷缺陷的技术。</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1)按照规程规范进行焊接接头焊接；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2)解读焊接术语并完成符合规范要求的任务；</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3)碳钢板、管的所有位置（除立向下外）的焊接；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4)停弧/起弧；</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5)管、板对接全熔透焊焊缝的焊接。</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6</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钨极惰性气体保护电弧焊GTAW（141）焊接方法</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选手需了解和掌握：</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1)解读图纸和焊接符号含义；</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2)焊接位置，焊接倾角和焊接速度；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3)有效起弧/停弧的技术；</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4)消除对接焊缝和角焊缝熔敷缺陷的技术。</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1)按照规程规范进行焊接接头焊接；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2)解读焊接术语并完成符合规范要求的任务；</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3)在所有位置（除立向下外）进行碳钢、不锈钢的板、管的焊接；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4)停弧/起弧；</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5)管、板的全熔透对接焊缝的焊接；</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7</w:t>
            </w: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最后清理、质量保证和检测</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kern w:val="2"/>
                <w:sz w:val="24"/>
                <w:szCs w:val="24"/>
                <w:lang w:val="en-US" w:eastAsia="zh-CN" w:bidi="ar-SA"/>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选手需了解和理解：</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1)控制焊接质量的规范标准；</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2)焊接行业专业术语；</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3)焊接过程中可能出现的缺欠/缺陷；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4)焊缝金属洁净度对焊接质量的重要性；</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5)无损试验的适用范围；</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6)符合国际标准的焊工资格认证试样。</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选手应具备的能力：</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1)施焊的焊缝满足图纸和法规要求；</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2)识别焊接缺陷，并采取恰当的措施予以修补；</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3)采用恰当的措施保持焊缝金属的洁净度；</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4)使用钢丝刷、刮刀、錾子等进行焊缝清理；</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5)根据图纸要求，检查焊件是否达到所需的几何尺寸、垂直度、角变形、错边等偏差要求；</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6)进行基本的无损检测，并了解更先进的检测方法；</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4"/>
                <w:szCs w:val="24"/>
                <w:vertAlign w:val="baseline"/>
                <w:lang w:val="en-US" w:eastAsia="zh-CN"/>
              </w:rPr>
            </w:pPr>
          </w:p>
        </w:tc>
        <w:tc>
          <w:tcPr>
            <w:tcW w:w="68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合计</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仿宋" w:hAnsi="仿宋" w:eastAsia="仿宋" w:cs="仿宋"/>
                <w:b w:val="0"/>
                <w:bCs w:val="0"/>
                <w:sz w:val="24"/>
                <w:szCs w:val="24"/>
                <w:vertAlign w:val="baseline"/>
                <w:lang w:val="en-US" w:eastAsia="zh-CN"/>
              </w:rPr>
            </w:pPr>
            <w:r>
              <w:rPr>
                <w:rFonts w:hint="eastAsia" w:ascii="仿宋" w:hAnsi="仿宋" w:cs="仿宋"/>
                <w:b w:val="0"/>
                <w:bCs w:val="0"/>
                <w:sz w:val="24"/>
                <w:szCs w:val="24"/>
                <w:vertAlign w:val="baseline"/>
                <w:lang w:val="en-US" w:eastAsia="zh-CN"/>
              </w:rPr>
              <w:t>100</w:t>
            </w:r>
          </w:p>
        </w:tc>
      </w:tr>
    </w:tbl>
    <w:p>
      <w:pPr>
        <w:bidi w:val="0"/>
        <w:ind w:left="0" w:leftChars="0" w:firstLine="0" w:firstLineChars="0"/>
        <w:rPr>
          <w:rFonts w:hint="default"/>
          <w:lang w:val="en-US" w:eastAsia="zh-CN"/>
        </w:rPr>
      </w:pPr>
    </w:p>
    <w:p>
      <w:pPr>
        <w:pStyle w:val="5"/>
        <w:bidi w:val="0"/>
        <w:outlineLvl w:val="1"/>
        <w:rPr>
          <w:rFonts w:hint="default"/>
          <w:lang w:val="en-US" w:eastAsia="zh-CN"/>
        </w:rPr>
      </w:pPr>
      <w:bookmarkStart w:id="4" w:name="_Toc4451"/>
      <w:r>
        <w:rPr>
          <w:rFonts w:hint="default"/>
          <w:lang w:val="en-US" w:eastAsia="zh-CN"/>
        </w:rPr>
        <w:t>（三）相关文件</w:t>
      </w:r>
      <w:bookmarkEnd w:id="4"/>
    </w:p>
    <w:p>
      <w:pPr>
        <w:bidi w:val="0"/>
        <w:rPr>
          <w:rFonts w:hint="default"/>
          <w:lang w:val="en-US" w:eastAsia="zh-CN"/>
        </w:rPr>
      </w:pPr>
      <w:r>
        <w:rPr>
          <w:rFonts w:hint="default"/>
          <w:lang w:val="en-US" w:eastAsia="zh-CN"/>
        </w:rPr>
        <w:t>本技术文件只包含项目技术规则的相关信息。除阅读本文件外，本项目竞赛还需配合下列相关文件一同使用：</w:t>
      </w:r>
    </w:p>
    <w:p>
      <w:pPr>
        <w:bidi w:val="0"/>
        <w:rPr>
          <w:rFonts w:hint="default"/>
          <w:lang w:val="en-US" w:eastAsia="zh-CN"/>
        </w:rPr>
      </w:pPr>
      <w:r>
        <w:rPr>
          <w:rFonts w:hint="default"/>
          <w:lang w:val="en-US" w:eastAsia="zh-CN"/>
        </w:rPr>
        <w:t>.竞赛试题图纸</w:t>
      </w:r>
    </w:p>
    <w:p>
      <w:pPr>
        <w:bidi w:val="0"/>
        <w:rPr>
          <w:rFonts w:hint="default"/>
          <w:lang w:val="en-US" w:eastAsia="zh-CN"/>
        </w:rPr>
      </w:pPr>
      <w:r>
        <w:rPr>
          <w:rFonts w:hint="default"/>
          <w:lang w:val="en-US" w:eastAsia="zh-CN"/>
        </w:rPr>
        <w:t>.评分标准</w:t>
      </w:r>
    </w:p>
    <w:p>
      <w:pPr>
        <w:bidi w:val="0"/>
        <w:rPr>
          <w:rFonts w:hint="default"/>
          <w:lang w:val="en-US" w:eastAsia="zh-CN"/>
        </w:rPr>
      </w:pPr>
      <w:r>
        <w:rPr>
          <w:rFonts w:hint="default"/>
          <w:lang w:val="en-US" w:eastAsia="zh-CN"/>
        </w:rPr>
        <w:t>.ISO5817焊接——钢、镍、钛及其合金的熔化焊焊缝（电子束焊接除外）缺陷质量分级指南</w:t>
      </w:r>
    </w:p>
    <w:p>
      <w:pPr>
        <w:bidi w:val="0"/>
        <w:rPr>
          <w:rFonts w:hint="default"/>
          <w:lang w:val="en-US" w:eastAsia="zh-CN"/>
        </w:rPr>
      </w:pPr>
      <w:r>
        <w:rPr>
          <w:rFonts w:hint="default"/>
          <w:lang w:val="en-US" w:eastAsia="zh-CN"/>
        </w:rPr>
        <w:t>.ISO9606焊工资格考试——熔焊第一部分：钢</w:t>
      </w:r>
    </w:p>
    <w:p>
      <w:pPr>
        <w:bidi w:val="0"/>
        <w:rPr>
          <w:rFonts w:hint="default"/>
          <w:lang w:val="en-US" w:eastAsia="zh-CN"/>
        </w:rPr>
      </w:pPr>
      <w:r>
        <w:rPr>
          <w:rFonts w:hint="default"/>
          <w:lang w:val="en-US" w:eastAsia="zh-CN"/>
        </w:rPr>
        <w:t>.ISO15608焊接——金属材料分类系统指南</w:t>
      </w:r>
    </w:p>
    <w:p>
      <w:pPr>
        <w:bidi w:val="0"/>
        <w:rPr>
          <w:rFonts w:hint="default"/>
          <w:lang w:val="en-US" w:eastAsia="zh-CN"/>
        </w:rPr>
      </w:pPr>
      <w:r>
        <w:rPr>
          <w:rFonts w:hint="default"/>
          <w:lang w:val="en-US" w:eastAsia="zh-CN"/>
        </w:rPr>
        <w:t>.ISO17635焊缝的无损检验——金属材料熔焊的一般规则</w:t>
      </w:r>
    </w:p>
    <w:p>
      <w:pPr>
        <w:bidi w:val="0"/>
        <w:rPr>
          <w:rFonts w:hint="default"/>
          <w:lang w:val="en-US" w:eastAsia="zh-CN"/>
        </w:rPr>
      </w:pPr>
      <w:r>
        <w:rPr>
          <w:rFonts w:hint="default"/>
          <w:lang w:val="en-US" w:eastAsia="zh-CN"/>
        </w:rPr>
        <w:t>.ISO630结构钢的热轧产品，通用交货技术条件</w:t>
      </w:r>
    </w:p>
    <w:p>
      <w:pPr>
        <w:bidi w:val="0"/>
        <w:rPr>
          <w:rFonts w:hint="default"/>
          <w:lang w:val="en-US" w:eastAsia="zh-CN"/>
        </w:rPr>
      </w:pPr>
      <w:r>
        <w:rPr>
          <w:rFonts w:hint="default"/>
          <w:lang w:val="en-US" w:eastAsia="zh-CN"/>
        </w:rPr>
        <w:t>.ISO2553焊接及相关工艺—图纸上的符号表示—焊接接头</w:t>
      </w:r>
    </w:p>
    <w:p>
      <w:pPr>
        <w:bidi w:val="0"/>
        <w:rPr>
          <w:rFonts w:hint="default"/>
          <w:lang w:val="en-US" w:eastAsia="zh-CN"/>
        </w:rPr>
      </w:pPr>
      <w:r>
        <w:rPr>
          <w:rFonts w:hint="default"/>
          <w:lang w:val="en-US" w:eastAsia="zh-CN"/>
        </w:rPr>
        <w:t>.GB/T34560.1结构钢第1部分：热轧产品一般交货技术条件</w:t>
      </w:r>
    </w:p>
    <w:p>
      <w:pPr>
        <w:bidi w:val="0"/>
        <w:rPr>
          <w:rFonts w:hint="default"/>
          <w:lang w:val="en-US" w:eastAsia="zh-CN"/>
        </w:rPr>
      </w:pPr>
      <w:r>
        <w:rPr>
          <w:rFonts w:hint="default"/>
          <w:lang w:val="en-US" w:eastAsia="zh-CN"/>
        </w:rPr>
        <w:t>.GB/T700碳素结构钢</w:t>
      </w:r>
    </w:p>
    <w:p>
      <w:pPr>
        <w:bidi w:val="0"/>
        <w:rPr>
          <w:rFonts w:hint="default"/>
          <w:lang w:val="en-US" w:eastAsia="zh-CN"/>
        </w:rPr>
      </w:pPr>
      <w:r>
        <w:rPr>
          <w:rFonts w:hint="default"/>
          <w:lang w:val="en-US" w:eastAsia="zh-CN"/>
        </w:rPr>
        <w:t>.GB/T1591低合金高强度结构钢</w:t>
      </w:r>
    </w:p>
    <w:p>
      <w:pPr>
        <w:bidi w:val="0"/>
        <w:rPr>
          <w:rFonts w:hint="default"/>
          <w:lang w:val="en-US" w:eastAsia="zh-CN"/>
        </w:rPr>
      </w:pPr>
      <w:r>
        <w:rPr>
          <w:rFonts w:hint="default"/>
          <w:lang w:val="en-US" w:eastAsia="zh-CN"/>
        </w:rPr>
        <w:t>.AWSA2.4焊接、钎焊和无损检测标准符号</w:t>
      </w:r>
    </w:p>
    <w:p>
      <w:pPr>
        <w:bidi w:val="0"/>
        <w:rPr>
          <w:rFonts w:hint="default"/>
          <w:lang w:val="en-US" w:eastAsia="zh-CN"/>
        </w:rPr>
      </w:pPr>
      <w:r>
        <w:rPr>
          <w:rFonts w:hint="default"/>
          <w:lang w:val="en-US" w:eastAsia="zh-CN"/>
        </w:rPr>
        <w:t>.AWSA3.0标准焊接术语和定义</w:t>
      </w:r>
    </w:p>
    <w:p>
      <w:pPr>
        <w:bidi w:val="0"/>
        <w:rPr>
          <w:rFonts w:hint="default"/>
          <w:lang w:val="en-US" w:eastAsia="zh-CN"/>
        </w:rPr>
      </w:pPr>
      <w:r>
        <w:rPr>
          <w:rFonts w:hint="default"/>
          <w:lang w:val="en-US" w:eastAsia="zh-CN"/>
        </w:rPr>
        <w:t>.ASMEB16.9工厂锻造对焊管件</w:t>
      </w:r>
    </w:p>
    <w:p>
      <w:pPr>
        <w:bidi w:val="0"/>
        <w:rPr>
          <w:rFonts w:hint="default"/>
          <w:lang w:val="en-US" w:eastAsia="zh-CN"/>
        </w:rPr>
      </w:pPr>
      <w:r>
        <w:rPr>
          <w:rFonts w:hint="default"/>
          <w:lang w:val="en-US" w:eastAsia="zh-CN"/>
        </w:rPr>
        <w:t>.ASMEB36.10焊接和无缝轧制钢管</w:t>
      </w:r>
    </w:p>
    <w:p>
      <w:pPr>
        <w:bidi w:val="0"/>
        <w:rPr>
          <w:rFonts w:hint="default"/>
          <w:lang w:val="en-US" w:eastAsia="zh-CN"/>
        </w:rPr>
      </w:pPr>
      <w:r>
        <w:rPr>
          <w:rFonts w:hint="default"/>
          <w:lang w:val="en-US" w:eastAsia="zh-CN"/>
        </w:rPr>
        <w:t>.GB/T3323.1《焊接无损检测射线检测第1部分：X和伽玛射线的胶片技术》</w:t>
      </w:r>
    </w:p>
    <w:p>
      <w:pPr>
        <w:bidi w:val="0"/>
        <w:rPr>
          <w:rFonts w:hint="default"/>
          <w:lang w:val="en-US" w:eastAsia="zh-CN"/>
        </w:rPr>
      </w:pPr>
      <w:r>
        <w:rPr>
          <w:rFonts w:hint="default"/>
          <w:lang w:val="en-US" w:eastAsia="zh-CN"/>
        </w:rPr>
        <w:t>.职业技能大赛及焊接职业健康、安全和环境相关规则、法规和要求</w:t>
      </w:r>
    </w:p>
    <w:p>
      <w:pPr>
        <w:bidi w:val="0"/>
        <w:rPr>
          <w:rFonts w:hint="default"/>
          <w:lang w:val="en-US" w:eastAsia="zh-CN"/>
        </w:rPr>
      </w:pPr>
      <w:r>
        <w:rPr>
          <w:rFonts w:hint="default"/>
          <w:lang w:val="en-US" w:eastAsia="zh-CN"/>
        </w:rPr>
        <w:t>.职业技能大赛组委会道德行为规范相关要求</w:t>
      </w:r>
    </w:p>
    <w:p>
      <w:pPr>
        <w:bidi w:val="0"/>
        <w:rPr>
          <w:rFonts w:hint="default"/>
          <w:lang w:val="en-US" w:eastAsia="zh-CN"/>
        </w:rPr>
      </w:pPr>
    </w:p>
    <w:p>
      <w:pPr>
        <w:pStyle w:val="3"/>
        <w:bidi w:val="0"/>
        <w:outlineLvl w:val="0"/>
        <w:rPr>
          <w:rFonts w:hint="default"/>
          <w:lang w:val="en-US" w:eastAsia="zh-CN"/>
        </w:rPr>
      </w:pPr>
      <w:bookmarkStart w:id="5" w:name="_Toc6443"/>
      <w:r>
        <w:rPr>
          <w:rFonts w:hint="default"/>
          <w:lang w:val="en-US" w:eastAsia="zh-CN"/>
        </w:rPr>
        <w:t>二、试题及评判标准</w:t>
      </w:r>
      <w:bookmarkEnd w:id="5"/>
    </w:p>
    <w:p>
      <w:pPr>
        <w:pStyle w:val="5"/>
        <w:bidi w:val="0"/>
        <w:outlineLvl w:val="1"/>
        <w:rPr>
          <w:rFonts w:hint="default"/>
          <w:lang w:val="en-US" w:eastAsia="zh-CN"/>
        </w:rPr>
      </w:pPr>
      <w:bookmarkStart w:id="6" w:name="_Toc31207"/>
      <w:r>
        <w:rPr>
          <w:rFonts w:hint="default"/>
          <w:lang w:val="en-US" w:eastAsia="zh-CN"/>
        </w:rPr>
        <w:t>（一）试题</w:t>
      </w:r>
      <w:bookmarkEnd w:id="6"/>
    </w:p>
    <w:p>
      <w:pPr>
        <w:bidi w:val="0"/>
        <w:rPr>
          <w:rFonts w:hint="default"/>
          <w:lang w:val="en-US" w:eastAsia="zh-CN"/>
        </w:rPr>
      </w:pPr>
      <w:r>
        <w:rPr>
          <w:rFonts w:hint="default"/>
          <w:lang w:val="en-US" w:eastAsia="zh-CN"/>
        </w:rPr>
        <w:t>1.试题结构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4904"/>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Align w:val="top"/>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模块编号</w:t>
            </w:r>
          </w:p>
        </w:tc>
        <w:tc>
          <w:tcPr>
            <w:tcW w:w="4904" w:type="dxa"/>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模块名称</w:t>
            </w:r>
          </w:p>
        </w:tc>
        <w:tc>
          <w:tcPr>
            <w:tcW w:w="2269"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Align w:val="top"/>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A</w:t>
            </w:r>
          </w:p>
        </w:tc>
        <w:tc>
          <w:tcPr>
            <w:tcW w:w="4904" w:type="dxa"/>
          </w:tcPr>
          <w:p>
            <w:pPr>
              <w:bidi w:val="0"/>
              <w:jc w:val="center"/>
              <w:rPr>
                <w:rFonts w:hint="default"/>
                <w:sz w:val="24"/>
                <w:szCs w:val="24"/>
                <w:vertAlign w:val="baseline"/>
                <w:lang w:val="en-US" w:eastAsia="zh-CN"/>
              </w:rPr>
            </w:pPr>
            <w:r>
              <w:rPr>
                <w:rFonts w:ascii="仿宋" w:hAnsi="仿宋" w:eastAsia="仿宋" w:cs="仿宋"/>
                <w:spacing w:val="-2"/>
                <w:sz w:val="24"/>
                <w:szCs w:val="24"/>
              </w:rPr>
              <w:t>碳钢板对接仰位焊缝试件</w:t>
            </w:r>
          </w:p>
        </w:tc>
        <w:tc>
          <w:tcPr>
            <w:tcW w:w="2269" w:type="dxa"/>
            <w:vAlign w:val="center"/>
          </w:tcPr>
          <w:p>
            <w:pPr>
              <w:bidi w:val="0"/>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Align w:val="top"/>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B</w:t>
            </w:r>
          </w:p>
        </w:tc>
        <w:tc>
          <w:tcPr>
            <w:tcW w:w="4904" w:type="dxa"/>
          </w:tcPr>
          <w:p>
            <w:pPr>
              <w:bidi w:val="0"/>
              <w:jc w:val="center"/>
              <w:rPr>
                <w:rFonts w:hint="default"/>
                <w:sz w:val="24"/>
                <w:szCs w:val="24"/>
                <w:vertAlign w:val="baseline"/>
                <w:lang w:val="en-US" w:eastAsia="zh-CN"/>
              </w:rPr>
            </w:pPr>
            <w:r>
              <w:rPr>
                <w:rFonts w:ascii="仿宋" w:hAnsi="仿宋" w:eastAsia="仿宋" w:cs="仿宋"/>
                <w:spacing w:val="-2"/>
                <w:sz w:val="24"/>
                <w:szCs w:val="24"/>
              </w:rPr>
              <w:t>碳钢垂直固定管对接试件</w:t>
            </w:r>
          </w:p>
        </w:tc>
        <w:tc>
          <w:tcPr>
            <w:tcW w:w="2269" w:type="dxa"/>
            <w:vAlign w:val="center"/>
          </w:tcPr>
          <w:p>
            <w:pPr>
              <w:bidi w:val="0"/>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Align w:val="top"/>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C</w:t>
            </w:r>
          </w:p>
        </w:tc>
        <w:tc>
          <w:tcPr>
            <w:tcW w:w="4904" w:type="dxa"/>
          </w:tcPr>
          <w:p>
            <w:pPr>
              <w:bidi w:val="0"/>
              <w:jc w:val="center"/>
              <w:rPr>
                <w:rFonts w:hint="default"/>
                <w:sz w:val="24"/>
                <w:szCs w:val="24"/>
                <w:vertAlign w:val="baseline"/>
                <w:lang w:val="en-US" w:eastAsia="zh-CN"/>
              </w:rPr>
            </w:pPr>
            <w:r>
              <w:rPr>
                <w:rFonts w:ascii="仿宋" w:hAnsi="仿宋" w:eastAsia="仿宋" w:cs="仿宋"/>
                <w:spacing w:val="-2"/>
                <w:sz w:val="24"/>
                <w:szCs w:val="24"/>
              </w:rPr>
              <w:t>碳钢板对接横位焊缝试件</w:t>
            </w:r>
          </w:p>
        </w:tc>
        <w:tc>
          <w:tcPr>
            <w:tcW w:w="2269" w:type="dxa"/>
            <w:vAlign w:val="center"/>
          </w:tcPr>
          <w:p>
            <w:pPr>
              <w:bidi w:val="0"/>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Align w:val="top"/>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D</w:t>
            </w:r>
          </w:p>
        </w:tc>
        <w:tc>
          <w:tcPr>
            <w:tcW w:w="4904" w:type="dxa"/>
          </w:tcPr>
          <w:p>
            <w:pPr>
              <w:bidi w:val="0"/>
              <w:jc w:val="center"/>
              <w:rPr>
                <w:rFonts w:hint="default" w:eastAsia="仿宋"/>
                <w:sz w:val="24"/>
                <w:szCs w:val="24"/>
                <w:vertAlign w:val="baseline"/>
                <w:lang w:val="en-US" w:eastAsia="zh-CN"/>
              </w:rPr>
            </w:pPr>
            <w:r>
              <w:rPr>
                <w:rFonts w:ascii="仿宋" w:hAnsi="仿宋" w:eastAsia="仿宋" w:cs="仿宋"/>
                <w:spacing w:val="-2"/>
                <w:sz w:val="24"/>
                <w:szCs w:val="24"/>
              </w:rPr>
              <w:t>现场操作安全要求及职业素养</w:t>
            </w:r>
          </w:p>
        </w:tc>
        <w:tc>
          <w:tcPr>
            <w:tcW w:w="2269" w:type="dxa"/>
            <w:vAlign w:val="center"/>
          </w:tcPr>
          <w:p>
            <w:pPr>
              <w:bidi w:val="0"/>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2" w:type="dxa"/>
            <w:gridSpan w:val="2"/>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总分</w:t>
            </w:r>
          </w:p>
        </w:tc>
        <w:tc>
          <w:tcPr>
            <w:tcW w:w="2269" w:type="dxa"/>
            <w:vAlign w:val="top"/>
          </w:tcPr>
          <w:p>
            <w:pPr>
              <w:bidi w:val="0"/>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3"/>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vertAlign w:val="baseline"/>
                <w:lang w:val="en-US" w:eastAsia="zh-CN"/>
              </w:rPr>
            </w:pPr>
            <w:r>
              <w:rPr>
                <w:rFonts w:hint="default"/>
                <w:sz w:val="24"/>
                <w:szCs w:val="24"/>
                <w:lang w:val="en-US" w:eastAsia="zh-CN"/>
              </w:rPr>
              <w:t>*：各模块的竞赛时间可以由选手自己控制，但总竞赛时间不得超过3.0个小时，且必须按照A、B、C的顺序依次完成3个模块的焊接。模块A、B、C须做射线检测，D模块只做现场考核评分。分值配比见各模块评分表，比赛时长为180分钟。</w:t>
            </w:r>
          </w:p>
        </w:tc>
      </w:tr>
    </w:tbl>
    <w:p>
      <w:pPr>
        <w:bidi w:val="0"/>
        <w:ind w:left="0" w:leftChars="0" w:firstLine="640" w:firstLineChars="200"/>
        <w:rPr>
          <w:rFonts w:hint="default"/>
          <w:lang w:val="en-US" w:eastAsia="zh-CN"/>
        </w:rPr>
      </w:pPr>
      <w:r>
        <w:rPr>
          <w:rFonts w:hint="default"/>
          <w:lang w:val="en-US" w:eastAsia="zh-CN"/>
        </w:rPr>
        <w:t>2.试题具体内容</w:t>
      </w:r>
    </w:p>
    <w:p>
      <w:pPr>
        <w:bidi w:val="0"/>
        <w:rPr>
          <w:rFonts w:hint="default"/>
          <w:lang w:val="en-US" w:eastAsia="zh-CN"/>
        </w:rPr>
      </w:pPr>
      <w:r>
        <w:rPr>
          <w:rFonts w:hint="default"/>
          <w:lang w:val="en-US" w:eastAsia="zh-CN"/>
        </w:rPr>
        <w:t>（1）模块A：</w:t>
      </w:r>
    </w:p>
    <w:p>
      <w:pPr>
        <w:bidi w:val="0"/>
        <w:rPr>
          <w:rFonts w:hint="default"/>
          <w:lang w:val="en-US" w:eastAsia="zh-CN"/>
        </w:rPr>
      </w:pPr>
      <w:r>
        <w:rPr>
          <w:rFonts w:hint="default"/>
          <w:lang w:val="en-US" w:eastAsia="zh-CN"/>
        </w:rPr>
        <w:t>试件由260mm×100mm×10mm低碳钢板组成：采用碱性焊条电弧焊焊接方法，焊接位置为板对接焊缝的仰位焊;焊后须做两端去除20mm的外观检验和X射线探伤。</w:t>
      </w:r>
    </w:p>
    <w:p>
      <w:pPr>
        <w:bidi w:val="0"/>
        <w:rPr>
          <w:rFonts w:hint="default"/>
          <w:lang w:val="en-US" w:eastAsia="zh-CN"/>
        </w:rPr>
      </w:pPr>
      <w:r>
        <w:rPr>
          <w:rFonts w:hint="default"/>
          <w:lang w:val="en-US" w:eastAsia="zh-CN"/>
        </w:rPr>
        <w:t>（2）模块B：</w:t>
      </w:r>
    </w:p>
    <w:p>
      <w:pPr>
        <w:bidi w:val="0"/>
        <w:rPr>
          <w:rFonts w:hint="default"/>
          <w:lang w:val="en-US" w:eastAsia="zh-CN"/>
        </w:rPr>
      </w:pPr>
      <w:r>
        <w:rPr>
          <w:rFonts w:hint="default"/>
          <w:lang w:val="en-US" w:eastAsia="zh-CN"/>
        </w:rPr>
        <w:t>试件由Ø114mm×100mm×8.5mm管对接组装焊接,焊接位置为管对接焊缝的垂直固定焊。氩弧焊打底、二氧化碳气体保护焊药芯焊丝进行连弧填充、盖面；打底层、填充层与盖面层须同一方向焊接；焊后须做全焊缝外观检验和X射线探伤。</w:t>
      </w:r>
    </w:p>
    <w:p>
      <w:pPr>
        <w:bidi w:val="0"/>
        <w:rPr>
          <w:rFonts w:hint="default"/>
          <w:lang w:val="en-US" w:eastAsia="zh-CN"/>
        </w:rPr>
      </w:pPr>
      <w:r>
        <w:rPr>
          <w:rFonts w:hint="default"/>
          <w:lang w:val="en-US" w:eastAsia="zh-CN"/>
        </w:rPr>
        <w:t>（3）模块C：碳钢板横位焊件</w:t>
      </w:r>
    </w:p>
    <w:p>
      <w:pPr>
        <w:bidi w:val="0"/>
        <w:rPr>
          <w:rFonts w:hint="default"/>
          <w:lang w:val="en-US" w:eastAsia="zh-CN"/>
        </w:rPr>
      </w:pPr>
      <w:r>
        <w:rPr>
          <w:rFonts w:hint="default"/>
          <w:lang w:val="en-US" w:eastAsia="zh-CN"/>
        </w:rPr>
        <w:t>试件由260mm×100mm×16mm碳钢板组对，二氧化碳气体保护焊实芯焊丝连弧焊接；打底层与盖面层必须在中心位置30mm处熄弧接头；焊后须做两端去除20mm的外观检验和X射线探伤。</w:t>
      </w:r>
    </w:p>
    <w:p>
      <w:pPr>
        <w:pStyle w:val="5"/>
        <w:bidi w:val="0"/>
        <w:outlineLvl w:val="1"/>
        <w:rPr>
          <w:rFonts w:hint="default"/>
          <w:lang w:val="en-US" w:eastAsia="zh-CN"/>
        </w:rPr>
      </w:pPr>
      <w:bookmarkStart w:id="7" w:name="_Toc8231"/>
      <w:r>
        <w:rPr>
          <w:rFonts w:hint="default"/>
          <w:lang w:val="en-US" w:eastAsia="zh-CN"/>
        </w:rPr>
        <w:t>（二）命题方式</w:t>
      </w:r>
      <w:bookmarkEnd w:id="7"/>
    </w:p>
    <w:p>
      <w:pPr>
        <w:bidi w:val="0"/>
        <w:rPr>
          <w:rFonts w:hint="default"/>
          <w:lang w:val="en-US" w:eastAsia="zh-CN"/>
        </w:rPr>
      </w:pPr>
      <w:r>
        <w:rPr>
          <w:rFonts w:hint="default"/>
          <w:lang w:val="en-US" w:eastAsia="zh-CN"/>
        </w:rPr>
        <w:t>命题方式</w:t>
      </w:r>
    </w:p>
    <w:p>
      <w:pPr>
        <w:bidi w:val="0"/>
        <w:rPr>
          <w:rFonts w:hint="default"/>
          <w:lang w:val="en-US" w:eastAsia="zh-CN"/>
        </w:rPr>
      </w:pPr>
      <w:r>
        <w:rPr>
          <w:rFonts w:hint="default"/>
          <w:lang w:val="en-US" w:eastAsia="zh-CN"/>
        </w:rPr>
        <w:t>本赛项属于试题提前公布的项目。试题依照第一届湖南省职业技能大赛的原始试题经适当简化确定，实操比赛试题、评分标准及相关图纸提前公布。</w:t>
      </w:r>
    </w:p>
    <w:p>
      <w:pPr>
        <w:pStyle w:val="5"/>
        <w:bidi w:val="0"/>
        <w:outlineLvl w:val="1"/>
        <w:rPr>
          <w:rFonts w:hint="default"/>
          <w:lang w:val="en-US" w:eastAsia="zh-CN"/>
        </w:rPr>
      </w:pPr>
      <w:bookmarkStart w:id="8" w:name="_Toc511"/>
      <w:r>
        <w:rPr>
          <w:rFonts w:hint="default"/>
          <w:lang w:val="en-US" w:eastAsia="zh-CN"/>
        </w:rPr>
        <w:t>（三）试题说明</w:t>
      </w:r>
      <w:bookmarkEnd w:id="8"/>
    </w:p>
    <w:p>
      <w:pPr>
        <w:bidi w:val="0"/>
        <w:rPr>
          <w:rFonts w:hint="default"/>
          <w:lang w:val="en-US" w:eastAsia="zh-CN"/>
        </w:rPr>
      </w:pPr>
      <w:r>
        <w:rPr>
          <w:rFonts w:hint="default"/>
          <w:lang w:val="en-US" w:eastAsia="zh-CN"/>
        </w:rPr>
        <w:t>1.一般规定</w:t>
      </w:r>
    </w:p>
    <w:p>
      <w:pPr>
        <w:bidi w:val="0"/>
        <w:rPr>
          <w:rFonts w:hint="default"/>
          <w:lang w:val="en-US" w:eastAsia="zh-CN"/>
        </w:rPr>
      </w:pPr>
      <w:r>
        <w:rPr>
          <w:rFonts w:hint="default"/>
          <w:lang w:val="en-US" w:eastAsia="zh-CN"/>
        </w:rPr>
        <w:t>（1）所有试件在焊接过程中禁止使用包括冷却铜板、陶瓷衬垫等强迫焊缝成型的装置或材料进行焊接，禁止使用固体或液体媒介直接接触试件进行强制冷却。</w:t>
      </w:r>
    </w:p>
    <w:p>
      <w:pPr>
        <w:bidi w:val="0"/>
        <w:rPr>
          <w:rFonts w:hint="default"/>
          <w:lang w:val="en-US" w:eastAsia="zh-CN"/>
        </w:rPr>
      </w:pPr>
      <w:r>
        <w:rPr>
          <w:rFonts w:hint="default"/>
          <w:lang w:val="en-US" w:eastAsia="zh-CN"/>
        </w:rPr>
        <w:t>（2）试件一经使用，将不予换发。施焊过程中，参赛选手若将试件焊废，可在竞赛时间内自行修复，但不得在焊缝的正、反盖面焊道进行修复补焊。</w:t>
      </w:r>
    </w:p>
    <w:p>
      <w:pPr>
        <w:bidi w:val="0"/>
        <w:rPr>
          <w:rFonts w:hint="default"/>
          <w:lang w:val="en-US" w:eastAsia="zh-CN"/>
        </w:rPr>
      </w:pPr>
      <w:r>
        <w:rPr>
          <w:rFonts w:hint="default"/>
          <w:lang w:val="en-US" w:eastAsia="zh-CN"/>
        </w:rPr>
        <w:t>（3）参赛选手应按模块A、模块B、模块C的顺序依次完成三个模块试件焊接，各模块完成焊接时间不做强制规定。</w:t>
      </w:r>
    </w:p>
    <w:p>
      <w:pPr>
        <w:bidi w:val="0"/>
        <w:rPr>
          <w:rFonts w:hint="default"/>
          <w:lang w:val="en-US" w:eastAsia="zh-CN"/>
        </w:rPr>
      </w:pPr>
      <w:r>
        <w:rPr>
          <w:rFonts w:hint="default"/>
          <w:lang w:val="en-US" w:eastAsia="zh-CN"/>
        </w:rPr>
        <w:t>（4）所有试件装夹须牢固，正式焊接开始后不得移动，不得旋转。</w:t>
      </w:r>
    </w:p>
    <w:p>
      <w:pPr>
        <w:bidi w:val="0"/>
        <w:rPr>
          <w:rFonts w:hint="default"/>
          <w:lang w:val="en-US" w:eastAsia="zh-CN"/>
        </w:rPr>
      </w:pPr>
      <w:r>
        <w:rPr>
          <w:rFonts w:hint="default"/>
          <w:lang w:val="en-US" w:eastAsia="zh-CN"/>
        </w:rPr>
        <w:t>（5）打磨</w:t>
      </w:r>
    </w:p>
    <w:p>
      <w:pPr>
        <w:bidi w:val="0"/>
        <w:rPr>
          <w:rFonts w:hint="default"/>
          <w:lang w:val="en-US" w:eastAsia="zh-CN"/>
        </w:rPr>
      </w:pPr>
      <w:r>
        <w:rPr>
          <w:rFonts w:hint="default"/>
          <w:lang w:val="en-US" w:eastAsia="zh-CN"/>
        </w:rPr>
        <w:t>钝边及装配间隙自定。已完成的根部焊道背面和盖面焊道表面须保持焊后原始状态，层间焊道及接头在重新焊接前不允许打磨的试件严禁打磨。“盖面焊道”是指达到焊缝尺寸要求的最后一层。</w:t>
      </w:r>
    </w:p>
    <w:p>
      <w:pPr>
        <w:bidi w:val="0"/>
        <w:rPr>
          <w:rFonts w:hint="default"/>
          <w:lang w:val="en-US" w:eastAsia="zh-CN"/>
        </w:rPr>
      </w:pPr>
      <w:r>
        <w:rPr>
          <w:rFonts w:hint="default"/>
          <w:lang w:val="en-US" w:eastAsia="zh-CN"/>
        </w:rPr>
        <w:t>（6）定位焊</w:t>
      </w:r>
    </w:p>
    <w:p>
      <w:pPr>
        <w:bidi w:val="0"/>
        <w:rPr>
          <w:rFonts w:hint="default"/>
          <w:lang w:val="en-US" w:eastAsia="zh-CN"/>
        </w:rPr>
      </w:pPr>
      <w:r>
        <w:rPr>
          <w:rFonts w:hint="default"/>
          <w:lang w:val="en-US" w:eastAsia="zh-CN"/>
        </w:rPr>
        <w:t>a.参赛选手可以采用本技术文件所列的任意一种焊接方法和焊接位置进行定位焊；</w:t>
      </w:r>
    </w:p>
    <w:p>
      <w:pPr>
        <w:bidi w:val="0"/>
        <w:rPr>
          <w:rFonts w:hint="default"/>
          <w:lang w:val="en-US" w:eastAsia="zh-CN"/>
        </w:rPr>
      </w:pPr>
      <w:r>
        <w:rPr>
          <w:rFonts w:hint="default"/>
          <w:lang w:val="en-US" w:eastAsia="zh-CN"/>
        </w:rPr>
        <w:t>b.板试件定位焊设置在坡口内两端，数量不得超过2个，单个定位焊缝最长15mm；</w:t>
      </w:r>
    </w:p>
    <w:p>
      <w:pPr>
        <w:bidi w:val="0"/>
        <w:rPr>
          <w:rFonts w:hint="default"/>
          <w:lang w:val="en-US" w:eastAsia="zh-CN"/>
        </w:rPr>
      </w:pPr>
      <w:r>
        <w:rPr>
          <w:rFonts w:hint="default"/>
          <w:lang w:val="en-US" w:eastAsia="zh-CN"/>
        </w:rPr>
        <w:t>c.管试件定位焊设置在坡口内，数量不得超过3个，单个定位焊缝最长15mm；</w:t>
      </w:r>
    </w:p>
    <w:p>
      <w:pPr>
        <w:bidi w:val="0"/>
        <w:rPr>
          <w:rFonts w:hint="default"/>
          <w:lang w:val="en-US" w:eastAsia="zh-CN"/>
        </w:rPr>
      </w:pPr>
      <w:r>
        <w:rPr>
          <w:rFonts w:hint="default"/>
          <w:lang w:val="en-US" w:eastAsia="zh-CN"/>
        </w:rPr>
        <w:t>d.焊接开始后，试件不可被拆分再重新定位焊。只有在根部焊接没开始的情况下，才能重新定位焊。</w:t>
      </w:r>
    </w:p>
    <w:p>
      <w:pPr>
        <w:bidi w:val="0"/>
        <w:rPr>
          <w:rFonts w:hint="default"/>
          <w:lang w:val="en-US" w:eastAsia="zh-CN"/>
        </w:rPr>
      </w:pPr>
      <w:r>
        <w:rPr>
          <w:rFonts w:hint="default"/>
          <w:lang w:val="en-US" w:eastAsia="zh-CN"/>
        </w:rPr>
        <w:t>（7）焊接</w:t>
      </w:r>
    </w:p>
    <w:p>
      <w:pPr>
        <w:bidi w:val="0"/>
        <w:rPr>
          <w:rFonts w:hint="default"/>
          <w:lang w:val="en-US" w:eastAsia="zh-CN"/>
        </w:rPr>
      </w:pPr>
      <w:r>
        <w:rPr>
          <w:rFonts w:hint="default"/>
          <w:lang w:val="en-US" w:eastAsia="zh-CN"/>
        </w:rPr>
        <w:t>控制点：焊接开始前，试件应固定在赛场提供的定位装置上，并举手示意监考裁判员再次确认定位焊缝长度，确认钢印号位置，并将其作为检查或测试的参考点。</w:t>
      </w:r>
    </w:p>
    <w:p>
      <w:pPr>
        <w:bidi w:val="0"/>
        <w:rPr>
          <w:rFonts w:hint="default"/>
          <w:lang w:val="en-US" w:eastAsia="zh-CN"/>
        </w:rPr>
      </w:pPr>
      <w:r>
        <w:rPr>
          <w:rFonts w:hint="default"/>
          <w:lang w:val="en-US" w:eastAsia="zh-CN"/>
        </w:rPr>
        <w:t>（8）清理</w:t>
      </w:r>
    </w:p>
    <w:p>
      <w:pPr>
        <w:bidi w:val="0"/>
        <w:rPr>
          <w:rFonts w:hint="default"/>
          <w:lang w:val="en-US" w:eastAsia="zh-CN"/>
        </w:rPr>
      </w:pPr>
      <w:r>
        <w:rPr>
          <w:rFonts w:hint="default"/>
          <w:lang w:val="en-US" w:eastAsia="zh-CN"/>
        </w:rPr>
        <w:t>焊接完成后可使用钢丝刷清理焊缝表面，但不得伤及盖面焊缝和根部焊缝表面。</w:t>
      </w:r>
    </w:p>
    <w:p>
      <w:pPr>
        <w:bidi w:val="0"/>
        <w:rPr>
          <w:rFonts w:hint="default"/>
          <w:lang w:val="en-US" w:eastAsia="zh-CN"/>
        </w:rPr>
      </w:pPr>
      <w:r>
        <w:rPr>
          <w:rFonts w:hint="default"/>
          <w:lang w:val="en-US" w:eastAsia="zh-CN"/>
        </w:rPr>
        <w:t>2.模块A板对接仰位焊件</w:t>
      </w:r>
    </w:p>
    <w:p>
      <w:pPr>
        <w:bidi w:val="0"/>
        <w:rPr>
          <w:rFonts w:hint="default"/>
          <w:lang w:val="en-US" w:eastAsia="zh-CN"/>
        </w:rPr>
      </w:pPr>
      <w:r>
        <w:rPr>
          <w:rFonts w:hint="default"/>
          <w:lang w:val="en-US" w:eastAsia="zh-CN"/>
        </w:rPr>
        <w:t>（1）钢印号位于起焊端的右侧，并将作为检查或测试的参考点。</w:t>
      </w:r>
    </w:p>
    <w:p>
      <w:pPr>
        <w:bidi w:val="0"/>
        <w:rPr>
          <w:rFonts w:hint="default"/>
          <w:lang w:val="en-US" w:eastAsia="zh-CN"/>
        </w:rPr>
      </w:pPr>
      <w:r>
        <w:rPr>
          <w:rFonts w:hint="default"/>
          <w:lang w:val="en-US" w:eastAsia="zh-CN"/>
        </w:rPr>
        <w:t>（2）装夹完成后报告裁判进行检测记录后方可进行正式焊接。</w:t>
      </w:r>
    </w:p>
    <w:p>
      <w:pPr>
        <w:bidi w:val="0"/>
        <w:rPr>
          <w:rFonts w:hint="default"/>
          <w:lang w:val="en-US" w:eastAsia="zh-CN"/>
        </w:rPr>
      </w:pPr>
      <w:r>
        <w:rPr>
          <w:rFonts w:hint="default"/>
          <w:lang w:val="en-US" w:eastAsia="zh-CN"/>
        </w:rPr>
        <w:t>（3）层间焊道及接头在重新焊接前允许使用电动工具打磨。</w:t>
      </w:r>
    </w:p>
    <w:p>
      <w:pPr>
        <w:bidi w:val="0"/>
        <w:rPr>
          <w:rFonts w:hint="default"/>
          <w:lang w:val="en-US" w:eastAsia="zh-CN"/>
        </w:rPr>
      </w:pPr>
      <w:r>
        <w:rPr>
          <w:rFonts w:hint="default"/>
          <w:lang w:val="en-US" w:eastAsia="zh-CN"/>
        </w:rPr>
        <w:t>3.模块B管对接垂直固定焊件</w:t>
      </w:r>
    </w:p>
    <w:p>
      <w:pPr>
        <w:bidi w:val="0"/>
        <w:rPr>
          <w:rFonts w:hint="default"/>
          <w:lang w:val="en-US" w:eastAsia="zh-CN"/>
        </w:rPr>
      </w:pPr>
      <w:r>
        <w:rPr>
          <w:rFonts w:hint="default"/>
          <w:lang w:val="en-US" w:eastAsia="zh-CN"/>
        </w:rPr>
        <w:t>（1）焊缝的起始点位于钢印号的正下方。</w:t>
      </w:r>
    </w:p>
    <w:p>
      <w:pPr>
        <w:bidi w:val="0"/>
        <w:rPr>
          <w:rFonts w:hint="default"/>
          <w:lang w:val="en-US" w:eastAsia="zh-CN"/>
        </w:rPr>
      </w:pPr>
      <w:r>
        <w:rPr>
          <w:rFonts w:hint="default"/>
          <w:lang w:val="en-US" w:eastAsia="zh-CN"/>
        </w:rPr>
        <w:t>（2）装夹完成后报告裁判进行检测记录后方可进行正式焊接。</w:t>
      </w:r>
    </w:p>
    <w:p>
      <w:pPr>
        <w:bidi w:val="0"/>
        <w:rPr>
          <w:rFonts w:hint="default"/>
          <w:lang w:val="en-US" w:eastAsia="zh-CN"/>
        </w:rPr>
      </w:pPr>
      <w:r>
        <w:rPr>
          <w:rFonts w:hint="default"/>
          <w:lang w:val="en-US" w:eastAsia="zh-CN"/>
        </w:rPr>
        <w:t>（3）氩弧焊打底层焊缝须采用填丝单道焊，单向焊接。</w:t>
      </w:r>
    </w:p>
    <w:p>
      <w:pPr>
        <w:bidi w:val="0"/>
        <w:rPr>
          <w:rFonts w:hint="default"/>
          <w:lang w:val="en-US" w:eastAsia="zh-CN"/>
        </w:rPr>
      </w:pPr>
      <w:r>
        <w:rPr>
          <w:rFonts w:hint="default"/>
          <w:lang w:val="en-US" w:eastAsia="zh-CN"/>
        </w:rPr>
        <w:t>（4）二氧化碳气体保护焊药芯焊丝焊接的填充层、盖面层须与氩弧焊打底层焊缝同方向，且连弧焊接。</w:t>
      </w:r>
    </w:p>
    <w:p>
      <w:pPr>
        <w:bidi w:val="0"/>
        <w:rPr>
          <w:rFonts w:hint="default"/>
          <w:lang w:val="en-US" w:eastAsia="zh-CN"/>
        </w:rPr>
      </w:pPr>
      <w:r>
        <w:rPr>
          <w:rFonts w:hint="default"/>
          <w:lang w:val="en-US" w:eastAsia="zh-CN"/>
        </w:rPr>
        <w:t>（5）层间焊道及接头在重新焊接前允许使用电动工具打磨。</w:t>
      </w:r>
    </w:p>
    <w:p>
      <w:pPr>
        <w:bidi w:val="0"/>
        <w:rPr>
          <w:rFonts w:hint="default"/>
          <w:lang w:val="en-US" w:eastAsia="zh-CN"/>
        </w:rPr>
      </w:pPr>
      <w:r>
        <w:rPr>
          <w:rFonts w:hint="default"/>
          <w:lang w:val="en-US" w:eastAsia="zh-CN"/>
        </w:rPr>
        <w:t>4.模块C碳钢板横位对接件</w:t>
      </w:r>
    </w:p>
    <w:p>
      <w:pPr>
        <w:bidi w:val="0"/>
        <w:rPr>
          <w:rFonts w:hint="default"/>
          <w:lang w:val="en-US" w:eastAsia="zh-CN"/>
        </w:rPr>
      </w:pPr>
      <w:r>
        <w:rPr>
          <w:rFonts w:hint="default"/>
          <w:lang w:val="en-US" w:eastAsia="zh-CN"/>
        </w:rPr>
        <w:t>（1）选手在完成组对后须将试板钢印号朝右上方定位于胎具上，报告裁判，待裁判检测记录后方可开始焊接。</w:t>
      </w:r>
    </w:p>
    <w:p>
      <w:pPr>
        <w:bidi w:val="0"/>
        <w:rPr>
          <w:rFonts w:hint="default"/>
          <w:lang w:val="en-US" w:eastAsia="zh-CN"/>
        </w:rPr>
      </w:pPr>
      <w:r>
        <w:rPr>
          <w:rFonts w:hint="default"/>
          <w:lang w:val="en-US" w:eastAsia="zh-CN"/>
        </w:rPr>
        <w:t>（2）选手在打底层焊接至中心位置30mm范围内熄弧并报告裁判，待裁判检测记录后方可继续焊接。</w:t>
      </w:r>
    </w:p>
    <w:p>
      <w:pPr>
        <w:bidi w:val="0"/>
        <w:rPr>
          <w:rFonts w:hint="default"/>
          <w:lang w:val="en-US" w:eastAsia="zh-CN"/>
        </w:rPr>
      </w:pPr>
      <w:r>
        <w:rPr>
          <w:rFonts w:hint="default"/>
          <w:lang w:val="en-US" w:eastAsia="zh-CN"/>
        </w:rPr>
        <w:t>（3）层间焊道及接头在重新焊接前允许使用电动工具打磨。</w:t>
      </w:r>
    </w:p>
    <w:p>
      <w:pPr>
        <w:bidi w:val="0"/>
        <w:rPr>
          <w:rFonts w:hint="default"/>
          <w:lang w:val="en-US" w:eastAsia="zh-CN"/>
        </w:rPr>
      </w:pPr>
      <w:r>
        <w:rPr>
          <w:rFonts w:hint="default"/>
          <w:lang w:val="en-US" w:eastAsia="zh-CN"/>
        </w:rPr>
        <w:t>（4）盖面层必须连弧焊接，最后一条焊道焊至中心位置75mm范围内必须熄弧,重新接头。</w:t>
      </w:r>
    </w:p>
    <w:p>
      <w:pPr>
        <w:pStyle w:val="5"/>
        <w:bidi w:val="0"/>
        <w:outlineLvl w:val="1"/>
        <w:rPr>
          <w:rFonts w:hint="default"/>
          <w:lang w:val="en-US" w:eastAsia="zh-CN"/>
        </w:rPr>
      </w:pPr>
      <w:bookmarkStart w:id="9" w:name="_Toc5343"/>
      <w:r>
        <w:rPr>
          <w:rFonts w:hint="default"/>
          <w:lang w:val="en-US" w:eastAsia="zh-CN"/>
        </w:rPr>
        <w:t>（四）评判标准</w:t>
      </w:r>
      <w:bookmarkEnd w:id="9"/>
    </w:p>
    <w:p>
      <w:pPr>
        <w:bidi w:val="0"/>
        <w:rPr>
          <w:rFonts w:hint="default"/>
          <w:lang w:val="en-US" w:eastAsia="zh-CN"/>
        </w:rPr>
      </w:pPr>
      <w:r>
        <w:rPr>
          <w:rFonts w:hint="default"/>
          <w:lang w:val="en-US" w:eastAsia="zh-CN"/>
        </w:rPr>
        <w:t>1.分数权重</w:t>
      </w:r>
    </w:p>
    <w:tbl>
      <w:tblPr>
        <w:tblStyle w:val="78"/>
        <w:tblpPr w:leftFromText="180" w:rightFromText="180" w:vertAnchor="text" w:horzAnchor="page" w:tblpX="1399" w:tblpY="11"/>
        <w:tblOverlap w:val="never"/>
        <w:tblW w:w="91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984"/>
        <w:gridCol w:w="1526"/>
        <w:gridCol w:w="1502"/>
        <w:gridCol w:w="1245"/>
        <w:gridCol w:w="1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364" w:type="dxa"/>
            <w:vMerge w:val="restart"/>
            <w:tcBorders>
              <w:bottom w:val="nil"/>
            </w:tcBorders>
            <w:vAlign w:val="top"/>
          </w:tcPr>
          <w:p>
            <w:pPr>
              <w:spacing w:line="307" w:lineRule="auto"/>
              <w:jc w:val="center"/>
              <w:rPr>
                <w:rFonts w:ascii="Arial"/>
                <w:sz w:val="24"/>
                <w:szCs w:val="24"/>
              </w:rPr>
            </w:pPr>
          </w:p>
          <w:p>
            <w:pPr>
              <w:spacing w:before="78" w:line="221" w:lineRule="auto"/>
              <w:ind w:left="0" w:leftChars="0" w:firstLine="0" w:firstLineChars="0"/>
              <w:jc w:val="center"/>
              <w:rPr>
                <w:rFonts w:ascii="黑体" w:hAnsi="黑体" w:eastAsia="黑体" w:cs="黑体"/>
                <w:sz w:val="24"/>
                <w:szCs w:val="24"/>
              </w:rPr>
            </w:pPr>
            <w:r>
              <w:rPr>
                <w:rFonts w:ascii="黑体" w:hAnsi="黑体" w:eastAsia="黑体" w:cs="黑体"/>
                <w:spacing w:val="-2"/>
                <w:sz w:val="24"/>
                <w:szCs w:val="24"/>
              </w:rPr>
              <w:t>模块编号</w:t>
            </w:r>
          </w:p>
        </w:tc>
        <w:tc>
          <w:tcPr>
            <w:tcW w:w="1984" w:type="dxa"/>
            <w:vMerge w:val="restart"/>
            <w:tcBorders>
              <w:bottom w:val="nil"/>
            </w:tcBorders>
            <w:vAlign w:val="top"/>
          </w:tcPr>
          <w:p>
            <w:pPr>
              <w:spacing w:line="307" w:lineRule="auto"/>
              <w:jc w:val="center"/>
              <w:rPr>
                <w:rFonts w:ascii="Arial"/>
                <w:sz w:val="24"/>
                <w:szCs w:val="24"/>
              </w:rPr>
            </w:pPr>
          </w:p>
          <w:p>
            <w:pPr>
              <w:spacing w:before="78" w:line="222" w:lineRule="auto"/>
              <w:ind w:left="0" w:leftChars="0" w:firstLine="0" w:firstLineChars="0"/>
              <w:jc w:val="center"/>
              <w:rPr>
                <w:rFonts w:ascii="黑体" w:hAnsi="黑体" w:eastAsia="黑体" w:cs="黑体"/>
                <w:sz w:val="24"/>
                <w:szCs w:val="24"/>
              </w:rPr>
            </w:pPr>
            <w:r>
              <w:rPr>
                <w:rFonts w:ascii="黑体" w:hAnsi="黑体" w:eastAsia="黑体" w:cs="黑体"/>
                <w:spacing w:val="-2"/>
                <w:sz w:val="24"/>
                <w:szCs w:val="24"/>
              </w:rPr>
              <w:t>模块名称</w:t>
            </w:r>
          </w:p>
        </w:tc>
        <w:tc>
          <w:tcPr>
            <w:tcW w:w="5806" w:type="dxa"/>
            <w:gridSpan w:val="4"/>
            <w:vAlign w:val="top"/>
          </w:tcPr>
          <w:p>
            <w:pPr>
              <w:spacing w:before="134" w:line="222" w:lineRule="auto"/>
              <w:ind w:left="0" w:leftChars="0" w:firstLine="0" w:firstLineChars="0"/>
              <w:jc w:val="center"/>
              <w:rPr>
                <w:rFonts w:ascii="黑体" w:hAnsi="黑体" w:eastAsia="黑体" w:cs="黑体"/>
                <w:sz w:val="24"/>
                <w:szCs w:val="24"/>
              </w:rPr>
            </w:pPr>
            <w:r>
              <w:rPr>
                <w:rFonts w:ascii="黑体" w:hAnsi="黑体" w:eastAsia="黑体" w:cs="黑体"/>
                <w:spacing w:val="-8"/>
                <w:sz w:val="24"/>
                <w:szCs w:val="24"/>
              </w:rPr>
              <w:t>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364" w:type="dxa"/>
            <w:vMerge w:val="continue"/>
            <w:tcBorders>
              <w:top w:val="nil"/>
            </w:tcBorders>
            <w:vAlign w:val="top"/>
          </w:tcPr>
          <w:p>
            <w:pPr>
              <w:jc w:val="center"/>
              <w:rPr>
                <w:rFonts w:ascii="Arial"/>
                <w:sz w:val="24"/>
                <w:szCs w:val="24"/>
              </w:rPr>
            </w:pPr>
          </w:p>
        </w:tc>
        <w:tc>
          <w:tcPr>
            <w:tcW w:w="1984" w:type="dxa"/>
            <w:vMerge w:val="continue"/>
            <w:tcBorders>
              <w:top w:val="nil"/>
            </w:tcBorders>
            <w:vAlign w:val="top"/>
          </w:tcPr>
          <w:p>
            <w:pPr>
              <w:jc w:val="center"/>
              <w:rPr>
                <w:rFonts w:ascii="Arial"/>
                <w:sz w:val="24"/>
                <w:szCs w:val="24"/>
              </w:rPr>
            </w:pPr>
          </w:p>
        </w:tc>
        <w:tc>
          <w:tcPr>
            <w:tcW w:w="1526" w:type="dxa"/>
            <w:vAlign w:val="top"/>
          </w:tcPr>
          <w:p>
            <w:pPr>
              <w:spacing w:before="126" w:line="222" w:lineRule="auto"/>
              <w:ind w:left="0" w:leftChars="0" w:firstLine="0" w:firstLineChars="0"/>
              <w:jc w:val="center"/>
              <w:rPr>
                <w:rFonts w:ascii="黑体" w:hAnsi="黑体" w:eastAsia="黑体" w:cs="黑体"/>
                <w:sz w:val="24"/>
                <w:szCs w:val="24"/>
              </w:rPr>
            </w:pPr>
            <w:r>
              <w:rPr>
                <w:rFonts w:ascii="黑体" w:hAnsi="黑体" w:eastAsia="黑体" w:cs="黑体"/>
                <w:spacing w:val="-3"/>
                <w:sz w:val="24"/>
                <w:szCs w:val="24"/>
              </w:rPr>
              <w:t>评价分</w:t>
            </w:r>
          </w:p>
        </w:tc>
        <w:tc>
          <w:tcPr>
            <w:tcW w:w="1502" w:type="dxa"/>
            <w:vAlign w:val="top"/>
          </w:tcPr>
          <w:p>
            <w:pPr>
              <w:spacing w:before="127" w:line="222" w:lineRule="auto"/>
              <w:ind w:left="0" w:leftChars="0" w:firstLine="0" w:firstLineChars="0"/>
              <w:jc w:val="center"/>
              <w:rPr>
                <w:rFonts w:ascii="黑体" w:hAnsi="黑体" w:eastAsia="黑体" w:cs="黑体"/>
                <w:sz w:val="24"/>
                <w:szCs w:val="24"/>
              </w:rPr>
            </w:pPr>
            <w:r>
              <w:rPr>
                <w:rFonts w:ascii="黑体" w:hAnsi="黑体" w:eastAsia="黑体" w:cs="黑体"/>
                <w:spacing w:val="-3"/>
                <w:sz w:val="24"/>
                <w:szCs w:val="24"/>
              </w:rPr>
              <w:t>测量分</w:t>
            </w:r>
          </w:p>
        </w:tc>
        <w:tc>
          <w:tcPr>
            <w:tcW w:w="1245" w:type="dxa"/>
            <w:vAlign w:val="top"/>
          </w:tcPr>
          <w:p>
            <w:pPr>
              <w:spacing w:before="127" w:line="219" w:lineRule="auto"/>
              <w:ind w:left="0" w:leftChars="0" w:firstLine="0" w:firstLineChars="0"/>
              <w:jc w:val="center"/>
              <w:rPr>
                <w:rFonts w:ascii="黑体" w:hAnsi="黑体" w:eastAsia="黑体" w:cs="黑体"/>
                <w:sz w:val="24"/>
                <w:szCs w:val="24"/>
              </w:rPr>
            </w:pPr>
            <w:r>
              <w:rPr>
                <w:rFonts w:ascii="黑体" w:hAnsi="黑体" w:eastAsia="黑体" w:cs="黑体"/>
                <w:spacing w:val="-3"/>
                <w:sz w:val="24"/>
                <w:szCs w:val="24"/>
              </w:rPr>
              <w:t>射线分</w:t>
            </w:r>
          </w:p>
        </w:tc>
        <w:tc>
          <w:tcPr>
            <w:tcW w:w="1533" w:type="dxa"/>
            <w:vAlign w:val="top"/>
          </w:tcPr>
          <w:p>
            <w:pPr>
              <w:spacing w:before="126" w:line="224" w:lineRule="auto"/>
              <w:ind w:left="0" w:leftChars="0" w:firstLine="0" w:firstLineChars="0"/>
              <w:jc w:val="center"/>
              <w:rPr>
                <w:rFonts w:ascii="黑体" w:hAnsi="黑体" w:eastAsia="黑体" w:cs="黑体"/>
                <w:sz w:val="24"/>
                <w:szCs w:val="24"/>
              </w:rPr>
            </w:pPr>
            <w:r>
              <w:rPr>
                <w:rFonts w:ascii="黑体" w:hAnsi="黑体" w:eastAsia="黑体" w:cs="黑体"/>
                <w:spacing w:val="-6"/>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trPr>
        <w:tc>
          <w:tcPr>
            <w:tcW w:w="1364" w:type="dxa"/>
            <w:vAlign w:val="center"/>
          </w:tcPr>
          <w:p>
            <w:pPr>
              <w:pStyle w:val="82"/>
              <w:keepNext w:val="0"/>
              <w:keepLines w:val="0"/>
              <w:pageBreakBefore w:val="0"/>
              <w:widowControl w:val="0"/>
              <w:kinsoku/>
              <w:wordWrap/>
              <w:overflowPunct/>
              <w:topLinePunct w:val="0"/>
              <w:autoSpaceDE/>
              <w:autoSpaceDN/>
              <w:bidi w:val="0"/>
              <w:adjustRightInd/>
              <w:snapToGrid w:val="0"/>
              <w:spacing w:before="194" w:line="240" w:lineRule="auto"/>
              <w:ind w:left="0" w:leftChars="0" w:firstLine="0" w:firstLineChars="0"/>
              <w:jc w:val="center"/>
              <w:textAlignment w:val="auto"/>
              <w:rPr>
                <w:rFonts w:hint="eastAsia" w:ascii="楷体" w:hAnsi="楷体" w:eastAsia="楷体" w:cs="楷体"/>
              </w:rPr>
            </w:pPr>
            <w:r>
              <w:rPr>
                <w:rFonts w:hint="eastAsia" w:ascii="楷体" w:hAnsi="楷体" w:eastAsia="楷体" w:cs="楷体"/>
              </w:rPr>
              <w:t>A</w:t>
            </w:r>
          </w:p>
        </w:tc>
        <w:tc>
          <w:tcPr>
            <w:tcW w:w="1984" w:type="dxa"/>
            <w:vAlign w:val="center"/>
          </w:tcPr>
          <w:p>
            <w:pPr>
              <w:keepNext w:val="0"/>
              <w:keepLines w:val="0"/>
              <w:pageBreakBefore w:val="0"/>
              <w:widowControl w:val="0"/>
              <w:kinsoku/>
              <w:wordWrap/>
              <w:overflowPunct/>
              <w:topLinePunct w:val="0"/>
              <w:autoSpaceDE/>
              <w:autoSpaceDN/>
              <w:bidi w:val="0"/>
              <w:adjustRightInd/>
              <w:snapToGrid w:val="0"/>
              <w:spacing w:before="152"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3"/>
                <w:sz w:val="24"/>
                <w:szCs w:val="24"/>
              </w:rPr>
              <w:t>碳钢板仰位焊</w:t>
            </w:r>
          </w:p>
        </w:tc>
        <w:tc>
          <w:tcPr>
            <w:tcW w:w="1526" w:type="dxa"/>
            <w:vAlign w:val="center"/>
          </w:tcPr>
          <w:p>
            <w:pPr>
              <w:pStyle w:val="82"/>
              <w:keepNext w:val="0"/>
              <w:keepLines w:val="0"/>
              <w:pageBreakBefore w:val="0"/>
              <w:widowControl w:val="0"/>
              <w:kinsoku/>
              <w:wordWrap/>
              <w:overflowPunct/>
              <w:topLinePunct w:val="0"/>
              <w:autoSpaceDE/>
              <w:autoSpaceDN/>
              <w:bidi w:val="0"/>
              <w:adjustRightInd/>
              <w:snapToGrid w:val="0"/>
              <w:spacing w:before="195"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t>2</w:t>
            </w:r>
          </w:p>
        </w:tc>
        <w:tc>
          <w:tcPr>
            <w:tcW w:w="1502" w:type="dxa"/>
            <w:vAlign w:val="center"/>
          </w:tcPr>
          <w:p>
            <w:pPr>
              <w:pStyle w:val="82"/>
              <w:keepNext w:val="0"/>
              <w:keepLines w:val="0"/>
              <w:pageBreakBefore w:val="0"/>
              <w:widowControl w:val="0"/>
              <w:kinsoku/>
              <w:wordWrap/>
              <w:overflowPunct/>
              <w:topLinePunct w:val="0"/>
              <w:autoSpaceDE/>
              <w:autoSpaceDN/>
              <w:bidi w:val="0"/>
              <w:adjustRightInd/>
              <w:snapToGrid w:val="0"/>
              <w:spacing w:before="195"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245" w:type="dxa"/>
            <w:vAlign w:val="center"/>
          </w:tcPr>
          <w:p>
            <w:pPr>
              <w:pStyle w:val="82"/>
              <w:keepNext w:val="0"/>
              <w:keepLines w:val="0"/>
              <w:pageBreakBefore w:val="0"/>
              <w:widowControl w:val="0"/>
              <w:kinsoku/>
              <w:wordWrap/>
              <w:overflowPunct/>
              <w:topLinePunct w:val="0"/>
              <w:autoSpaceDE/>
              <w:autoSpaceDN/>
              <w:bidi w:val="0"/>
              <w:adjustRightInd/>
              <w:snapToGrid w:val="0"/>
              <w:spacing w:before="195"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533" w:type="dxa"/>
            <w:vAlign w:val="center"/>
          </w:tcPr>
          <w:p>
            <w:pPr>
              <w:pStyle w:val="82"/>
              <w:keepNext w:val="0"/>
              <w:keepLines w:val="0"/>
              <w:pageBreakBefore w:val="0"/>
              <w:widowControl w:val="0"/>
              <w:kinsoku/>
              <w:wordWrap/>
              <w:overflowPunct/>
              <w:topLinePunct w:val="0"/>
              <w:autoSpaceDE/>
              <w:autoSpaceDN/>
              <w:bidi w:val="0"/>
              <w:adjustRightInd/>
              <w:snapToGrid w:val="0"/>
              <w:spacing w:before="195"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trPr>
        <w:tc>
          <w:tcPr>
            <w:tcW w:w="1364"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楷体" w:hAnsi="楷体" w:eastAsia="楷体" w:cs="楷体"/>
              </w:rPr>
            </w:pPr>
            <w:r>
              <w:rPr>
                <w:rFonts w:hint="eastAsia" w:ascii="楷体" w:hAnsi="楷体" w:eastAsia="楷体" w:cs="楷体"/>
              </w:rPr>
              <w:t>B</w:t>
            </w:r>
          </w:p>
        </w:tc>
        <w:tc>
          <w:tcPr>
            <w:tcW w:w="1984" w:type="dxa"/>
            <w:vAlign w:val="center"/>
          </w:tcPr>
          <w:p>
            <w:pPr>
              <w:keepNext w:val="0"/>
              <w:keepLines w:val="0"/>
              <w:pageBreakBefore w:val="0"/>
              <w:widowControl w:val="0"/>
              <w:kinsoku/>
              <w:wordWrap/>
              <w:overflowPunct/>
              <w:topLinePunct w:val="0"/>
              <w:autoSpaceDE/>
              <w:autoSpaceDN/>
              <w:bidi w:val="0"/>
              <w:adjustRightInd/>
              <w:snapToGrid w:val="0"/>
              <w:spacing w:before="129"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4"/>
                <w:sz w:val="24"/>
                <w:szCs w:val="24"/>
              </w:rPr>
              <w:t>碳钢管对接</w:t>
            </w:r>
          </w:p>
        </w:tc>
        <w:tc>
          <w:tcPr>
            <w:tcW w:w="1526"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t>2</w:t>
            </w:r>
          </w:p>
        </w:tc>
        <w:tc>
          <w:tcPr>
            <w:tcW w:w="1502"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245"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533"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trPr>
        <w:tc>
          <w:tcPr>
            <w:tcW w:w="1364"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楷体" w:hAnsi="楷体" w:eastAsia="楷体" w:cs="楷体"/>
              </w:rPr>
            </w:pPr>
            <w:r>
              <w:rPr>
                <w:rFonts w:hint="eastAsia" w:ascii="楷体" w:hAnsi="楷体" w:eastAsia="楷体" w:cs="楷体"/>
              </w:rPr>
              <w:t>C</w:t>
            </w:r>
          </w:p>
        </w:tc>
        <w:tc>
          <w:tcPr>
            <w:tcW w:w="1984" w:type="dxa"/>
            <w:vAlign w:val="center"/>
          </w:tcPr>
          <w:p>
            <w:pPr>
              <w:keepNext w:val="0"/>
              <w:keepLines w:val="0"/>
              <w:pageBreakBefore w:val="0"/>
              <w:widowControl w:val="0"/>
              <w:kinsoku/>
              <w:wordWrap/>
              <w:overflowPunct/>
              <w:topLinePunct w:val="0"/>
              <w:autoSpaceDE/>
              <w:autoSpaceDN/>
              <w:bidi w:val="0"/>
              <w:adjustRightInd/>
              <w:snapToGrid w:val="0"/>
              <w:spacing w:before="132"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3"/>
                <w:sz w:val="24"/>
                <w:szCs w:val="24"/>
              </w:rPr>
              <w:t>碳钢板横位焊</w:t>
            </w:r>
          </w:p>
        </w:tc>
        <w:tc>
          <w:tcPr>
            <w:tcW w:w="1526"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rPr>
              <w:t>2</w:t>
            </w:r>
          </w:p>
        </w:tc>
        <w:tc>
          <w:tcPr>
            <w:tcW w:w="1502"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245"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15</w:t>
            </w:r>
          </w:p>
        </w:tc>
        <w:tc>
          <w:tcPr>
            <w:tcW w:w="1533" w:type="dxa"/>
            <w:vAlign w:val="center"/>
          </w:tcPr>
          <w:p>
            <w:pPr>
              <w:pStyle w:val="82"/>
              <w:keepNext w:val="0"/>
              <w:keepLines w:val="0"/>
              <w:pageBreakBefore w:val="0"/>
              <w:widowControl w:val="0"/>
              <w:kinsoku/>
              <w:wordWrap/>
              <w:overflowPunct/>
              <w:topLinePunct w:val="0"/>
              <w:autoSpaceDE/>
              <w:autoSpaceDN/>
              <w:bidi w:val="0"/>
              <w:adjustRightInd/>
              <w:snapToGrid w:val="0"/>
              <w:spacing w:before="174"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trPr>
        <w:tc>
          <w:tcPr>
            <w:tcW w:w="1364" w:type="dxa"/>
            <w:vAlign w:val="center"/>
          </w:tcPr>
          <w:p>
            <w:pPr>
              <w:pStyle w:val="82"/>
              <w:keepNext w:val="0"/>
              <w:keepLines w:val="0"/>
              <w:pageBreakBefore w:val="0"/>
              <w:widowControl w:val="0"/>
              <w:kinsoku/>
              <w:wordWrap/>
              <w:overflowPunct/>
              <w:topLinePunct w:val="0"/>
              <w:autoSpaceDE/>
              <w:autoSpaceDN/>
              <w:bidi w:val="0"/>
              <w:adjustRightInd/>
              <w:snapToGrid w:val="0"/>
              <w:spacing w:before="302" w:line="240" w:lineRule="auto"/>
              <w:ind w:left="0" w:leftChars="0" w:firstLine="0" w:firstLineChars="0"/>
              <w:jc w:val="center"/>
              <w:textAlignment w:val="auto"/>
              <w:rPr>
                <w:rFonts w:hint="eastAsia" w:ascii="楷体" w:hAnsi="楷体" w:eastAsia="楷体" w:cs="楷体"/>
              </w:rPr>
            </w:pPr>
            <w:r>
              <w:rPr>
                <w:rFonts w:hint="eastAsia" w:ascii="楷体" w:hAnsi="楷体" w:eastAsia="楷体" w:cs="楷体"/>
              </w:rPr>
              <w:t>D</w:t>
            </w:r>
          </w:p>
        </w:tc>
        <w:tc>
          <w:tcPr>
            <w:tcW w:w="1984" w:type="dxa"/>
            <w:vAlign w:val="center"/>
          </w:tcPr>
          <w:p>
            <w:pPr>
              <w:keepNext w:val="0"/>
              <w:keepLines w:val="0"/>
              <w:pageBreakBefore w:val="0"/>
              <w:widowControl w:val="0"/>
              <w:kinsoku/>
              <w:wordWrap/>
              <w:overflowPunct/>
              <w:topLinePunct w:val="0"/>
              <w:autoSpaceDE/>
              <w:autoSpaceDN/>
              <w:bidi w:val="0"/>
              <w:adjustRightInd/>
              <w:snapToGrid w:val="0"/>
              <w:spacing w:before="102" w:line="240" w:lineRule="auto"/>
              <w:ind w:left="0" w:leftChars="0" w:right="148" w:firstLine="0" w:firstLineChars="0"/>
              <w:jc w:val="center"/>
              <w:textAlignment w:val="auto"/>
              <w:rPr>
                <w:rFonts w:hint="eastAsia" w:ascii="楷体" w:hAnsi="楷体" w:eastAsia="楷体" w:cs="楷体"/>
                <w:sz w:val="24"/>
                <w:szCs w:val="24"/>
              </w:rPr>
            </w:pPr>
            <w:r>
              <w:rPr>
                <w:rFonts w:hint="eastAsia" w:ascii="楷体" w:hAnsi="楷体" w:eastAsia="楷体" w:cs="楷体"/>
                <w:spacing w:val="-3"/>
                <w:sz w:val="24"/>
                <w:szCs w:val="24"/>
              </w:rPr>
              <w:t>现场操作安全及</w:t>
            </w:r>
            <w:r>
              <w:rPr>
                <w:rFonts w:hint="eastAsia" w:ascii="楷体" w:hAnsi="楷体" w:eastAsia="楷体" w:cs="楷体"/>
                <w:spacing w:val="-4"/>
                <w:sz w:val="24"/>
                <w:szCs w:val="24"/>
              </w:rPr>
              <w:t>职业素养</w:t>
            </w:r>
          </w:p>
        </w:tc>
        <w:tc>
          <w:tcPr>
            <w:tcW w:w="1526" w:type="dxa"/>
            <w:vAlign w:val="center"/>
          </w:tcPr>
          <w:p>
            <w:pPr>
              <w:pStyle w:val="82"/>
              <w:keepNext w:val="0"/>
              <w:keepLines w:val="0"/>
              <w:pageBreakBefore w:val="0"/>
              <w:widowControl w:val="0"/>
              <w:kinsoku/>
              <w:wordWrap/>
              <w:overflowPunct/>
              <w:topLinePunct w:val="0"/>
              <w:autoSpaceDE/>
              <w:autoSpaceDN/>
              <w:bidi w:val="0"/>
              <w:adjustRightInd/>
              <w:snapToGrid w:val="0"/>
              <w:spacing w:before="299"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10</w:t>
            </w:r>
          </w:p>
        </w:tc>
        <w:tc>
          <w:tcPr>
            <w:tcW w:w="1502" w:type="dxa"/>
            <w:vAlign w:val="center"/>
          </w:tcPr>
          <w:p>
            <w:pPr>
              <w:pStyle w:val="82"/>
              <w:keepNext w:val="0"/>
              <w:keepLines w:val="0"/>
              <w:pageBreakBefore w:val="0"/>
              <w:widowControl w:val="0"/>
              <w:kinsoku/>
              <w:wordWrap/>
              <w:overflowPunct/>
              <w:topLinePunct w:val="0"/>
              <w:autoSpaceDE/>
              <w:autoSpaceDN/>
              <w:bidi w:val="0"/>
              <w:adjustRightInd/>
              <w:snapToGrid w:val="0"/>
              <w:spacing w:before="69"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position w:val="-2"/>
              </w:rPr>
              <w:t>-</w:t>
            </w:r>
          </w:p>
        </w:tc>
        <w:tc>
          <w:tcPr>
            <w:tcW w:w="1245" w:type="dxa"/>
            <w:vAlign w:val="center"/>
          </w:tcPr>
          <w:p>
            <w:pPr>
              <w:pStyle w:val="82"/>
              <w:keepNext w:val="0"/>
              <w:keepLines w:val="0"/>
              <w:pageBreakBefore w:val="0"/>
              <w:widowControl w:val="0"/>
              <w:kinsoku/>
              <w:wordWrap/>
              <w:overflowPunct/>
              <w:topLinePunct w:val="0"/>
              <w:autoSpaceDE/>
              <w:autoSpaceDN/>
              <w:bidi w:val="0"/>
              <w:adjustRightInd/>
              <w:snapToGrid w:val="0"/>
              <w:spacing w:before="69"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position w:val="-2"/>
              </w:rPr>
              <w:t>-</w:t>
            </w:r>
          </w:p>
        </w:tc>
        <w:tc>
          <w:tcPr>
            <w:tcW w:w="1533" w:type="dxa"/>
            <w:vAlign w:val="center"/>
          </w:tcPr>
          <w:p>
            <w:pPr>
              <w:pStyle w:val="82"/>
              <w:keepNext w:val="0"/>
              <w:keepLines w:val="0"/>
              <w:pageBreakBefore w:val="0"/>
              <w:widowControl w:val="0"/>
              <w:kinsoku/>
              <w:wordWrap/>
              <w:overflowPunct/>
              <w:topLinePunct w:val="0"/>
              <w:autoSpaceDE/>
              <w:autoSpaceDN/>
              <w:bidi w:val="0"/>
              <w:adjustRightInd/>
              <w:snapToGrid w:val="0"/>
              <w:spacing w:before="299"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trPr>
        <w:tc>
          <w:tcPr>
            <w:tcW w:w="3348" w:type="dxa"/>
            <w:gridSpan w:val="2"/>
            <w:vAlign w:val="center"/>
          </w:tcPr>
          <w:p>
            <w:pPr>
              <w:keepNext w:val="0"/>
              <w:keepLines w:val="0"/>
              <w:pageBreakBefore w:val="0"/>
              <w:widowControl w:val="0"/>
              <w:kinsoku/>
              <w:wordWrap/>
              <w:overflowPunct/>
              <w:topLinePunct w:val="0"/>
              <w:autoSpaceDE/>
              <w:autoSpaceDN/>
              <w:bidi w:val="0"/>
              <w:adjustRightInd/>
              <w:snapToGrid w:val="0"/>
              <w:spacing w:before="135" w:line="240" w:lineRule="auto"/>
              <w:ind w:left="0" w:leftChars="0" w:firstLine="0" w:firstLineChars="0"/>
              <w:jc w:val="center"/>
              <w:textAlignment w:val="auto"/>
              <w:rPr>
                <w:rFonts w:ascii="仿宋" w:hAnsi="仿宋" w:eastAsia="仿宋" w:cs="仿宋"/>
                <w:sz w:val="24"/>
                <w:szCs w:val="24"/>
              </w:rPr>
            </w:pPr>
            <w:r>
              <w:rPr>
                <w:rFonts w:hint="eastAsia" w:ascii="黑体" w:hAnsi="黑体" w:eastAsia="黑体" w:cs="黑体"/>
                <w:spacing w:val="-14"/>
                <w:sz w:val="24"/>
                <w:szCs w:val="24"/>
              </w:rPr>
              <w:t>总计</w:t>
            </w:r>
          </w:p>
        </w:tc>
        <w:tc>
          <w:tcPr>
            <w:tcW w:w="1526" w:type="dxa"/>
            <w:vAlign w:val="center"/>
          </w:tcPr>
          <w:p>
            <w:pPr>
              <w:pStyle w:val="82"/>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5"/>
              </w:rPr>
              <w:t>16</w:t>
            </w:r>
          </w:p>
        </w:tc>
        <w:tc>
          <w:tcPr>
            <w:tcW w:w="1502" w:type="dxa"/>
            <w:vAlign w:val="center"/>
          </w:tcPr>
          <w:p>
            <w:pPr>
              <w:pStyle w:val="82"/>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5"/>
              </w:rPr>
              <w:t>39</w:t>
            </w:r>
          </w:p>
        </w:tc>
        <w:tc>
          <w:tcPr>
            <w:tcW w:w="1245" w:type="dxa"/>
            <w:vAlign w:val="center"/>
          </w:tcPr>
          <w:p>
            <w:pPr>
              <w:pStyle w:val="82"/>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2"/>
              </w:rPr>
              <w:t>45</w:t>
            </w:r>
          </w:p>
        </w:tc>
        <w:tc>
          <w:tcPr>
            <w:tcW w:w="1533" w:type="dxa"/>
            <w:vAlign w:val="center"/>
          </w:tcPr>
          <w:p>
            <w:pPr>
              <w:pStyle w:val="82"/>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spacing w:val="-10"/>
              </w:rPr>
              <w:t>100</w:t>
            </w:r>
          </w:p>
        </w:tc>
      </w:tr>
    </w:tbl>
    <w:p>
      <w:pPr>
        <w:bidi w:val="0"/>
        <w:rPr>
          <w:rFonts w:hint="default"/>
          <w:lang w:val="en-US" w:eastAsia="zh-CN"/>
        </w:rPr>
      </w:pPr>
    </w:p>
    <w:p>
      <w:pPr>
        <w:bidi w:val="0"/>
        <w:ind w:left="0" w:leftChars="0" w:firstLine="640" w:firstLineChars="200"/>
        <w:rPr>
          <w:rFonts w:hint="default"/>
          <w:lang w:val="en-US" w:eastAsia="zh-CN"/>
        </w:rPr>
      </w:pPr>
      <w:r>
        <w:rPr>
          <w:rFonts w:hint="default"/>
          <w:lang w:val="en-US" w:eastAsia="zh-CN"/>
        </w:rPr>
        <w:t>2.评判方式</w:t>
      </w:r>
    </w:p>
    <w:p>
      <w:pPr>
        <w:bidi w:val="0"/>
        <w:rPr>
          <w:rFonts w:hint="default"/>
          <w:lang w:val="en-US" w:eastAsia="zh-CN"/>
        </w:rPr>
      </w:pPr>
      <w:r>
        <w:rPr>
          <w:rFonts w:hint="default"/>
          <w:lang w:val="en-US" w:eastAsia="zh-CN"/>
        </w:rPr>
        <w:t>本项目评判方式分为测量和评价两类。凡可采用客观数据表述的评判称为测量；凡需要采用主观描述进行的评判称为评价。</w:t>
      </w:r>
    </w:p>
    <w:p>
      <w:pPr>
        <w:bidi w:val="0"/>
        <w:rPr>
          <w:rFonts w:hint="default"/>
          <w:lang w:val="en-US" w:eastAsia="zh-CN"/>
        </w:rPr>
      </w:pPr>
      <w:r>
        <w:rPr>
          <w:rFonts w:hint="default"/>
          <w:lang w:val="en-US" w:eastAsia="zh-CN"/>
        </w:rPr>
        <w:t>（1）评价评判</w:t>
      </w:r>
    </w:p>
    <w:p>
      <w:pPr>
        <w:bidi w:val="0"/>
        <w:rPr>
          <w:rFonts w:hint="default"/>
          <w:lang w:val="en-US" w:eastAsia="zh-CN"/>
        </w:rPr>
      </w:pPr>
      <w:r>
        <w:rPr>
          <w:rFonts w:hint="default"/>
          <w:lang w:val="en-US" w:eastAsia="zh-CN"/>
        </w:rPr>
        <w:t>评价评判按如下方式打分：3名裁判为一组，各自单独评分，计算出3名裁判的评价分数总和，除以9后再乘以该评价项的满分分值，计算出实际得分。三个裁判相互间分差必须不大于1级，否则需要重新打分直至满足分差要求。</w:t>
      </w:r>
    </w:p>
    <w:p>
      <w:pPr>
        <w:bidi w:val="0"/>
        <w:rPr>
          <w:rFonts w:hint="default"/>
          <w:lang w:val="en-US" w:eastAsia="zh-CN"/>
        </w:rPr>
      </w:pPr>
      <w:r>
        <w:rPr>
          <w:rFonts w:hint="default"/>
          <w:lang w:val="en-US" w:eastAsia="zh-CN"/>
        </w:rPr>
        <w:t>评价依据标准如下：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6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Borders>
              <w:top w:val="single" w:color="auto" w:sz="4" w:space="0"/>
              <w:left w:val="nil"/>
              <w:bottom w:val="single" w:color="auto" w:sz="4" w:space="0"/>
              <w:right w:val="single" w:color="auto" w:sz="4" w:space="0"/>
            </w:tcBorders>
            <w:vAlign w:val="center"/>
          </w:tcPr>
          <w:p>
            <w:pPr>
              <w:bidi w:val="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权重分值</w:t>
            </w:r>
          </w:p>
        </w:tc>
        <w:tc>
          <w:tcPr>
            <w:tcW w:w="6231" w:type="dxa"/>
            <w:tcBorders>
              <w:top w:val="single" w:color="auto" w:sz="4" w:space="0"/>
              <w:left w:val="single" w:color="auto" w:sz="4" w:space="0"/>
              <w:bottom w:val="single" w:color="auto" w:sz="4" w:space="0"/>
              <w:right w:val="nil"/>
            </w:tcBorders>
            <w:vAlign w:val="center"/>
          </w:tcPr>
          <w:p>
            <w:pPr>
              <w:bidi w:val="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要求描述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Borders>
              <w:top w:val="single" w:color="auto" w:sz="4" w:space="0"/>
              <w:left w:val="nil"/>
              <w:bottom w:val="single" w:color="auto" w:sz="4" w:space="0"/>
              <w:right w:val="single" w:color="auto" w:sz="4" w:space="0"/>
            </w:tcBorders>
            <w:vAlign w:val="center"/>
          </w:tcPr>
          <w:p>
            <w:pPr>
              <w:bidi w:val="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0级</w:t>
            </w:r>
          </w:p>
        </w:tc>
        <w:tc>
          <w:tcPr>
            <w:tcW w:w="6231" w:type="dxa"/>
            <w:tcBorders>
              <w:top w:val="single" w:color="auto" w:sz="4" w:space="0"/>
              <w:left w:val="single" w:color="auto" w:sz="4" w:space="0"/>
              <w:bottom w:val="single" w:color="auto" w:sz="4" w:space="0"/>
              <w:right w:val="nil"/>
            </w:tcBorders>
            <w:vAlign w:val="center"/>
          </w:tcPr>
          <w:p>
            <w:pPr>
              <w:bidi w:val="0"/>
              <w:rPr>
                <w:rFonts w:hint="default"/>
                <w:sz w:val="24"/>
                <w:szCs w:val="24"/>
                <w:vertAlign w:val="baseline"/>
                <w:lang w:val="en-US" w:eastAsia="zh-CN"/>
              </w:rPr>
            </w:pPr>
            <w:r>
              <w:rPr>
                <w:rFonts w:hint="default"/>
                <w:sz w:val="24"/>
                <w:szCs w:val="24"/>
                <w:lang w:val="en-US" w:eastAsia="zh-CN"/>
              </w:rPr>
              <w:t>低于行业标准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Borders>
              <w:top w:val="single" w:color="auto" w:sz="4" w:space="0"/>
              <w:left w:val="nil"/>
              <w:bottom w:val="single" w:color="auto" w:sz="4" w:space="0"/>
              <w:right w:val="single" w:color="auto" w:sz="4" w:space="0"/>
            </w:tcBorders>
            <w:vAlign w:val="center"/>
          </w:tcPr>
          <w:p>
            <w:pPr>
              <w:bidi w:val="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1级</w:t>
            </w:r>
          </w:p>
        </w:tc>
        <w:tc>
          <w:tcPr>
            <w:tcW w:w="6231" w:type="dxa"/>
            <w:tcBorders>
              <w:top w:val="single" w:color="auto" w:sz="4" w:space="0"/>
              <w:left w:val="single" w:color="auto" w:sz="4" w:space="0"/>
              <w:bottom w:val="single" w:color="auto" w:sz="4" w:space="0"/>
              <w:right w:val="nil"/>
            </w:tcBorders>
            <w:vAlign w:val="center"/>
          </w:tcPr>
          <w:p>
            <w:pPr>
              <w:bidi w:val="0"/>
              <w:rPr>
                <w:rFonts w:hint="default"/>
                <w:sz w:val="24"/>
                <w:szCs w:val="24"/>
                <w:vertAlign w:val="baseline"/>
                <w:lang w:val="en-US" w:eastAsia="zh-CN"/>
              </w:rPr>
            </w:pPr>
            <w:r>
              <w:rPr>
                <w:rFonts w:hint="default"/>
                <w:sz w:val="24"/>
                <w:szCs w:val="24"/>
                <w:lang w:val="en-US" w:eastAsia="zh-CN"/>
              </w:rPr>
              <w:t>达到行业标准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Borders>
              <w:top w:val="single" w:color="auto" w:sz="4" w:space="0"/>
              <w:left w:val="nil"/>
              <w:bottom w:val="single" w:color="auto" w:sz="4" w:space="0"/>
              <w:right w:val="single" w:color="auto" w:sz="4" w:space="0"/>
            </w:tcBorders>
            <w:vAlign w:val="center"/>
          </w:tcPr>
          <w:p>
            <w:pPr>
              <w:bidi w:val="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2级</w:t>
            </w:r>
          </w:p>
        </w:tc>
        <w:tc>
          <w:tcPr>
            <w:tcW w:w="6231" w:type="dxa"/>
            <w:tcBorders>
              <w:top w:val="single" w:color="auto" w:sz="4" w:space="0"/>
              <w:left w:val="single" w:color="auto" w:sz="4" w:space="0"/>
              <w:bottom w:val="single" w:color="auto" w:sz="4" w:space="0"/>
              <w:right w:val="nil"/>
            </w:tcBorders>
            <w:vAlign w:val="center"/>
          </w:tcPr>
          <w:p>
            <w:pPr>
              <w:bidi w:val="0"/>
              <w:rPr>
                <w:rFonts w:hint="default"/>
                <w:sz w:val="24"/>
                <w:szCs w:val="24"/>
                <w:vertAlign w:val="baseline"/>
                <w:lang w:val="en-US" w:eastAsia="zh-CN"/>
              </w:rPr>
            </w:pPr>
            <w:r>
              <w:rPr>
                <w:rFonts w:hint="default"/>
                <w:sz w:val="24"/>
                <w:szCs w:val="24"/>
                <w:lang w:val="en-US" w:eastAsia="zh-CN"/>
              </w:rPr>
              <w:t>达到行业标准，且某些方面超过行业标准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Borders>
              <w:top w:val="single" w:color="auto" w:sz="4" w:space="0"/>
              <w:left w:val="nil"/>
              <w:bottom w:val="single" w:color="auto" w:sz="4" w:space="0"/>
              <w:right w:val="single" w:color="auto" w:sz="4" w:space="0"/>
            </w:tcBorders>
            <w:vAlign w:val="center"/>
          </w:tcPr>
          <w:p>
            <w:pPr>
              <w:bidi w:val="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3级</w:t>
            </w:r>
          </w:p>
        </w:tc>
        <w:tc>
          <w:tcPr>
            <w:tcW w:w="6231" w:type="dxa"/>
            <w:tcBorders>
              <w:top w:val="single" w:color="auto" w:sz="4" w:space="0"/>
              <w:left w:val="single" w:color="auto" w:sz="4" w:space="0"/>
              <w:bottom w:val="single" w:color="auto" w:sz="4" w:space="0"/>
              <w:right w:val="nil"/>
            </w:tcBorders>
            <w:vAlign w:val="center"/>
          </w:tcPr>
          <w:p>
            <w:pPr>
              <w:bidi w:val="0"/>
              <w:rPr>
                <w:rFonts w:hint="default"/>
                <w:sz w:val="24"/>
                <w:szCs w:val="24"/>
                <w:vertAlign w:val="baseline"/>
                <w:lang w:val="en-US" w:eastAsia="zh-CN"/>
              </w:rPr>
            </w:pPr>
            <w:r>
              <w:rPr>
                <w:rFonts w:hint="default"/>
                <w:sz w:val="24"/>
                <w:szCs w:val="24"/>
                <w:lang w:val="en-US" w:eastAsia="zh-CN"/>
              </w:rPr>
              <w:t>完全超过行业标准并视为完美</w:t>
            </w:r>
          </w:p>
        </w:tc>
      </w:tr>
    </w:tbl>
    <w:p>
      <w:pPr>
        <w:bidi w:val="0"/>
        <w:ind w:left="0" w:leftChars="0" w:firstLine="640" w:firstLineChars="200"/>
        <w:rPr>
          <w:rFonts w:hint="default"/>
          <w:lang w:val="en-US" w:eastAsia="zh-CN"/>
        </w:rPr>
      </w:pPr>
      <w:r>
        <w:rPr>
          <w:rFonts w:hint="default"/>
          <w:lang w:val="en-US" w:eastAsia="zh-CN"/>
        </w:rPr>
        <w:t>（2）测量评判</w:t>
      </w:r>
    </w:p>
    <w:p>
      <w:pPr>
        <w:bidi w:val="0"/>
        <w:rPr>
          <w:rFonts w:hint="default"/>
          <w:lang w:val="en-US" w:eastAsia="zh-CN"/>
        </w:rPr>
      </w:pPr>
      <w:r>
        <w:rPr>
          <w:rFonts w:hint="default"/>
          <w:lang w:val="en-US" w:eastAsia="zh-CN"/>
        </w:rPr>
        <w:t>测量评判按如下方式打分：按模块设置若干个评分组，每组由3名及以上裁判构成。每个组所有裁判对所负责的评分内容独立测量，在对该选手在该项中的实际得分达成一致后最终只给出一个分值。</w:t>
      </w:r>
    </w:p>
    <w:p>
      <w:pPr>
        <w:bidi w:val="0"/>
        <w:rPr>
          <w:rFonts w:hint="default"/>
          <w:lang w:val="en-US" w:eastAsia="zh-CN"/>
        </w:rPr>
      </w:pPr>
      <w:r>
        <w:rPr>
          <w:rFonts w:hint="default"/>
          <w:lang w:val="en-US" w:eastAsia="zh-CN"/>
        </w:rPr>
        <w:t>（3）成绩并列排序方法</w:t>
      </w:r>
    </w:p>
    <w:p>
      <w:pPr>
        <w:bidi w:val="0"/>
        <w:rPr>
          <w:rFonts w:hint="default"/>
          <w:lang w:val="en-US" w:eastAsia="zh-CN"/>
        </w:rPr>
      </w:pPr>
      <w:r>
        <w:rPr>
          <w:rFonts w:hint="default"/>
          <w:lang w:val="en-US" w:eastAsia="zh-CN"/>
        </w:rPr>
        <w:t>选手总成绩相同时，按照以下原则确定排名顺序：</w:t>
      </w:r>
    </w:p>
    <w:p>
      <w:pPr>
        <w:bidi w:val="0"/>
        <w:rPr>
          <w:rFonts w:hint="default"/>
          <w:lang w:val="en-US" w:eastAsia="zh-CN"/>
        </w:rPr>
      </w:pPr>
      <w:r>
        <w:rPr>
          <w:rFonts w:hint="default"/>
          <w:lang w:val="en-US" w:eastAsia="zh-CN"/>
        </w:rPr>
        <w:t>1）当有两名及以上选手成绩相同时，射线总成绩高者排名靠前；</w:t>
      </w:r>
    </w:p>
    <w:p>
      <w:pPr>
        <w:bidi w:val="0"/>
        <w:rPr>
          <w:rFonts w:hint="default"/>
          <w:lang w:val="en-US" w:eastAsia="zh-CN"/>
        </w:rPr>
      </w:pPr>
      <w:r>
        <w:rPr>
          <w:rFonts w:hint="default"/>
          <w:lang w:val="en-US" w:eastAsia="zh-CN"/>
        </w:rPr>
        <w:t>2）当射线总成绩依然相同时，以操作时间短者排名靠前。</w:t>
      </w:r>
    </w:p>
    <w:p>
      <w:pPr>
        <w:bidi w:val="0"/>
        <w:rPr>
          <w:rFonts w:hint="default"/>
          <w:lang w:val="en-US" w:eastAsia="zh-CN"/>
        </w:rPr>
      </w:pPr>
      <w:r>
        <w:rPr>
          <w:rFonts w:hint="default"/>
          <w:lang w:val="en-US" w:eastAsia="zh-CN"/>
        </w:rPr>
        <w:t>（4）评分流程</w:t>
      </w:r>
    </w:p>
    <w:p>
      <w:pPr>
        <w:bidi w:val="0"/>
        <w:rPr>
          <w:rFonts w:hint="default"/>
          <w:lang w:val="en-US" w:eastAsia="zh-CN"/>
        </w:rPr>
      </w:pPr>
      <w:r>
        <w:rPr>
          <w:rFonts w:hint="default"/>
          <w:lang w:val="en-US" w:eastAsia="zh-CN"/>
        </w:rPr>
        <w:t>本项目包括结果评分和过程评分，选手必须在规定时间内完成所有竞赛项目，比赛结束时间指令下达后，除受客观因素影响并得到裁判长认可需要补时的选手外，其他选手必须立刻停止焊接。比赛不设时间分。</w:t>
      </w:r>
    </w:p>
    <w:p>
      <w:pPr>
        <w:bidi w:val="0"/>
        <w:rPr>
          <w:rFonts w:hint="default"/>
          <w:lang w:val="en-US" w:eastAsia="zh-CN"/>
        </w:rPr>
      </w:pPr>
      <w:r>
        <w:rPr>
          <w:rFonts w:hint="default"/>
          <w:lang w:val="en-US" w:eastAsia="zh-CN"/>
        </w:rPr>
        <w:t>1）射线探伤评分流程</w:t>
      </w:r>
    </w:p>
    <w:p>
      <w:pPr>
        <w:bidi w:val="0"/>
        <w:rPr>
          <w:rFonts w:hint="default"/>
          <w:lang w:val="en-US" w:eastAsia="zh-CN"/>
        </w:rPr>
      </w:pPr>
      <w:r>
        <w:rPr>
          <w:rFonts w:hint="default"/>
          <w:lang w:val="en-US" w:eastAsia="zh-CN"/>
        </w:rPr>
        <w:t>①射线探伤委托第三方检测机构完成。第三方检测机构应具备检验检测机构资格和实验室认可，认可能力范围应包含射线探伤项目。进行射线探伤的无损检验人员资格等级评片人员应不低于Ⅱ级，审核人员应为Ⅲ级。第三方检测应纳入裁判工作管理流程。</w:t>
      </w:r>
    </w:p>
    <w:p>
      <w:pPr>
        <w:bidi w:val="0"/>
        <w:rPr>
          <w:rFonts w:hint="default"/>
          <w:lang w:val="en-US" w:eastAsia="zh-CN"/>
        </w:rPr>
      </w:pPr>
      <w:r>
        <w:rPr>
          <w:rFonts w:hint="default"/>
          <w:lang w:val="en-US" w:eastAsia="zh-CN"/>
        </w:rPr>
        <w:t>②射线探伤组裁判员与第三方检测机构人员逐一检查、核对试件编号、数量，并对存在违反竞赛规定或不符合无损检测要求的试样进行处理后，由射线探伤组裁判全程监督送检。委托的第三方检测机构应按照GB/T3323.1《焊接无损检测射线检测第1部分：X和伽玛射线的胶片技术》、ISO5817《焊接——钢、镍、钛及其合金的熔化焊焊缝（电子束焊接除外）缺陷质量分级指南》标准的要求对试件进行探伤和评判，并出具检测报告。</w:t>
      </w:r>
    </w:p>
    <w:p>
      <w:pPr>
        <w:bidi w:val="0"/>
        <w:rPr>
          <w:rFonts w:hint="default"/>
          <w:lang w:val="en-US" w:eastAsia="zh-CN"/>
        </w:rPr>
      </w:pPr>
      <w:r>
        <w:rPr>
          <w:rFonts w:hint="default"/>
          <w:lang w:val="en-US" w:eastAsia="zh-CN"/>
        </w:rPr>
        <w:t>③第三方检测机构评判完毕后，应将底片和检测报告一并提交射线探伤组，并在射线探伤组裁判员的监督下及时将试件送回指定地点并转交保密组。</w:t>
      </w:r>
    </w:p>
    <w:p>
      <w:pPr>
        <w:bidi w:val="0"/>
        <w:rPr>
          <w:rFonts w:hint="default"/>
          <w:lang w:val="en-US" w:eastAsia="zh-CN"/>
        </w:rPr>
      </w:pPr>
      <w:r>
        <w:rPr>
          <w:rFonts w:hint="default"/>
          <w:lang w:val="en-US" w:eastAsia="zh-CN"/>
        </w:rPr>
        <w:t>④射线探伤组应逐张复核评判结果，对核对出现的问题，应由第三方检测机构复评直至达成一致。其中射线底片判为D级或0分的试件，须由裁判长组织外观组组长和射线探伤组组长进行复核。核对无误后，组长应按明码号统计分数及其缺陷类型，并向裁判长提交分数汇总表和射线探伤成绩分析点评报告。</w:t>
      </w:r>
    </w:p>
    <w:p>
      <w:pPr>
        <w:bidi w:val="0"/>
        <w:rPr>
          <w:rFonts w:hint="default"/>
          <w:lang w:val="en-US" w:eastAsia="zh-CN"/>
        </w:rPr>
      </w:pPr>
      <w:r>
        <w:rPr>
          <w:rFonts w:hint="default"/>
          <w:lang w:val="en-US" w:eastAsia="zh-CN"/>
        </w:rPr>
        <w:t>2）外观评分流程</w:t>
      </w:r>
    </w:p>
    <w:p>
      <w:pPr>
        <w:bidi w:val="0"/>
        <w:rPr>
          <w:rFonts w:hint="default"/>
          <w:lang w:val="en-US" w:eastAsia="zh-CN"/>
        </w:rPr>
      </w:pPr>
      <w:r>
        <w:rPr>
          <w:rFonts w:hint="default"/>
          <w:lang w:val="en-US" w:eastAsia="zh-CN"/>
        </w:rPr>
        <w:t>①外观组组长组织全体外观组裁判员对所有试件进行以下项目检查并予以扣分：</w:t>
      </w:r>
    </w:p>
    <w:p>
      <w:pPr>
        <w:bidi w:val="0"/>
        <w:rPr>
          <w:rFonts w:hint="default"/>
          <w:lang w:val="en-US" w:eastAsia="zh-CN"/>
        </w:rPr>
      </w:pPr>
      <w:r>
        <w:rPr>
          <w:rFonts w:hint="default"/>
          <w:lang w:val="en-US" w:eastAsia="zh-CN"/>
        </w:rPr>
        <w:t>a.装配错误；</w:t>
      </w:r>
    </w:p>
    <w:p>
      <w:pPr>
        <w:bidi w:val="0"/>
        <w:rPr>
          <w:rFonts w:hint="default"/>
          <w:lang w:val="en-US" w:eastAsia="zh-CN"/>
        </w:rPr>
      </w:pPr>
      <w:r>
        <w:rPr>
          <w:rFonts w:hint="default"/>
          <w:lang w:val="en-US" w:eastAsia="zh-CN"/>
        </w:rPr>
        <w:t>b.不正确焊接方法；</w:t>
      </w:r>
    </w:p>
    <w:p>
      <w:pPr>
        <w:bidi w:val="0"/>
        <w:rPr>
          <w:rFonts w:hint="default"/>
          <w:lang w:val="en-US" w:eastAsia="zh-CN"/>
        </w:rPr>
      </w:pPr>
      <w:r>
        <w:rPr>
          <w:rFonts w:hint="default"/>
          <w:lang w:val="en-US" w:eastAsia="zh-CN"/>
        </w:rPr>
        <w:t>c.焊缝未完成；</w:t>
      </w:r>
    </w:p>
    <w:p>
      <w:pPr>
        <w:bidi w:val="0"/>
        <w:rPr>
          <w:rFonts w:hint="default"/>
          <w:lang w:val="en-US" w:eastAsia="zh-CN"/>
        </w:rPr>
      </w:pPr>
      <w:r>
        <w:rPr>
          <w:rFonts w:hint="default"/>
          <w:lang w:val="en-US" w:eastAsia="zh-CN"/>
        </w:rPr>
        <w:t>d.焊缝有裂纹。</w:t>
      </w:r>
    </w:p>
    <w:p>
      <w:pPr>
        <w:bidi w:val="0"/>
        <w:rPr>
          <w:rFonts w:hint="default"/>
          <w:lang w:val="en-US" w:eastAsia="zh-CN"/>
        </w:rPr>
      </w:pPr>
      <w:r>
        <w:rPr>
          <w:rFonts w:hint="default"/>
          <w:lang w:val="en-US" w:eastAsia="zh-CN"/>
        </w:rPr>
        <w:t>②裁判员采取分组流水评判的方式对每个试件进行评分。具体如下：</w:t>
      </w:r>
    </w:p>
    <w:p>
      <w:pPr>
        <w:bidi w:val="0"/>
        <w:rPr>
          <w:rFonts w:hint="default"/>
          <w:lang w:val="en-US" w:eastAsia="zh-CN"/>
        </w:rPr>
      </w:pPr>
      <w:r>
        <w:rPr>
          <w:rFonts w:hint="default"/>
          <w:lang w:val="en-US" w:eastAsia="zh-CN"/>
        </w:rPr>
        <w:t>a.实行评价评分的项目，按照0-3级制进行评价。每个评价评分项目由3名裁判员进行评分，裁判员评分级别差值不得超过1级，否则视为无效。同时有第四名辅助裁判员协助进行评判。</w:t>
      </w:r>
    </w:p>
    <w:p>
      <w:pPr>
        <w:bidi w:val="0"/>
        <w:rPr>
          <w:rFonts w:hint="default"/>
          <w:lang w:val="en-US" w:eastAsia="zh-CN"/>
        </w:rPr>
      </w:pPr>
      <w:r>
        <w:rPr>
          <w:rFonts w:hint="default"/>
          <w:lang w:val="en-US" w:eastAsia="zh-CN"/>
        </w:rPr>
        <w:t>b.采用测量评分的项目，由3名裁判员独立进行测量，核对无误后认真填写实测数据，并在该项记录表上准确注明试件的明码号。</w:t>
      </w:r>
    </w:p>
    <w:p>
      <w:pPr>
        <w:bidi w:val="0"/>
        <w:ind w:left="0" w:leftChars="0" w:firstLine="640" w:firstLineChars="200"/>
        <w:rPr>
          <w:rFonts w:hint="default"/>
          <w:lang w:val="en-US" w:eastAsia="zh-CN"/>
        </w:rPr>
      </w:pPr>
      <w:r>
        <w:rPr>
          <w:rFonts w:hint="default"/>
          <w:lang w:val="en-US" w:eastAsia="zh-CN"/>
        </w:rPr>
        <w:t>c.各评分小组在评判过程中对已填写数据进行修改，或属于书写错误进行修改时，应采用划改方式并由同组3名裁判员在修改处签字确认；若本小组评判结束后，组长对评判结果有疑义需重新评判时，对原结果的修改除本小组3名裁判员签字确认外，还需外观组组长签字确认；若外观组评判结束并将评判结果报赛务组后，如确需更改已提交数据，则必须报裁判长，提交书面报告说明理由并由相关人员签字确认，最终由裁判长组织相关人员检查确认是否需要更改。更改的数据需所评分小组全体评分裁判、外观组组长及裁判长签字确认。</w:t>
      </w:r>
    </w:p>
    <w:p>
      <w:pPr>
        <w:bidi w:val="0"/>
        <w:rPr>
          <w:rFonts w:hint="default"/>
          <w:lang w:val="en-US" w:eastAsia="zh-CN"/>
        </w:rPr>
      </w:pPr>
      <w:r>
        <w:rPr>
          <w:rFonts w:hint="default"/>
          <w:lang w:val="en-US" w:eastAsia="zh-CN"/>
        </w:rPr>
        <w:t>d.凡在评判中总体判0分的试件，裁判员应说明判0分的原因，并交由裁判长确认。裁判长确认无误后，应将试件单独存放。</w:t>
      </w:r>
    </w:p>
    <w:p>
      <w:pPr>
        <w:bidi w:val="0"/>
        <w:rPr>
          <w:rFonts w:hint="default"/>
          <w:lang w:val="en-US" w:eastAsia="zh-CN"/>
        </w:rPr>
      </w:pPr>
      <w:r>
        <w:rPr>
          <w:rFonts w:hint="default"/>
          <w:lang w:val="en-US" w:eastAsia="zh-CN"/>
        </w:rPr>
        <w:t>e.裁判员应先用手摸、目测测量试件焊缝最高点（h）、最低点（d）、最宽处（w）、最窄处（z），用记号笔在焊缝外相应位置做出标记，并分别注上h、d、w、z。</w:t>
      </w:r>
    </w:p>
    <w:p>
      <w:pPr>
        <w:bidi w:val="0"/>
        <w:rPr>
          <w:rFonts w:hint="default"/>
          <w:lang w:val="en-US" w:eastAsia="zh-CN"/>
        </w:rPr>
      </w:pPr>
      <w:r>
        <w:rPr>
          <w:rFonts w:hint="default"/>
          <w:lang w:val="en-US" w:eastAsia="zh-CN"/>
        </w:rPr>
        <w:t>f.裁判员应统一使用分辨率0.01mm的数显游标卡尺测量焊缝宽度，卡尺应卡在焊缝表面熔合的边缘，准确读出小数点后面两位数值并记录在试件上，计算差值后获得的宽窄差数据按四舍五入保留小数点后一位小数进行评判。</w:t>
      </w:r>
    </w:p>
    <w:p>
      <w:pPr>
        <w:bidi w:val="0"/>
        <w:rPr>
          <w:rFonts w:hint="default"/>
          <w:lang w:val="en-US" w:eastAsia="zh-CN"/>
        </w:rPr>
      </w:pPr>
      <w:r>
        <w:rPr>
          <w:rFonts w:hint="default"/>
          <w:lang w:val="en-US" w:eastAsia="zh-CN"/>
        </w:rPr>
        <w:t>g.裁判员应使用分辨率0.01mm的数显焊缝检测尺测量焊缝高度，检测尺基准面应与试件母材面贴紧，同时应避免飞溅、沙砾、熔渣等影响检测尺的贴合情况。测量焊缝表面最高点，准确读出小数点后面两位小数记录在试件上并进行评判。</w:t>
      </w:r>
    </w:p>
    <w:p>
      <w:pPr>
        <w:bidi w:val="0"/>
        <w:rPr>
          <w:rFonts w:hint="default"/>
          <w:lang w:val="en-US" w:eastAsia="zh-CN"/>
        </w:rPr>
      </w:pPr>
      <w:r>
        <w:rPr>
          <w:rFonts w:hint="default"/>
          <w:lang w:val="en-US" w:eastAsia="zh-CN"/>
        </w:rPr>
        <w:t>h.裁判员不得在飞溅点上测高、测宽。</w:t>
      </w:r>
    </w:p>
    <w:p>
      <w:pPr>
        <w:bidi w:val="0"/>
        <w:rPr>
          <w:rFonts w:hint="default"/>
          <w:lang w:val="en-US" w:eastAsia="zh-CN"/>
        </w:rPr>
      </w:pPr>
      <w:r>
        <w:rPr>
          <w:rFonts w:hint="default"/>
          <w:lang w:val="en-US" w:eastAsia="zh-CN"/>
        </w:rPr>
        <w:t>i.裁判员应使用记号笔在靠近缺陷的焊缝外标记咬边、气孔、焊缝表面打磨等缺陷。</w:t>
      </w:r>
    </w:p>
    <w:p>
      <w:pPr>
        <w:bidi w:val="0"/>
        <w:rPr>
          <w:rFonts w:hint="default"/>
          <w:lang w:val="en-US" w:eastAsia="zh-CN"/>
        </w:rPr>
      </w:pPr>
      <w:r>
        <w:rPr>
          <w:rFonts w:hint="default"/>
          <w:lang w:val="en-US" w:eastAsia="zh-CN"/>
        </w:rPr>
        <w:t>j.裁判员应标记评判完成的试件，并将其有序放置。</w:t>
      </w:r>
    </w:p>
    <w:p>
      <w:pPr>
        <w:bidi w:val="0"/>
        <w:rPr>
          <w:rFonts w:hint="default"/>
          <w:lang w:val="en-US" w:eastAsia="zh-CN"/>
        </w:rPr>
      </w:pPr>
      <w:r>
        <w:rPr>
          <w:rFonts w:hint="default"/>
          <w:lang w:val="en-US" w:eastAsia="zh-CN"/>
        </w:rPr>
        <w:t>③在外观评判过程中，组长有权抽查评判完成的试件。当对评判结果有疑义时，组长可要求重新评定。</w:t>
      </w:r>
    </w:p>
    <w:p>
      <w:pPr>
        <w:bidi w:val="0"/>
        <w:rPr>
          <w:rFonts w:hint="default"/>
          <w:lang w:val="en-US" w:eastAsia="zh-CN"/>
        </w:rPr>
      </w:pPr>
      <w:r>
        <w:rPr>
          <w:rFonts w:hint="default"/>
          <w:lang w:val="en-US" w:eastAsia="zh-CN"/>
        </w:rPr>
        <w:t>④所有试件评定完成后，裁判员应将各类外观得分较高的试件进行再次确认，以确保评判的准确性。</w:t>
      </w:r>
    </w:p>
    <w:p>
      <w:pPr>
        <w:bidi w:val="0"/>
        <w:rPr>
          <w:rFonts w:hint="default"/>
          <w:lang w:val="en-US" w:eastAsia="zh-CN"/>
        </w:rPr>
      </w:pPr>
      <w:r>
        <w:rPr>
          <w:rFonts w:hint="default"/>
          <w:lang w:val="en-US" w:eastAsia="zh-CN"/>
        </w:rPr>
        <w:t>⑤所有试件评判确认无误后，组长应安排不少于3名裁判员负责单项分数累加和复核。</w:t>
      </w:r>
    </w:p>
    <w:p>
      <w:pPr>
        <w:bidi w:val="0"/>
        <w:rPr>
          <w:rFonts w:hint="default"/>
          <w:lang w:val="en-US" w:eastAsia="zh-CN"/>
        </w:rPr>
      </w:pPr>
      <w:r>
        <w:rPr>
          <w:rFonts w:hint="default"/>
          <w:lang w:val="en-US" w:eastAsia="zh-CN"/>
        </w:rPr>
        <w:t>⑥组长应按各类试件明码号统计分数及其缺陷类型，并向裁判长提交分数汇总表和外观成绩分析点评报告。</w:t>
      </w:r>
    </w:p>
    <w:p>
      <w:pPr>
        <w:bidi w:val="0"/>
        <w:rPr>
          <w:rFonts w:hint="default"/>
          <w:lang w:val="en-US" w:eastAsia="zh-CN"/>
        </w:rPr>
      </w:pPr>
      <w:r>
        <w:rPr>
          <w:rFonts w:hint="default"/>
          <w:lang w:val="en-US" w:eastAsia="zh-CN"/>
        </w:rPr>
        <w:t>（5）违规行为扣分流程</w:t>
      </w:r>
    </w:p>
    <w:p>
      <w:pPr>
        <w:bidi w:val="0"/>
        <w:rPr>
          <w:rFonts w:hint="default"/>
          <w:lang w:val="en-US" w:eastAsia="zh-CN"/>
        </w:rPr>
      </w:pPr>
      <w:r>
        <w:rPr>
          <w:rFonts w:hint="default"/>
          <w:lang w:val="en-US" w:eastAsia="zh-CN"/>
        </w:rPr>
        <w:t>①监考组组长应根据监考裁判员记录，对选手未按操作规定进行定位焊检查等技术违规行为进行汇总，经当事监考裁判确认后报裁判长核准。</w:t>
      </w:r>
    </w:p>
    <w:p>
      <w:pPr>
        <w:bidi w:val="0"/>
        <w:rPr>
          <w:rFonts w:hint="default"/>
          <w:lang w:val="en-US" w:eastAsia="zh-CN"/>
        </w:rPr>
      </w:pPr>
      <w:r>
        <w:rPr>
          <w:rFonts w:hint="default"/>
          <w:lang w:val="en-US" w:eastAsia="zh-CN"/>
        </w:rPr>
        <w:t>②在试件解密后，裁判长组织各裁判组按照本文件相关条款对违规选手进行扣分。</w:t>
      </w:r>
    </w:p>
    <w:p>
      <w:pPr>
        <w:bidi w:val="0"/>
        <w:rPr>
          <w:rFonts w:hint="default"/>
          <w:lang w:val="en-US" w:eastAsia="zh-CN"/>
        </w:rPr>
      </w:pPr>
      <w:r>
        <w:rPr>
          <w:rFonts w:hint="default"/>
          <w:lang w:val="en-US" w:eastAsia="zh-CN"/>
        </w:rPr>
        <w:t>3.焊接质量要求</w:t>
      </w:r>
    </w:p>
    <w:p>
      <w:pPr>
        <w:bidi w:val="0"/>
        <w:rPr>
          <w:rFonts w:hint="default"/>
          <w:lang w:val="en-US" w:eastAsia="zh-CN"/>
        </w:rPr>
      </w:pPr>
      <w:r>
        <w:rPr>
          <w:rFonts w:hint="default"/>
          <w:lang w:val="en-US" w:eastAsia="zh-CN"/>
        </w:rPr>
        <w:t>（1）依据标准</w:t>
      </w:r>
    </w:p>
    <w:p>
      <w:pPr>
        <w:bidi w:val="0"/>
        <w:rPr>
          <w:rFonts w:hint="default"/>
          <w:lang w:val="en-US" w:eastAsia="zh-CN"/>
        </w:rPr>
      </w:pPr>
      <w:r>
        <w:rPr>
          <w:rFonts w:hint="default"/>
          <w:lang w:val="en-US" w:eastAsia="zh-CN"/>
        </w:rPr>
        <w:t>①缺陷评判水平不得低于ISO9606焊工资格考试——熔焊第一部分：钢</w:t>
      </w:r>
    </w:p>
    <w:p>
      <w:pPr>
        <w:bidi w:val="0"/>
        <w:rPr>
          <w:rFonts w:hint="default"/>
          <w:lang w:val="en-US" w:eastAsia="zh-CN"/>
        </w:rPr>
      </w:pPr>
      <w:r>
        <w:rPr>
          <w:rFonts w:hint="default"/>
          <w:lang w:val="en-US" w:eastAsia="zh-CN"/>
        </w:rPr>
        <w:t>②缺陷水平不得低于ISO5817焊接——钢、镍、钛及其合金的熔化焊焊缝（电子束焊接除外）缺陷质量分级指南—质量分级的B级。</w:t>
      </w:r>
    </w:p>
    <w:p>
      <w:pPr>
        <w:bidi w:val="0"/>
        <w:rPr>
          <w:rFonts w:hint="default"/>
          <w:lang w:val="en-US" w:eastAsia="zh-CN"/>
        </w:rPr>
      </w:pPr>
      <w:r>
        <w:rPr>
          <w:rFonts w:hint="default"/>
          <w:lang w:val="en-US" w:eastAsia="zh-CN"/>
        </w:rPr>
        <w:t>（2）焊缝质量标准说明</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01"/>
        <w:gridCol w:w="2835"/>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序号</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缺陷</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说明</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缺陷允许范围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50" w:type="dxa"/>
            <w:vAlign w:val="center"/>
          </w:tcPr>
          <w:p>
            <w:pPr>
              <w:pStyle w:val="82"/>
              <w:keepNext w:val="0"/>
              <w:keepLines w:val="0"/>
              <w:pageBreakBefore w:val="0"/>
              <w:widowControl w:val="0"/>
              <w:kinsoku/>
              <w:wordWrap/>
              <w:overflowPunct/>
              <w:topLinePunct w:val="0"/>
              <w:autoSpaceDE/>
              <w:autoSpaceDN/>
              <w:bidi w:val="0"/>
              <w:adjustRightInd/>
              <w:snapToGrid w:val="0"/>
              <w:spacing w:before="299" w:line="2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rPr>
              <w:t>1</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59" w:line="2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9"/>
                <w:sz w:val="24"/>
                <w:szCs w:val="24"/>
              </w:rPr>
              <w:t>裂纹</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90"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34"/>
                <w:sz w:val="24"/>
                <w:szCs w:val="24"/>
              </w:rPr>
              <w:t>焊缝表面是否没有任何裂</w:t>
            </w:r>
            <w:r>
              <w:rPr>
                <w:rFonts w:ascii="仿宋" w:hAnsi="仿宋" w:eastAsia="仿宋" w:cs="仿宋"/>
                <w:spacing w:val="-9"/>
                <w:sz w:val="24"/>
                <w:szCs w:val="24"/>
              </w:rPr>
              <w:t>纹？</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260" w:line="20" w:lineRule="exact"/>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4"/>
                <w:sz w:val="24"/>
                <w:szCs w:val="24"/>
              </w:rPr>
              <w:t>不允许有裂纹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91"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2"/>
                <w:sz w:val="24"/>
                <w:szCs w:val="24"/>
              </w:rPr>
              <w:t>焊缝起弧、收</w:t>
            </w:r>
            <w:r>
              <w:rPr>
                <w:rFonts w:hint="eastAsia" w:ascii="楷体" w:hAnsi="楷体" w:eastAsia="楷体" w:cs="楷体"/>
                <w:spacing w:val="-6"/>
                <w:sz w:val="24"/>
                <w:szCs w:val="24"/>
              </w:rPr>
              <w:t>弧弧坑</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121"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1"/>
                <w:sz w:val="24"/>
                <w:szCs w:val="24"/>
              </w:rPr>
              <w:t>焊缝起弧和收弧弧坑填满了</w:t>
            </w:r>
            <w:r>
              <w:rPr>
                <w:rFonts w:ascii="仿宋" w:hAnsi="仿宋" w:eastAsia="仿宋" w:cs="仿宋"/>
                <w:spacing w:val="-3"/>
                <w:sz w:val="24"/>
                <w:szCs w:val="24"/>
              </w:rPr>
              <w:t>吗</w:t>
            </w:r>
            <w:r>
              <w:rPr>
                <w:rFonts w:ascii="仿宋" w:hAnsi="仿宋" w:eastAsia="仿宋" w:cs="仿宋"/>
                <w:spacing w:val="-38"/>
                <w:sz w:val="24"/>
                <w:szCs w:val="24"/>
              </w:rPr>
              <w:t>？（</w:t>
            </w:r>
            <w:r>
              <w:rPr>
                <w:rFonts w:ascii="仿宋" w:hAnsi="仿宋" w:eastAsia="仿宋" w:cs="仿宋"/>
                <w:spacing w:val="-3"/>
                <w:sz w:val="24"/>
                <w:szCs w:val="24"/>
              </w:rPr>
              <w:t>从弧坑顶部到底部，或到停弧和再起弧点顶部）</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3"/>
                <w:sz w:val="24"/>
                <w:szCs w:val="24"/>
              </w:rPr>
              <w:t>不允许有超高、脱节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3</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1"/>
                <w:sz w:val="24"/>
                <w:szCs w:val="24"/>
              </w:rPr>
              <w:t>电弧擦伤</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
                <w:sz w:val="24"/>
                <w:szCs w:val="24"/>
              </w:rPr>
              <w:t>有无电弧擦伤</w:t>
            </w:r>
            <w:r>
              <w:rPr>
                <w:rFonts w:ascii="仿宋" w:hAnsi="仿宋" w:eastAsia="仿宋" w:cs="仿宋"/>
                <w:spacing w:val="-55"/>
                <w:sz w:val="24"/>
                <w:szCs w:val="24"/>
              </w:rPr>
              <w:t>？（</w:t>
            </w:r>
            <w:r>
              <w:rPr>
                <w:rFonts w:ascii="仿宋" w:hAnsi="仿宋" w:eastAsia="仿宋" w:cs="仿宋"/>
                <w:spacing w:val="1"/>
                <w:sz w:val="24"/>
                <w:szCs w:val="24"/>
              </w:rPr>
              <w:t>不允许通过</w:t>
            </w:r>
            <w:r>
              <w:rPr>
                <w:rFonts w:ascii="仿宋" w:hAnsi="仿宋" w:eastAsia="仿宋" w:cs="仿宋"/>
                <w:spacing w:val="-3"/>
                <w:sz w:val="24"/>
                <w:szCs w:val="24"/>
              </w:rPr>
              <w:t>打磨消除电弧擦伤）</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211" w:line="240" w:lineRule="auto"/>
              <w:ind w:left="0" w:leftChars="0" w:right="109"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5"/>
              </w:rPr>
              <w:t>模块</w:t>
            </w:r>
            <w:r>
              <w:rPr>
                <w:spacing w:val="-5"/>
              </w:rPr>
              <w:t>A</w:t>
            </w:r>
            <w:r>
              <w:rPr>
                <w:rFonts w:ascii="仿宋" w:hAnsi="仿宋" w:eastAsia="仿宋" w:cs="仿宋"/>
                <w:spacing w:val="-5"/>
              </w:rPr>
              <w:t>、</w:t>
            </w:r>
            <w:r>
              <w:rPr>
                <w:spacing w:val="-5"/>
              </w:rPr>
              <w:t>B</w:t>
            </w:r>
            <w:r>
              <w:rPr>
                <w:rFonts w:ascii="仿宋" w:hAnsi="仿宋" w:eastAsia="仿宋" w:cs="仿宋"/>
                <w:spacing w:val="-5"/>
              </w:rPr>
              <w:t>、</w:t>
            </w:r>
            <w:r>
              <w:rPr>
                <w:spacing w:val="-5"/>
              </w:rPr>
              <w:t>C</w:t>
            </w:r>
            <w:r>
              <w:rPr>
                <w:rFonts w:ascii="仿宋" w:hAnsi="仿宋" w:eastAsia="仿宋" w:cs="仿宋"/>
                <w:spacing w:val="-5"/>
              </w:rPr>
              <w:t>不允许有电弧擦</w:t>
            </w:r>
            <w:r>
              <w:rPr>
                <w:rFonts w:ascii="仿宋" w:hAnsi="仿宋" w:eastAsia="仿宋" w:cs="仿宋"/>
                <w:spacing w:val="-9"/>
              </w:rPr>
              <w:t>伤，</w:t>
            </w:r>
            <w:r>
              <w:rPr>
                <w:rFonts w:ascii="仿宋" w:hAnsi="仿宋" w:eastAsia="仿宋" w:cs="仿宋"/>
                <w:spacing w:val="12"/>
                <w:sz w:val="24"/>
                <w:szCs w:val="24"/>
              </w:rPr>
              <w:t>（不允许通过打磨消除电弧擦</w:t>
            </w:r>
            <w:r>
              <w:rPr>
                <w:rFonts w:ascii="仿宋" w:hAnsi="仿宋" w:eastAsia="仿宋" w:cs="仿宋"/>
                <w:spacing w:val="-9"/>
                <w:sz w:val="24"/>
                <w:szCs w:val="24"/>
              </w:rPr>
              <w:t>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4</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34"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焊渣及飞溅清</w:t>
            </w:r>
            <w:r>
              <w:rPr>
                <w:rFonts w:hint="eastAsia" w:ascii="楷体" w:hAnsi="楷体" w:eastAsia="楷体" w:cs="楷体"/>
                <w:sz w:val="24"/>
                <w:szCs w:val="24"/>
              </w:rPr>
              <w:t>理</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236"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1"/>
                <w:sz w:val="24"/>
                <w:szCs w:val="24"/>
              </w:rPr>
              <w:t>接头及周围表面的焊渣及飞</w:t>
            </w:r>
            <w:r>
              <w:rPr>
                <w:rFonts w:ascii="仿宋" w:hAnsi="仿宋" w:eastAsia="仿宋" w:cs="仿宋"/>
                <w:spacing w:val="-3"/>
                <w:sz w:val="24"/>
                <w:szCs w:val="24"/>
              </w:rPr>
              <w:t>溅是否清除？</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66" w:line="240" w:lineRule="auto"/>
              <w:ind w:left="0" w:leftChars="0" w:right="107" w:rightChars="0" w:firstLine="0" w:firstLineChars="0"/>
              <w:jc w:val="left"/>
              <w:textAlignment w:val="auto"/>
              <w:rPr>
                <w:rFonts w:hint="eastAsia" w:ascii="仿宋" w:hAnsi="仿宋" w:eastAsia="仿宋" w:cs="仿宋"/>
                <w:kern w:val="2"/>
                <w:sz w:val="24"/>
                <w:szCs w:val="24"/>
                <w:lang w:val="en-US" w:eastAsia="zh-CN" w:bidi="ar-SA"/>
              </w:rPr>
            </w:pPr>
            <w:r>
              <w:rPr>
                <w:spacing w:val="10"/>
              </w:rPr>
              <w:t>99%</w:t>
            </w:r>
            <w:r>
              <w:rPr>
                <w:rFonts w:ascii="仿宋" w:hAnsi="仿宋" w:eastAsia="仿宋" w:cs="仿宋"/>
                <w:spacing w:val="10"/>
              </w:rPr>
              <w:t>以上的焊渣及飞溅应被清</w:t>
            </w:r>
            <w:r>
              <w:rPr>
                <w:rFonts w:ascii="仿宋" w:hAnsi="仿宋" w:eastAsia="仿宋" w:cs="仿宋"/>
                <w:spacing w:val="12"/>
              </w:rPr>
              <w:t>除（不包括焊缝上的融合性焊</w:t>
            </w:r>
            <w:r>
              <w:rPr>
                <w:rFonts w:ascii="仿宋" w:hAnsi="仿宋" w:eastAsia="仿宋" w:cs="仿宋"/>
                <w:spacing w:val="-8"/>
              </w:rPr>
              <w:t>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5</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5"/>
                <w:sz w:val="24"/>
                <w:szCs w:val="24"/>
              </w:rPr>
              <w:t>打磨痕迹</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184" w:line="240" w:lineRule="auto"/>
              <w:ind w:left="0" w:leftChars="0" w:right="75"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1"/>
                <w:sz w:val="24"/>
                <w:szCs w:val="24"/>
              </w:rPr>
              <w:t>根部焊道背面和盖面焊道表</w:t>
            </w:r>
            <w:r>
              <w:rPr>
                <w:rFonts w:ascii="仿宋" w:hAnsi="仿宋" w:eastAsia="仿宋" w:cs="仿宋"/>
                <w:spacing w:val="-6"/>
                <w:sz w:val="24"/>
                <w:szCs w:val="24"/>
              </w:rPr>
              <w:t>面是否打磨或清除多余金属，</w:t>
            </w:r>
            <w:r>
              <w:rPr>
                <w:rFonts w:ascii="仿宋" w:hAnsi="仿宋" w:eastAsia="仿宋" w:cs="仿宋"/>
                <w:spacing w:val="-2"/>
                <w:sz w:val="24"/>
                <w:szCs w:val="24"/>
              </w:rPr>
              <w:t>以提高完成的焊缝质量？</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right="109"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2"/>
                <w:sz w:val="24"/>
                <w:szCs w:val="24"/>
              </w:rPr>
              <w:t>严禁在完成的焊缝表面清除多</w:t>
            </w:r>
            <w:r>
              <w:rPr>
                <w:rFonts w:ascii="仿宋" w:hAnsi="仿宋" w:eastAsia="仿宋" w:cs="仿宋"/>
                <w:spacing w:val="-6"/>
                <w:sz w:val="24"/>
                <w:szCs w:val="24"/>
              </w:rPr>
              <w:t>余金属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6</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4"/>
                <w:sz w:val="24"/>
                <w:szCs w:val="24"/>
              </w:rPr>
              <w:t>可见夹杂物</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90"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1"/>
                <w:sz w:val="24"/>
                <w:szCs w:val="24"/>
              </w:rPr>
              <w:t>焊缝金属是否有短的固态缺</w:t>
            </w:r>
            <w:r>
              <w:rPr>
                <w:rFonts w:ascii="仿宋" w:hAnsi="仿宋" w:eastAsia="仿宋" w:cs="仿宋"/>
                <w:spacing w:val="-4"/>
                <w:sz w:val="24"/>
                <w:szCs w:val="24"/>
              </w:rPr>
              <w:t>陷</w:t>
            </w:r>
            <w:r>
              <w:rPr>
                <w:rFonts w:ascii="仿宋" w:hAnsi="仿宋" w:eastAsia="仿宋" w:cs="仿宋"/>
                <w:spacing w:val="-29"/>
                <w:sz w:val="24"/>
                <w:szCs w:val="24"/>
              </w:rPr>
              <w:t>？（</w:t>
            </w:r>
            <w:r>
              <w:rPr>
                <w:rFonts w:ascii="仿宋" w:hAnsi="仿宋" w:eastAsia="仿宋" w:cs="仿宋"/>
                <w:spacing w:val="-4"/>
                <w:sz w:val="24"/>
                <w:szCs w:val="24"/>
              </w:rPr>
              <w:t>焊渣、焊剂、氧化物或金属杂质）</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8"/>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7</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表面或内部气</w:t>
            </w:r>
            <w:r>
              <w:rPr>
                <w:rFonts w:hint="eastAsia" w:ascii="楷体" w:hAnsi="楷体" w:eastAsia="楷体" w:cs="楷体"/>
                <w:sz w:val="24"/>
                <w:szCs w:val="24"/>
              </w:rPr>
              <w:t>孔</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焊缝金属是否有气孔？</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70" w:line="240" w:lineRule="auto"/>
              <w:ind w:left="0" w:leftChars="0" w:right="109" w:firstLine="0" w:firstLineChars="0"/>
              <w:jc w:val="left"/>
              <w:textAlignment w:val="auto"/>
              <w:rPr>
                <w:rFonts w:ascii="仿宋" w:hAnsi="仿宋" w:eastAsia="仿宋" w:cs="仿宋"/>
              </w:rPr>
            </w:pPr>
            <w:r>
              <w:rPr>
                <w:rFonts w:ascii="仿宋" w:hAnsi="仿宋" w:eastAsia="仿宋" w:cs="仿宋"/>
                <w:spacing w:val="-12"/>
              </w:rPr>
              <w:t>模块</w:t>
            </w:r>
            <w:r>
              <w:rPr>
                <w:spacing w:val="-12"/>
              </w:rPr>
              <w:t>A</w:t>
            </w:r>
            <w:r>
              <w:rPr>
                <w:rFonts w:ascii="仿宋" w:hAnsi="仿宋" w:eastAsia="仿宋" w:cs="仿宋"/>
                <w:spacing w:val="-12"/>
              </w:rPr>
              <w:t>、</w:t>
            </w:r>
            <w:r>
              <w:rPr>
                <w:spacing w:val="-12"/>
              </w:rPr>
              <w:t>C</w:t>
            </w:r>
            <w:r>
              <w:rPr>
                <w:rFonts w:ascii="仿宋" w:hAnsi="仿宋" w:eastAsia="仿宋" w:cs="仿宋"/>
                <w:spacing w:val="-12"/>
              </w:rPr>
              <w:t>（射线探伤）见</w:t>
            </w:r>
            <w:r>
              <w:rPr>
                <w:spacing w:val="-1"/>
              </w:rPr>
              <w:t>ISO5817</w:t>
            </w:r>
            <w:r>
              <w:rPr>
                <w:rFonts w:ascii="仿宋" w:hAnsi="仿宋" w:eastAsia="仿宋" w:cs="仿宋"/>
                <w:spacing w:val="-1"/>
              </w:rPr>
              <w:t>；</w:t>
            </w:r>
          </w:p>
          <w:p>
            <w:pPr>
              <w:pStyle w:val="82"/>
              <w:keepNext w:val="0"/>
              <w:keepLines w:val="0"/>
              <w:pageBreakBefore w:val="0"/>
              <w:widowControl w:val="0"/>
              <w:kinsoku/>
              <w:wordWrap/>
              <w:overflowPunct/>
              <w:topLinePunct w:val="0"/>
              <w:autoSpaceDE/>
              <w:autoSpaceDN/>
              <w:bidi w:val="0"/>
              <w:adjustRightInd/>
              <w:snapToGrid w:val="0"/>
              <w:spacing w:before="62" w:line="240" w:lineRule="auto"/>
              <w:ind w:left="0" w:leftChars="0" w:right="44" w:firstLine="0" w:firstLineChars="0"/>
              <w:jc w:val="left"/>
              <w:textAlignment w:val="auto"/>
              <w:rPr>
                <w:rFonts w:ascii="仿宋" w:hAnsi="仿宋" w:eastAsia="仿宋" w:cs="仿宋"/>
              </w:rPr>
            </w:pPr>
            <w:r>
              <w:rPr>
                <w:rFonts w:ascii="仿宋" w:hAnsi="仿宋" w:eastAsia="仿宋" w:cs="仿宋"/>
                <w:spacing w:val="-11"/>
              </w:rPr>
              <w:t>模块</w:t>
            </w:r>
            <w:r>
              <w:rPr>
                <w:spacing w:val="-11"/>
              </w:rPr>
              <w:t>A</w:t>
            </w:r>
            <w:r>
              <w:rPr>
                <w:rFonts w:ascii="仿宋" w:hAnsi="仿宋" w:eastAsia="仿宋" w:cs="仿宋"/>
                <w:spacing w:val="-11"/>
              </w:rPr>
              <w:t>、</w:t>
            </w:r>
            <w:r>
              <w:rPr>
                <w:spacing w:val="-11"/>
              </w:rPr>
              <w:t>C</w:t>
            </w:r>
            <w:r>
              <w:rPr>
                <w:rFonts w:ascii="仿宋" w:hAnsi="仿宋" w:eastAsia="仿宋" w:cs="仿宋"/>
                <w:spacing w:val="-11"/>
              </w:rPr>
              <w:t>（板结构）按处评分，</w:t>
            </w:r>
            <w:r>
              <w:rPr>
                <w:rFonts w:ascii="仿宋" w:hAnsi="仿宋" w:eastAsia="仿宋" w:cs="仿宋"/>
                <w:spacing w:val="-5"/>
              </w:rPr>
              <w:t>最大可允许</w:t>
            </w:r>
            <w:r>
              <w:rPr>
                <w:spacing w:val="-5"/>
              </w:rPr>
              <w:t>2</w:t>
            </w:r>
            <w:r>
              <w:rPr>
                <w:rFonts w:ascii="仿宋" w:hAnsi="仿宋" w:eastAsia="仿宋" w:cs="仿宋"/>
                <w:spacing w:val="-5"/>
              </w:rPr>
              <w:t>处缺陷；</w:t>
            </w:r>
          </w:p>
          <w:p>
            <w:pPr>
              <w:pStyle w:val="82"/>
              <w:keepNext w:val="0"/>
              <w:keepLines w:val="0"/>
              <w:pageBreakBefore w:val="0"/>
              <w:widowControl w:val="0"/>
              <w:kinsoku/>
              <w:wordWrap/>
              <w:overflowPunct/>
              <w:topLinePunct w:val="0"/>
              <w:autoSpaceDE/>
              <w:autoSpaceDN/>
              <w:bidi w:val="0"/>
              <w:adjustRightInd/>
              <w:snapToGrid w:val="0"/>
              <w:spacing w:before="52" w:line="240" w:lineRule="auto"/>
              <w:ind w:left="0" w:leftChars="0" w:right="109"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4"/>
              </w:rPr>
              <w:t>模块</w:t>
            </w:r>
            <w:r>
              <w:rPr>
                <w:spacing w:val="-4"/>
              </w:rPr>
              <w:t>B</w:t>
            </w:r>
            <w:r>
              <w:rPr>
                <w:rFonts w:ascii="仿宋" w:hAnsi="仿宋" w:eastAsia="仿宋" w:cs="仿宋"/>
                <w:spacing w:val="-4"/>
              </w:rPr>
              <w:t>（管结构）按处评分，最</w:t>
            </w:r>
            <w:r>
              <w:rPr>
                <w:rFonts w:ascii="仿宋" w:hAnsi="仿宋" w:eastAsia="仿宋" w:cs="仿宋"/>
                <w:spacing w:val="-5"/>
              </w:rPr>
              <w:t>大可允许</w:t>
            </w:r>
            <w:r>
              <w:rPr>
                <w:spacing w:val="-5"/>
              </w:rPr>
              <w:t>2</w:t>
            </w:r>
            <w:r>
              <w:rPr>
                <w:rFonts w:ascii="仿宋" w:hAnsi="仿宋" w:eastAsia="仿宋" w:cs="仿宋"/>
                <w:spacing w:val="-5"/>
              </w:rPr>
              <w:t>处缺陷；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8</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175"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3"/>
                <w:sz w:val="24"/>
                <w:szCs w:val="24"/>
              </w:rPr>
              <w:t>咬边</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焊接接头有咬边吗？</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176"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4"/>
              </w:rPr>
              <w:t>不允许有≥</w:t>
            </w:r>
            <w:r>
              <w:rPr>
                <w:spacing w:val="-4"/>
              </w:rPr>
              <w:t>0.5mm</w:t>
            </w:r>
            <w:r>
              <w:rPr>
                <w:rFonts w:ascii="仿宋" w:hAnsi="仿宋" w:eastAsia="仿宋" w:cs="仿宋"/>
                <w:spacing w:val="-4"/>
              </w:rPr>
              <w:t>的咬边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9</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178"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焊瘤</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1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焊接接头是否有焊瘤？</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1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4"/>
                <w:sz w:val="24"/>
                <w:szCs w:val="24"/>
              </w:rPr>
              <w:t>不允许有焊瘤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10</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未焊透</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right="104" w:righ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1"/>
                <w:sz w:val="24"/>
                <w:szCs w:val="24"/>
              </w:rPr>
              <w:t>焊接接头是否有未焊透或根</w:t>
            </w:r>
            <w:r>
              <w:rPr>
                <w:rFonts w:ascii="仿宋" w:hAnsi="仿宋" w:eastAsia="仿宋" w:cs="仿宋"/>
                <w:spacing w:val="-3"/>
                <w:sz w:val="24"/>
                <w:szCs w:val="24"/>
              </w:rPr>
              <w:t>部未熔合吗？</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162" w:line="240" w:lineRule="auto"/>
              <w:ind w:left="0" w:leftChars="0" w:right="109" w:firstLine="0" w:firstLineChars="0"/>
              <w:jc w:val="left"/>
              <w:textAlignment w:val="auto"/>
              <w:rPr>
                <w:rFonts w:ascii="仿宋" w:hAnsi="仿宋" w:eastAsia="仿宋" w:cs="仿宋"/>
              </w:rPr>
            </w:pPr>
            <w:r>
              <w:rPr>
                <w:rFonts w:ascii="仿宋" w:hAnsi="仿宋" w:eastAsia="仿宋" w:cs="仿宋"/>
              </w:rPr>
              <w:t>模块</w:t>
            </w:r>
            <w:r>
              <w:t>A</w:t>
            </w:r>
            <w:r>
              <w:rPr>
                <w:rFonts w:ascii="仿宋" w:hAnsi="仿宋" w:eastAsia="仿宋" w:cs="仿宋"/>
              </w:rPr>
              <w:t>、</w:t>
            </w:r>
            <w:r>
              <w:t>B</w:t>
            </w:r>
            <w:r>
              <w:rPr>
                <w:rFonts w:ascii="仿宋" w:hAnsi="仿宋" w:eastAsia="仿宋" w:cs="仿宋"/>
              </w:rPr>
              <w:t>、</w:t>
            </w:r>
            <w:r>
              <w:t>C</w:t>
            </w:r>
            <w:r>
              <w:rPr>
                <w:rFonts w:ascii="仿宋" w:hAnsi="仿宋" w:eastAsia="仿宋" w:cs="仿宋"/>
              </w:rPr>
              <w:t>（射线探伤）见</w:t>
            </w:r>
            <w:r>
              <w:rPr>
                <w:spacing w:val="-1"/>
              </w:rPr>
              <w:t>ISO5817</w:t>
            </w:r>
            <w:r>
              <w:rPr>
                <w:rFonts w:ascii="仿宋" w:hAnsi="仿宋" w:eastAsia="仿宋" w:cs="仿宋"/>
                <w:spacing w:val="-1"/>
              </w:rPr>
              <w:t>；</w:t>
            </w:r>
          </w:p>
          <w:p>
            <w:pPr>
              <w:pStyle w:val="82"/>
              <w:keepNext w:val="0"/>
              <w:keepLines w:val="0"/>
              <w:pageBreakBefore w:val="0"/>
              <w:widowControl w:val="0"/>
              <w:kinsoku/>
              <w:wordWrap/>
              <w:overflowPunct/>
              <w:topLinePunct w:val="0"/>
              <w:autoSpaceDE/>
              <w:autoSpaceDN/>
              <w:bidi w:val="0"/>
              <w:adjustRightInd/>
              <w:snapToGrid w:val="0"/>
              <w:spacing w:before="65"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10"/>
              </w:rPr>
              <w:t>模块</w:t>
            </w:r>
            <w:r>
              <w:rPr>
                <w:spacing w:val="-10"/>
              </w:rPr>
              <w:t>A</w:t>
            </w:r>
            <w:r>
              <w:rPr>
                <w:rFonts w:ascii="仿宋" w:hAnsi="仿宋" w:eastAsia="仿宋" w:cs="仿宋"/>
                <w:spacing w:val="-10"/>
              </w:rPr>
              <w:t>、</w:t>
            </w:r>
            <w:r>
              <w:rPr>
                <w:spacing w:val="-10"/>
              </w:rPr>
              <w:t>B</w:t>
            </w:r>
            <w:r>
              <w:rPr>
                <w:rFonts w:ascii="仿宋" w:hAnsi="仿宋" w:eastAsia="仿宋" w:cs="仿宋"/>
                <w:spacing w:val="-10"/>
              </w:rPr>
              <w:t>、</w:t>
            </w:r>
            <w:r>
              <w:rPr>
                <w:spacing w:val="-10"/>
              </w:rPr>
              <w:t>C</w:t>
            </w:r>
            <w:r>
              <w:rPr>
                <w:rFonts w:ascii="仿宋" w:hAnsi="仿宋" w:eastAsia="仿宋" w:cs="仿宋"/>
                <w:spacing w:val="-10"/>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11</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70"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根部凹陷（根</w:t>
            </w:r>
            <w:r>
              <w:rPr>
                <w:rFonts w:hint="eastAsia" w:ascii="楷体" w:hAnsi="楷体" w:eastAsia="楷体" w:cs="楷体"/>
                <w:spacing w:val="-5"/>
                <w:sz w:val="24"/>
                <w:szCs w:val="24"/>
              </w:rPr>
              <w:t>部收缩）</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240"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熔透焊缝是否有根部凹陷？</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71" w:line="240" w:lineRule="auto"/>
              <w:ind w:left="0" w:leftChars="0" w:right="109" w:rightChars="0" w:firstLine="0" w:firstLineChars="0"/>
              <w:jc w:val="left"/>
              <w:textAlignment w:val="auto"/>
              <w:rPr>
                <w:rFonts w:hint="eastAsia" w:ascii="Times New Roman" w:hAnsi="Times New Roman" w:eastAsia="Times New Roman" w:cs="Times New Roman"/>
                <w:kern w:val="2"/>
                <w:sz w:val="24"/>
                <w:szCs w:val="24"/>
                <w:lang w:val="en-US" w:eastAsia="zh-CN" w:bidi="ar-SA"/>
              </w:rPr>
            </w:pPr>
            <w:r>
              <w:rPr>
                <w:rFonts w:ascii="仿宋" w:hAnsi="仿宋" w:eastAsia="仿宋" w:cs="仿宋"/>
                <w:spacing w:val="1"/>
              </w:rPr>
              <w:t>模块</w:t>
            </w:r>
            <w:r>
              <w:rPr>
                <w:spacing w:val="1"/>
              </w:rPr>
              <w:t>A</w:t>
            </w:r>
            <w:r>
              <w:rPr>
                <w:rFonts w:ascii="仿宋" w:hAnsi="仿宋" w:eastAsia="仿宋" w:cs="仿宋"/>
                <w:spacing w:val="1"/>
              </w:rPr>
              <w:t>、</w:t>
            </w:r>
            <w:r>
              <w:rPr>
                <w:spacing w:val="1"/>
              </w:rPr>
              <w:t>B</w:t>
            </w:r>
            <w:r>
              <w:rPr>
                <w:rFonts w:ascii="仿宋" w:hAnsi="仿宋" w:eastAsia="仿宋" w:cs="仿宋"/>
                <w:spacing w:val="1"/>
              </w:rPr>
              <w:t>、</w:t>
            </w:r>
            <w:r>
              <w:rPr>
                <w:spacing w:val="1"/>
              </w:rPr>
              <w:t>C</w:t>
            </w:r>
            <w:r>
              <w:rPr>
                <w:rFonts w:ascii="仿宋" w:hAnsi="仿宋" w:eastAsia="仿宋" w:cs="仿宋"/>
                <w:spacing w:val="1"/>
              </w:rPr>
              <w:t>（组合件）见</w:t>
            </w:r>
            <w:r>
              <w:rPr>
                <w:spacing w:val="-1"/>
              </w:rPr>
              <w:t>ISO5817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12</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61"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下塌（过分熔</w:t>
            </w:r>
            <w:r>
              <w:rPr>
                <w:rFonts w:hint="eastAsia" w:ascii="楷体" w:hAnsi="楷体" w:eastAsia="楷体" w:cs="楷体"/>
                <w:spacing w:val="-8"/>
                <w:sz w:val="24"/>
                <w:szCs w:val="24"/>
              </w:rPr>
              <w:t>透）</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焊接接头是否有下塌？</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262" w:line="240" w:lineRule="auto"/>
              <w:ind w:left="0" w:leftChars="0" w:firstLine="0" w:firstLineChars="0"/>
              <w:jc w:val="left"/>
              <w:textAlignment w:val="auto"/>
            </w:pPr>
            <w:r>
              <w:rPr>
                <w:rFonts w:ascii="仿宋" w:hAnsi="仿宋" w:eastAsia="仿宋" w:cs="仿宋"/>
                <w:spacing w:val="-5"/>
                <w:position w:val="6"/>
              </w:rPr>
              <w:t>模块</w:t>
            </w:r>
            <w:r>
              <w:rPr>
                <w:spacing w:val="-5"/>
                <w:position w:val="6"/>
              </w:rPr>
              <w:t>A</w:t>
            </w:r>
            <w:r>
              <w:rPr>
                <w:rFonts w:ascii="仿宋" w:hAnsi="仿宋" w:eastAsia="仿宋" w:cs="仿宋"/>
                <w:spacing w:val="-5"/>
                <w:position w:val="6"/>
              </w:rPr>
              <w:t>、</w:t>
            </w:r>
            <w:r>
              <w:rPr>
                <w:spacing w:val="-5"/>
                <w:position w:val="6"/>
              </w:rPr>
              <w:t>C</w:t>
            </w:r>
            <w:r>
              <w:rPr>
                <w:rFonts w:ascii="仿宋" w:hAnsi="仿宋" w:eastAsia="仿宋" w:cs="仿宋"/>
                <w:spacing w:val="-5"/>
                <w:position w:val="6"/>
              </w:rPr>
              <w:t>≤</w:t>
            </w:r>
            <w:r>
              <w:rPr>
                <w:spacing w:val="-5"/>
                <w:position w:val="6"/>
              </w:rPr>
              <w:t>2.0mm</w:t>
            </w:r>
          </w:p>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Times New Roman" w:cs="Times New Roman"/>
                <w:kern w:val="2"/>
                <w:sz w:val="24"/>
                <w:szCs w:val="24"/>
                <w:lang w:val="en-US" w:eastAsia="zh-CN" w:bidi="ar-SA"/>
              </w:rPr>
            </w:pPr>
            <w:r>
              <w:rPr>
                <w:rFonts w:ascii="仿宋" w:hAnsi="仿宋" w:eastAsia="仿宋" w:cs="仿宋"/>
                <w:spacing w:val="-2"/>
              </w:rPr>
              <w:t>模块</w:t>
            </w:r>
            <w:r>
              <w:rPr>
                <w:spacing w:val="-2"/>
              </w:rPr>
              <w:t>B</w:t>
            </w:r>
            <w:r>
              <w:rPr>
                <w:rFonts w:ascii="仿宋" w:hAnsi="仿宋" w:eastAsia="仿宋" w:cs="仿宋"/>
                <w:spacing w:val="-2"/>
              </w:rPr>
              <w:t>≤</w:t>
            </w:r>
            <w:r>
              <w:rPr>
                <w:spacing w:val="-2"/>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13</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43"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9"/>
                <w:sz w:val="24"/>
                <w:szCs w:val="24"/>
              </w:rPr>
              <w:t>余高</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243"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焊缝接头有无超标余高？</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73" w:line="240" w:lineRule="auto"/>
              <w:ind w:left="0" w:leftChars="0" w:right="132" w:rightChars="0" w:firstLine="0" w:firstLineChars="0"/>
              <w:jc w:val="left"/>
              <w:textAlignment w:val="auto"/>
              <w:rPr>
                <w:rFonts w:hint="eastAsia" w:ascii="Times New Roman" w:hAnsi="Times New Roman" w:eastAsia="Times New Roman" w:cs="Times New Roman"/>
                <w:kern w:val="2"/>
                <w:sz w:val="24"/>
                <w:szCs w:val="24"/>
                <w:lang w:val="en-US" w:eastAsia="zh-CN" w:bidi="ar-SA"/>
              </w:rPr>
            </w:pPr>
            <w:r>
              <w:rPr>
                <w:rFonts w:ascii="仿宋" w:hAnsi="仿宋" w:eastAsia="仿宋" w:cs="仿宋"/>
                <w:spacing w:val="-3"/>
              </w:rPr>
              <w:t>模块</w:t>
            </w:r>
            <w:r>
              <w:rPr>
                <w:spacing w:val="-3"/>
              </w:rPr>
              <w:t>A</w:t>
            </w:r>
            <w:r>
              <w:rPr>
                <w:rFonts w:ascii="仿宋" w:hAnsi="仿宋" w:eastAsia="仿宋" w:cs="仿宋"/>
                <w:spacing w:val="-3"/>
              </w:rPr>
              <w:t>、</w:t>
            </w:r>
            <w:r>
              <w:rPr>
                <w:spacing w:val="-3"/>
              </w:rPr>
              <w:t>C(</w:t>
            </w:r>
            <w:r>
              <w:rPr>
                <w:rFonts w:ascii="仿宋" w:hAnsi="仿宋" w:eastAsia="仿宋" w:cs="仿宋"/>
                <w:spacing w:val="-3"/>
              </w:rPr>
              <w:t>对接焊缝</w:t>
            </w:r>
            <w:r>
              <w:rPr>
                <w:spacing w:val="-3"/>
              </w:rPr>
              <w:t>)</w:t>
            </w:r>
            <w:r>
              <w:rPr>
                <w:rFonts w:ascii="仿宋" w:hAnsi="仿宋" w:eastAsia="仿宋" w:cs="仿宋"/>
                <w:spacing w:val="-3"/>
              </w:rPr>
              <w:t>≤</w:t>
            </w:r>
            <w:r>
              <w:rPr>
                <w:spacing w:val="-3"/>
              </w:rPr>
              <w:t>2.0mm</w:t>
            </w:r>
            <w:r>
              <w:rPr>
                <w:rFonts w:ascii="仿宋" w:hAnsi="仿宋" w:eastAsia="仿宋" w:cs="仿宋"/>
                <w:spacing w:val="-2"/>
              </w:rPr>
              <w:t>模块</w:t>
            </w:r>
            <w:r>
              <w:rPr>
                <w:spacing w:val="-2"/>
              </w:rPr>
              <w:t>B(</w:t>
            </w:r>
            <w:r>
              <w:rPr>
                <w:rFonts w:ascii="仿宋" w:hAnsi="仿宋" w:eastAsia="仿宋" w:cs="仿宋"/>
                <w:spacing w:val="-2"/>
              </w:rPr>
              <w:t>对接焊缝</w:t>
            </w:r>
            <w:r>
              <w:rPr>
                <w:spacing w:val="-2"/>
              </w:rPr>
              <w:t>)</w:t>
            </w:r>
            <w:r>
              <w:rPr>
                <w:rFonts w:ascii="仿宋" w:hAnsi="仿宋" w:eastAsia="仿宋" w:cs="仿宋"/>
                <w:spacing w:val="-2"/>
              </w:rPr>
              <w:t>≤</w:t>
            </w:r>
            <w:r>
              <w:rPr>
                <w:spacing w:val="-2"/>
              </w:rPr>
              <w: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14</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152"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未焊满</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152"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对接焊缝坡口是否焊满？</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before="152"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4"/>
                <w:sz w:val="24"/>
                <w:szCs w:val="24"/>
              </w:rPr>
              <w:t>不允许有未焊满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15</w:t>
            </w:r>
          </w:p>
        </w:tc>
        <w:tc>
          <w:tcPr>
            <w:tcW w:w="1701" w:type="dxa"/>
            <w:vAlign w:val="center"/>
          </w:tcPr>
          <w:p>
            <w:pPr>
              <w:pStyle w:val="82"/>
              <w:keepNext w:val="0"/>
              <w:keepLines w:val="0"/>
              <w:pageBreakBefore w:val="0"/>
              <w:widowControl w:val="0"/>
              <w:kinsoku/>
              <w:wordWrap/>
              <w:overflowPunct/>
              <w:topLinePunct w:val="0"/>
              <w:autoSpaceDE/>
              <w:autoSpaceDN/>
              <w:bidi w:val="0"/>
              <w:adjustRightInd/>
              <w:snapToGrid w:val="0"/>
              <w:spacing w:before="73" w:line="240" w:lineRule="exact"/>
              <w:ind w:left="0" w:lef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3"/>
              </w:rPr>
              <w:t>错边（高/低）</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73"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焊接接头是否有错边？</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73" w:line="240" w:lineRule="auto"/>
              <w:ind w:left="0" w:leftChars="0" w:firstLine="0" w:firstLineChars="0"/>
              <w:jc w:val="left"/>
              <w:textAlignment w:val="auto"/>
              <w:rPr>
                <w:rFonts w:hint="eastAsia" w:ascii="Times New Roman" w:hAnsi="Times New Roman" w:eastAsia="Times New Roman" w:cs="Times New Roman"/>
                <w:kern w:val="2"/>
                <w:sz w:val="24"/>
                <w:szCs w:val="24"/>
                <w:lang w:val="en-US" w:eastAsia="zh-CN" w:bidi="ar-SA"/>
              </w:rPr>
            </w:pPr>
            <w:r>
              <w:rPr>
                <w:rFonts w:ascii="仿宋" w:hAnsi="仿宋" w:eastAsia="仿宋" w:cs="仿宋"/>
                <w:spacing w:val="-6"/>
              </w:rPr>
              <w:t>模块</w:t>
            </w:r>
            <w:r>
              <w:rPr>
                <w:spacing w:val="-6"/>
              </w:rPr>
              <w:t>A</w:t>
            </w:r>
            <w:r>
              <w:rPr>
                <w:rFonts w:ascii="仿宋" w:hAnsi="仿宋" w:eastAsia="仿宋" w:cs="仿宋"/>
                <w:spacing w:val="-6"/>
              </w:rPr>
              <w:t>、</w:t>
            </w:r>
            <w:r>
              <w:rPr>
                <w:spacing w:val="-6"/>
              </w:rPr>
              <w:t>C</w:t>
            </w:r>
            <w:r>
              <w:rPr>
                <w:rFonts w:ascii="仿宋" w:hAnsi="仿宋" w:eastAsia="仿宋" w:cs="仿宋"/>
                <w:spacing w:val="-6"/>
              </w:rPr>
              <w:t>见</w:t>
            </w:r>
            <w:r>
              <w:rPr>
                <w:spacing w:val="-6"/>
              </w:rPr>
              <w:t>IS05817</w:t>
            </w:r>
            <w:r>
              <w:rPr>
                <w:rFonts w:ascii="仿宋" w:hAnsi="仿宋" w:eastAsia="仿宋" w:cs="仿宋"/>
                <w:spacing w:val="-2"/>
              </w:rPr>
              <w:t>模块</w:t>
            </w:r>
            <w:r>
              <w:rPr>
                <w:spacing w:val="-2"/>
              </w:rPr>
              <w:t>B</w:t>
            </w:r>
            <w:r>
              <w:rPr>
                <w:rFonts w:ascii="仿宋" w:hAnsi="仿宋" w:eastAsia="仿宋" w:cs="仿宋"/>
                <w:spacing w:val="-2"/>
              </w:rPr>
              <w:t>≤</w:t>
            </w:r>
            <w:r>
              <w:rPr>
                <w:spacing w:val="-2"/>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16</w:t>
            </w:r>
          </w:p>
        </w:tc>
        <w:tc>
          <w:tcPr>
            <w:tcW w:w="1701" w:type="dxa"/>
            <w:vAlign w:val="center"/>
          </w:tcPr>
          <w:p>
            <w:pPr>
              <w:keepNext w:val="0"/>
              <w:keepLines w:val="0"/>
              <w:pageBreakBefore w:val="0"/>
              <w:widowControl w:val="0"/>
              <w:kinsoku/>
              <w:wordWrap/>
              <w:overflowPunct/>
              <w:topLinePunct w:val="0"/>
              <w:autoSpaceDE/>
              <w:autoSpaceDN/>
              <w:bidi w:val="0"/>
              <w:adjustRightInd/>
              <w:snapToGrid w:val="0"/>
              <w:spacing w:before="238" w:line="240" w:lineRule="exact"/>
              <w:ind w:left="0" w:leftChars="0" w:right="109" w:rightChars="0" w:firstLine="0" w:firstLineChars="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对接焊缝表面</w:t>
            </w:r>
            <w:r>
              <w:rPr>
                <w:rFonts w:hint="eastAsia" w:ascii="楷体" w:hAnsi="楷体" w:eastAsia="楷体" w:cs="楷体"/>
                <w:spacing w:val="-6"/>
                <w:sz w:val="24"/>
                <w:szCs w:val="24"/>
              </w:rPr>
              <w:t>宽窄差</w:t>
            </w:r>
          </w:p>
        </w:tc>
        <w:tc>
          <w:tcPr>
            <w:tcW w:w="2835" w:type="dxa"/>
            <w:vAlign w:val="center"/>
          </w:tcPr>
          <w:p>
            <w:pPr>
              <w:keepNext w:val="0"/>
              <w:keepLines w:val="0"/>
              <w:pageBreakBefore w:val="0"/>
              <w:widowControl w:val="0"/>
              <w:kinsoku/>
              <w:wordWrap/>
              <w:overflowPunct/>
              <w:topLinePunct w:val="0"/>
              <w:autoSpaceDE/>
              <w:autoSpaceDN/>
              <w:bidi w:val="0"/>
              <w:adjustRightInd/>
              <w:snapToGrid w:val="0"/>
              <w:spacing w:before="69" w:line="240" w:lineRule="auto"/>
              <w:ind w:left="0" w:leftChars="0" w:firstLine="0" w:firstLineChars="0"/>
              <w:jc w:val="left"/>
              <w:textAlignment w:val="auto"/>
              <w:rPr>
                <w:rFonts w:hint="eastAsia" w:ascii="仿宋" w:hAnsi="仿宋" w:eastAsia="仿宋" w:cs="仿宋"/>
                <w:kern w:val="2"/>
                <w:sz w:val="24"/>
                <w:szCs w:val="24"/>
                <w:lang w:val="en-US" w:eastAsia="zh-CN" w:bidi="ar-SA"/>
              </w:rPr>
            </w:pPr>
            <w:r>
              <w:rPr>
                <w:rFonts w:ascii="仿宋" w:hAnsi="仿宋" w:eastAsia="仿宋" w:cs="仿宋"/>
                <w:spacing w:val="-2"/>
                <w:sz w:val="24"/>
                <w:szCs w:val="24"/>
              </w:rPr>
              <w:t>焊缝宽度是否均匀规则？</w:t>
            </w:r>
            <w:r>
              <w:rPr>
                <w:rFonts w:ascii="仿宋" w:hAnsi="仿宋" w:eastAsia="仿宋" w:cs="仿宋"/>
                <w:spacing w:val="11"/>
                <w:sz w:val="24"/>
                <w:szCs w:val="24"/>
              </w:rPr>
              <w:t>（测量焊缝最宽与最窄处之</w:t>
            </w:r>
            <w:r>
              <w:rPr>
                <w:rFonts w:ascii="仿宋" w:hAnsi="仿宋" w:eastAsia="仿宋" w:cs="仿宋"/>
                <w:spacing w:val="-10"/>
                <w:sz w:val="24"/>
                <w:szCs w:val="24"/>
              </w:rPr>
              <w:t>差）</w:t>
            </w:r>
          </w:p>
        </w:tc>
        <w:tc>
          <w:tcPr>
            <w:tcW w:w="3402" w:type="dxa"/>
            <w:vAlign w:val="center"/>
          </w:tcPr>
          <w:p>
            <w:pPr>
              <w:pStyle w:val="82"/>
              <w:keepNext w:val="0"/>
              <w:keepLines w:val="0"/>
              <w:pageBreakBefore w:val="0"/>
              <w:widowControl w:val="0"/>
              <w:kinsoku/>
              <w:wordWrap/>
              <w:overflowPunct/>
              <w:topLinePunct w:val="0"/>
              <w:autoSpaceDE/>
              <w:autoSpaceDN/>
              <w:bidi w:val="0"/>
              <w:adjustRightInd/>
              <w:snapToGrid w:val="0"/>
              <w:spacing w:before="78" w:line="240" w:lineRule="auto"/>
              <w:ind w:left="0" w:leftChars="0" w:firstLine="0" w:firstLineChars="0"/>
              <w:jc w:val="left"/>
              <w:textAlignment w:val="auto"/>
              <w:rPr>
                <w:rFonts w:hint="eastAsia" w:ascii="Times New Roman" w:hAnsi="Times New Roman" w:eastAsia="Times New Roman" w:cs="Times New Roman"/>
                <w:kern w:val="2"/>
                <w:sz w:val="24"/>
                <w:szCs w:val="24"/>
                <w:lang w:val="en-US" w:eastAsia="zh-CN" w:bidi="ar-SA"/>
              </w:rPr>
            </w:pPr>
            <w:r>
              <w:rPr>
                <w:rFonts w:ascii="仿宋" w:hAnsi="仿宋" w:eastAsia="仿宋" w:cs="仿宋"/>
                <w:spacing w:val="-7"/>
              </w:rPr>
              <w:t>模块</w:t>
            </w:r>
            <w:r>
              <w:rPr>
                <w:spacing w:val="-7"/>
              </w:rPr>
              <w:t>A</w:t>
            </w:r>
            <w:r>
              <w:rPr>
                <w:rFonts w:ascii="仿宋" w:hAnsi="仿宋" w:eastAsia="仿宋" w:cs="仿宋"/>
                <w:spacing w:val="-7"/>
              </w:rPr>
              <w:t>、</w:t>
            </w:r>
            <w:r>
              <w:rPr>
                <w:spacing w:val="-7"/>
              </w:rPr>
              <w:t>B</w:t>
            </w:r>
            <w:r>
              <w:rPr>
                <w:rFonts w:ascii="仿宋" w:hAnsi="仿宋" w:eastAsia="仿宋" w:cs="仿宋"/>
                <w:spacing w:val="-7"/>
              </w:rPr>
              <w:t>、</w:t>
            </w:r>
            <w:r>
              <w:rPr>
                <w:spacing w:val="-7"/>
              </w:rPr>
              <w:t>C</w:t>
            </w:r>
            <w:r>
              <w:rPr>
                <w:rFonts w:ascii="仿宋" w:hAnsi="仿宋" w:eastAsia="仿宋" w:cs="仿宋"/>
                <w:spacing w:val="-7"/>
              </w:rPr>
              <w:t>≤</w:t>
            </w:r>
            <w:r>
              <w:rPr>
                <w:spacing w:val="-7"/>
              </w:rPr>
              <w:t>2.0mm</w:t>
            </w:r>
          </w:p>
        </w:tc>
      </w:tr>
    </w:tbl>
    <w:p>
      <w:pPr>
        <w:bidi w:val="0"/>
        <w:ind w:left="0" w:leftChars="0" w:firstLine="0" w:firstLineChars="0"/>
        <w:rPr>
          <w:rFonts w:hint="default"/>
          <w:lang w:val="en-US" w:eastAsia="zh-CN"/>
        </w:rPr>
      </w:pPr>
      <w:r>
        <w:rPr>
          <w:rFonts w:hint="default"/>
          <w:lang w:val="en-US" w:eastAsia="zh-CN"/>
        </w:rPr>
        <w:tab/>
      </w:r>
      <w:r>
        <w:rPr>
          <w:rFonts w:hint="default"/>
          <w:lang w:val="en-US" w:eastAsia="zh-CN"/>
        </w:rPr>
        <w:tab/>
      </w:r>
      <w:bookmarkStart w:id="10" w:name="_Toc20599"/>
      <w:r>
        <w:rPr>
          <w:rStyle w:val="34"/>
          <w:rFonts w:hint="default"/>
          <w:lang w:val="en-US" w:eastAsia="zh-CN"/>
        </w:rPr>
        <w:t>三、竞赛细则</w:t>
      </w:r>
      <w:bookmarkEnd w:id="10"/>
    </w:p>
    <w:p>
      <w:pPr>
        <w:pStyle w:val="5"/>
        <w:bidi w:val="0"/>
        <w:outlineLvl w:val="1"/>
        <w:rPr>
          <w:rFonts w:hint="default"/>
          <w:lang w:val="en-US" w:eastAsia="zh-CN"/>
        </w:rPr>
      </w:pPr>
      <w:bookmarkStart w:id="11" w:name="_Toc10428"/>
      <w:r>
        <w:rPr>
          <w:rFonts w:hint="default"/>
          <w:lang w:val="en-US" w:eastAsia="zh-CN"/>
        </w:rPr>
        <w:t>（一）裁判员分组及职责</w:t>
      </w:r>
      <w:bookmarkEnd w:id="11"/>
    </w:p>
    <w:p>
      <w:pPr>
        <w:bidi w:val="0"/>
        <w:rPr>
          <w:rFonts w:hint="default"/>
          <w:lang w:val="en-US" w:eastAsia="zh-CN"/>
        </w:rPr>
      </w:pPr>
      <w:r>
        <w:rPr>
          <w:rFonts w:hint="default"/>
          <w:lang w:val="en-US" w:eastAsia="zh-CN"/>
        </w:rPr>
        <w:t>裁判组下设4个工作组，各组职责如下：</w:t>
      </w:r>
    </w:p>
    <w:p>
      <w:pPr>
        <w:bidi w:val="0"/>
        <w:rPr>
          <w:rFonts w:hint="default"/>
          <w:lang w:val="en-US" w:eastAsia="zh-CN"/>
        </w:rPr>
      </w:pPr>
      <w:r>
        <w:rPr>
          <w:rFonts w:hint="default"/>
          <w:lang w:val="en-US" w:eastAsia="zh-CN"/>
        </w:rPr>
        <w:t>1.监考组</w:t>
      </w:r>
    </w:p>
    <w:p>
      <w:pPr>
        <w:bidi w:val="0"/>
        <w:rPr>
          <w:rFonts w:hint="default"/>
          <w:lang w:val="en-US" w:eastAsia="zh-CN"/>
        </w:rPr>
      </w:pPr>
      <w:r>
        <w:rPr>
          <w:rFonts w:hint="default"/>
          <w:lang w:val="en-US" w:eastAsia="zh-CN"/>
        </w:rPr>
        <w:t>按照本技术文件要求负责竞赛现场的检录、监考工作，主要包括：核对选手证件；维护赛场纪律；控制竞赛时间；记录赛场情况，做好监考记录，对未经定位焊确认擅自焊接、未按规定进行停弧再起弧确认等违规操作行为报监考组长和选手签字确认；纠正选手违规行为，并对情节严重者及时向裁判长报告；按程序封闭实际操作试件密码号并向保密组移交；核查实际操作竞赛使用材料、设备；监督焊材烘干、装筒、发放；参与竞赛的抽签工作。</w:t>
      </w:r>
    </w:p>
    <w:p>
      <w:pPr>
        <w:bidi w:val="0"/>
        <w:rPr>
          <w:rFonts w:hint="default"/>
          <w:lang w:val="en-US" w:eastAsia="zh-CN"/>
        </w:rPr>
      </w:pPr>
      <w:r>
        <w:rPr>
          <w:rFonts w:hint="default"/>
          <w:lang w:val="en-US" w:eastAsia="zh-CN"/>
        </w:rPr>
        <w:t>2.保密组</w:t>
      </w:r>
    </w:p>
    <w:p>
      <w:pPr>
        <w:bidi w:val="0"/>
        <w:rPr>
          <w:rFonts w:hint="default"/>
          <w:lang w:val="en-US" w:eastAsia="zh-CN"/>
        </w:rPr>
      </w:pPr>
      <w:r>
        <w:rPr>
          <w:rFonts w:hint="default"/>
          <w:lang w:val="en-US" w:eastAsia="zh-CN"/>
        </w:rPr>
        <w:t>按照竞赛规则负责竞赛有关程序的保密工作。主要包括：试件明码的编码、保管、移交并参与试件解密工作。</w:t>
      </w:r>
    </w:p>
    <w:p>
      <w:pPr>
        <w:bidi w:val="0"/>
        <w:rPr>
          <w:rFonts w:hint="default"/>
          <w:lang w:val="en-US" w:eastAsia="zh-CN"/>
        </w:rPr>
      </w:pPr>
      <w:r>
        <w:rPr>
          <w:rFonts w:hint="default"/>
          <w:lang w:val="en-US" w:eastAsia="zh-CN"/>
        </w:rPr>
        <w:t>3.外观评定组</w:t>
      </w:r>
    </w:p>
    <w:p>
      <w:pPr>
        <w:bidi w:val="0"/>
        <w:rPr>
          <w:rFonts w:hint="default"/>
          <w:lang w:val="en-US" w:eastAsia="zh-CN"/>
        </w:rPr>
      </w:pPr>
      <w:r>
        <w:rPr>
          <w:rFonts w:hint="default"/>
          <w:lang w:val="en-US" w:eastAsia="zh-CN"/>
        </w:rPr>
        <w:t>负责竞赛试件的外观质量的评判、成绩复核和汇总工作；试件解密后，在裁判长的组织下，根据本文件相关条款对违规选手的外观检测成绩进行扣分处理；与射线探伤组共同解决试件中外观检查或射线探伤中的疑难问题。</w:t>
      </w:r>
    </w:p>
    <w:p>
      <w:pPr>
        <w:bidi w:val="0"/>
        <w:rPr>
          <w:rFonts w:hint="default"/>
          <w:lang w:val="en-US" w:eastAsia="zh-CN"/>
        </w:rPr>
      </w:pPr>
      <w:r>
        <w:rPr>
          <w:rFonts w:hint="default"/>
          <w:lang w:val="en-US" w:eastAsia="zh-CN"/>
        </w:rPr>
        <w:t>4.射线探伤组</w:t>
      </w:r>
    </w:p>
    <w:p>
      <w:pPr>
        <w:bidi w:val="0"/>
        <w:rPr>
          <w:rFonts w:hint="default"/>
          <w:lang w:val="en-US" w:eastAsia="zh-CN"/>
        </w:rPr>
      </w:pPr>
      <w:r>
        <w:rPr>
          <w:rFonts w:hint="default"/>
          <w:lang w:val="en-US" w:eastAsia="zh-CN"/>
        </w:rPr>
        <w:t>射线探伤组裁判应持有射线探伤人员Ⅱ级及以上资格证书。负责竞赛试件第三方检测机构射线探伤检测的监督和成绩的审核汇总工作；试件解密后，在裁判长的组织下，根据本文件相关条款对违规选手的射线探伤成绩进行扣分处理；与外观评定组共同解决试件中外观检查或射线探伤中的疑难问题。</w:t>
      </w:r>
    </w:p>
    <w:p>
      <w:pPr>
        <w:pStyle w:val="5"/>
        <w:bidi w:val="0"/>
        <w:outlineLvl w:val="1"/>
        <w:rPr>
          <w:rFonts w:hint="default"/>
          <w:lang w:val="en-US" w:eastAsia="zh-CN"/>
        </w:rPr>
      </w:pPr>
      <w:bookmarkStart w:id="12" w:name="_Toc1972"/>
      <w:r>
        <w:rPr>
          <w:rFonts w:hint="default"/>
          <w:lang w:val="en-US" w:eastAsia="zh-CN"/>
        </w:rPr>
        <w:t>（二）赛场规则</w:t>
      </w:r>
      <w:bookmarkEnd w:id="12"/>
    </w:p>
    <w:p>
      <w:pPr>
        <w:bidi w:val="0"/>
        <w:rPr>
          <w:rFonts w:hint="default"/>
          <w:lang w:val="en-US" w:eastAsia="zh-CN"/>
        </w:rPr>
      </w:pPr>
      <w:r>
        <w:rPr>
          <w:rFonts w:hint="default"/>
          <w:lang w:val="en-US" w:eastAsia="zh-CN"/>
        </w:rPr>
        <w:t>1.参赛选手应在竞赛前30分钟，凭竞赛抽签单和身份证进入赛场。</w:t>
      </w:r>
    </w:p>
    <w:p>
      <w:pPr>
        <w:bidi w:val="0"/>
        <w:rPr>
          <w:rFonts w:hint="default"/>
          <w:lang w:val="en-US" w:eastAsia="zh-CN"/>
        </w:rPr>
      </w:pPr>
      <w:r>
        <w:rPr>
          <w:rFonts w:hint="default"/>
          <w:lang w:val="en-US" w:eastAsia="zh-CN"/>
        </w:rPr>
        <w:t>2.参赛选手不得携带除竞赛抽签单、身份证及规定的必备物品以外的任何物品进入赛场。</w:t>
      </w:r>
    </w:p>
    <w:p>
      <w:pPr>
        <w:bidi w:val="0"/>
        <w:rPr>
          <w:rFonts w:hint="default"/>
          <w:lang w:val="en-US" w:eastAsia="zh-CN"/>
        </w:rPr>
      </w:pPr>
      <w:r>
        <w:rPr>
          <w:rFonts w:hint="default"/>
          <w:lang w:val="en-US" w:eastAsia="zh-CN"/>
        </w:rPr>
        <w:t>3.进入赛场后，参赛选手应按照抽签单进入指定工位，并检查下列事项：</w:t>
      </w:r>
    </w:p>
    <w:p>
      <w:pPr>
        <w:bidi w:val="0"/>
        <w:rPr>
          <w:rFonts w:hint="default"/>
          <w:lang w:val="en-US" w:eastAsia="zh-CN"/>
        </w:rPr>
      </w:pPr>
      <w:r>
        <w:rPr>
          <w:rFonts w:hint="default"/>
          <w:lang w:val="en-US" w:eastAsia="zh-CN"/>
        </w:rPr>
        <w:t>①赛场电气设备等基础设施是否齐全完好；</w:t>
      </w:r>
    </w:p>
    <w:p>
      <w:pPr>
        <w:bidi w:val="0"/>
        <w:rPr>
          <w:rFonts w:hint="default"/>
          <w:lang w:val="en-US" w:eastAsia="zh-CN"/>
        </w:rPr>
      </w:pPr>
      <w:r>
        <w:rPr>
          <w:rFonts w:hint="default"/>
          <w:lang w:val="en-US" w:eastAsia="zh-CN"/>
        </w:rPr>
        <w:t>②焊材、气体是否齐全、完好；</w:t>
      </w:r>
    </w:p>
    <w:p>
      <w:pPr>
        <w:bidi w:val="0"/>
        <w:rPr>
          <w:rFonts w:hint="default"/>
          <w:lang w:val="en-US" w:eastAsia="zh-CN"/>
        </w:rPr>
      </w:pPr>
      <w:r>
        <w:rPr>
          <w:rFonts w:hint="default"/>
          <w:lang w:val="en-US" w:eastAsia="zh-CN"/>
        </w:rPr>
        <w:t>③试件是否齐全，尺寸是否符合图纸要求。</w:t>
      </w:r>
    </w:p>
    <w:p>
      <w:pPr>
        <w:bidi w:val="0"/>
        <w:rPr>
          <w:rFonts w:hint="default"/>
          <w:lang w:val="en-US" w:eastAsia="zh-CN"/>
        </w:rPr>
      </w:pPr>
      <w:r>
        <w:rPr>
          <w:rFonts w:hint="default"/>
          <w:lang w:val="en-US" w:eastAsia="zh-CN"/>
        </w:rPr>
        <w:t>检查无误后，与监考裁判员共同签字确认。</w:t>
      </w:r>
    </w:p>
    <w:p>
      <w:pPr>
        <w:bidi w:val="0"/>
        <w:rPr>
          <w:rFonts w:hint="default"/>
          <w:lang w:val="en-US" w:eastAsia="zh-CN"/>
        </w:rPr>
      </w:pPr>
      <w:r>
        <w:rPr>
          <w:rFonts w:hint="default"/>
          <w:lang w:val="en-US" w:eastAsia="zh-CN"/>
        </w:rPr>
        <w:t>4.参赛选手应准时参赛，迟到30分钟以上不得入场进行比赛，按自动弃权处理。</w:t>
      </w:r>
    </w:p>
    <w:p>
      <w:pPr>
        <w:bidi w:val="0"/>
        <w:rPr>
          <w:rFonts w:hint="default"/>
          <w:lang w:val="en-US" w:eastAsia="zh-CN"/>
        </w:rPr>
      </w:pPr>
      <w:r>
        <w:rPr>
          <w:rFonts w:hint="default"/>
          <w:lang w:val="en-US" w:eastAsia="zh-CN"/>
        </w:rPr>
        <w:t>5.参赛选手比赛期间可吃饭、休息、饮水、上洗手间，但其耗时一律计入竞赛时间。</w:t>
      </w:r>
    </w:p>
    <w:p>
      <w:pPr>
        <w:bidi w:val="0"/>
        <w:rPr>
          <w:rFonts w:hint="default"/>
          <w:lang w:val="en-US" w:eastAsia="zh-CN"/>
        </w:rPr>
      </w:pPr>
      <w:r>
        <w:rPr>
          <w:rFonts w:hint="default"/>
          <w:lang w:val="en-US" w:eastAsia="zh-CN"/>
        </w:rPr>
        <w:t>6.监考裁判员发出开始竞赛的信号后，参赛选手方可进行操作。</w:t>
      </w:r>
    </w:p>
    <w:p>
      <w:pPr>
        <w:bidi w:val="0"/>
        <w:rPr>
          <w:rFonts w:hint="default"/>
          <w:lang w:val="en-US" w:eastAsia="zh-CN"/>
        </w:rPr>
      </w:pPr>
      <w:r>
        <w:rPr>
          <w:rFonts w:hint="default"/>
          <w:lang w:val="en-US" w:eastAsia="zh-CN"/>
        </w:rPr>
        <w:t>7.竞赛期间，参赛选手应严格按照劳动保护规定穿戴工作服、手套、工作鞋、护目镜等劳保防护用品，并严格遵守安全操作规程，接受裁判员、现场技术服务人员的监督和警示，确保设备及人身安全。</w:t>
      </w:r>
    </w:p>
    <w:p>
      <w:pPr>
        <w:bidi w:val="0"/>
        <w:rPr>
          <w:rFonts w:hint="default"/>
          <w:lang w:val="en-US" w:eastAsia="zh-CN"/>
        </w:rPr>
      </w:pPr>
      <w:r>
        <w:rPr>
          <w:rFonts w:hint="default"/>
          <w:lang w:val="en-US" w:eastAsia="zh-CN"/>
        </w:rPr>
        <w:t>8.参赛选手必须独立完成所有项目，除征得裁判长许可，否则严禁与其他选手、与会人员和本单位裁判员交流接触。</w:t>
      </w:r>
    </w:p>
    <w:p>
      <w:pPr>
        <w:bidi w:val="0"/>
        <w:ind w:left="0" w:leftChars="0" w:firstLine="640" w:firstLineChars="200"/>
        <w:rPr>
          <w:rFonts w:hint="default"/>
          <w:lang w:val="en-US" w:eastAsia="zh-CN"/>
        </w:rPr>
      </w:pPr>
      <w:r>
        <w:rPr>
          <w:rFonts w:hint="default"/>
          <w:lang w:val="en-US" w:eastAsia="zh-CN"/>
        </w:rPr>
        <w:t>9.参赛选手不得在试件上作任何标记。</w:t>
      </w:r>
    </w:p>
    <w:p>
      <w:pPr>
        <w:bidi w:val="0"/>
        <w:rPr>
          <w:rFonts w:hint="default"/>
          <w:lang w:val="en-US" w:eastAsia="zh-CN"/>
        </w:rPr>
      </w:pPr>
      <w:r>
        <w:rPr>
          <w:rFonts w:hint="default"/>
          <w:lang w:val="en-US" w:eastAsia="zh-CN"/>
        </w:rPr>
        <w:t>10.试焊使用的试板及试管由监考裁判员统一发放，参赛选手只可在竞赛配发的专用试板或试管上进行试焊。</w:t>
      </w:r>
    </w:p>
    <w:p>
      <w:pPr>
        <w:bidi w:val="0"/>
        <w:rPr>
          <w:rFonts w:hint="default"/>
          <w:lang w:val="en-US" w:eastAsia="zh-CN"/>
        </w:rPr>
      </w:pPr>
      <w:r>
        <w:rPr>
          <w:rFonts w:hint="default"/>
          <w:lang w:val="en-US" w:eastAsia="zh-CN"/>
        </w:rPr>
        <w:t>11.竞赛期间，参赛选手应爱护赛场设备，不得人为损坏设备。停止操作时，应关闭设备电源开关和气瓶阀门。</w:t>
      </w:r>
    </w:p>
    <w:p>
      <w:pPr>
        <w:bidi w:val="0"/>
        <w:rPr>
          <w:rFonts w:hint="default"/>
          <w:lang w:val="en-US" w:eastAsia="zh-CN"/>
        </w:rPr>
      </w:pPr>
      <w:r>
        <w:rPr>
          <w:rFonts w:hint="default"/>
          <w:lang w:val="en-US" w:eastAsia="zh-CN"/>
        </w:rPr>
        <w:t>12.竞赛期间，参赛选手遇有问题应向监考裁判员举手示意，由监考裁判员负责处理。</w:t>
      </w:r>
    </w:p>
    <w:p>
      <w:pPr>
        <w:bidi w:val="0"/>
        <w:rPr>
          <w:rFonts w:hint="default"/>
          <w:lang w:val="en-US" w:eastAsia="zh-CN"/>
        </w:rPr>
      </w:pPr>
      <w:r>
        <w:rPr>
          <w:rFonts w:hint="default"/>
          <w:lang w:val="en-US" w:eastAsia="zh-CN"/>
        </w:rPr>
        <w:t>13.操作完毕，参赛选手应将试件交监考裁判员进行封号，并在竞赛监考记录表上签字确认。</w:t>
      </w:r>
    </w:p>
    <w:p>
      <w:pPr>
        <w:bidi w:val="0"/>
        <w:rPr>
          <w:rFonts w:hint="default"/>
          <w:lang w:val="en-US" w:eastAsia="zh-CN"/>
        </w:rPr>
      </w:pPr>
      <w:r>
        <w:rPr>
          <w:rFonts w:hint="default"/>
          <w:lang w:val="en-US" w:eastAsia="zh-CN"/>
        </w:rPr>
        <w:t>14.监考裁判员发出结束竞赛的信号后，参赛选手应立即停止操作，依次有序地离开赛场。</w:t>
      </w:r>
    </w:p>
    <w:p>
      <w:pPr>
        <w:pStyle w:val="5"/>
        <w:bidi w:val="0"/>
        <w:outlineLvl w:val="1"/>
        <w:rPr>
          <w:rFonts w:hint="default"/>
          <w:lang w:val="en-US" w:eastAsia="zh-CN"/>
        </w:rPr>
      </w:pPr>
      <w:bookmarkStart w:id="13" w:name="_Toc22694"/>
      <w:r>
        <w:rPr>
          <w:rFonts w:hint="default"/>
          <w:lang w:val="en-US" w:eastAsia="zh-CN"/>
        </w:rPr>
        <w:t>（三）技术违规处罚</w:t>
      </w:r>
      <w:bookmarkEnd w:id="13"/>
    </w:p>
    <w:p>
      <w:pPr>
        <w:bidi w:val="0"/>
        <w:rPr>
          <w:rFonts w:hint="default"/>
          <w:lang w:val="en-US" w:eastAsia="zh-CN"/>
        </w:rPr>
      </w:pPr>
      <w:r>
        <w:rPr>
          <w:rFonts w:hint="default"/>
          <w:lang w:val="en-US" w:eastAsia="zh-CN"/>
        </w:rPr>
        <w:t>1.对于模块A试件</w:t>
      </w:r>
    </w:p>
    <w:p>
      <w:pPr>
        <w:bidi w:val="0"/>
        <w:rPr>
          <w:rFonts w:hint="default"/>
          <w:lang w:val="en-US" w:eastAsia="zh-CN"/>
        </w:rPr>
      </w:pPr>
      <w:r>
        <w:rPr>
          <w:rFonts w:hint="default"/>
          <w:lang w:val="en-US" w:eastAsia="zh-CN"/>
        </w:rPr>
        <w:t>（1）如果参赛选手使用不正确的焊接方法或在不正确的焊接位置进行焊接，该组件将被判为0分。“使用不正确的焊接方法”包括根部焊接方法施焊道数超过1道。</w:t>
      </w:r>
    </w:p>
    <w:p>
      <w:pPr>
        <w:bidi w:val="0"/>
        <w:rPr>
          <w:rFonts w:hint="default"/>
          <w:lang w:val="en-US" w:eastAsia="zh-CN"/>
        </w:rPr>
      </w:pPr>
      <w:r>
        <w:rPr>
          <w:rFonts w:hint="default"/>
          <w:lang w:val="en-US" w:eastAsia="zh-CN"/>
        </w:rPr>
        <w:t>（2）如果没有按规定在障碍板根部焊道停弧并再起弧，则该试件背面焊缝外观评分项目为0分，射线探伤为D级；如果没有按规定在盖面焊道停弧并再起弧，该试件正面焊缝外观评分项目为0分，射线探伤为D级。</w:t>
      </w:r>
    </w:p>
    <w:p>
      <w:pPr>
        <w:bidi w:val="0"/>
        <w:rPr>
          <w:rFonts w:hint="default"/>
          <w:lang w:val="en-US" w:eastAsia="zh-CN"/>
        </w:rPr>
      </w:pPr>
      <w:r>
        <w:rPr>
          <w:rFonts w:hint="default"/>
          <w:lang w:val="en-US" w:eastAsia="zh-CN"/>
        </w:rPr>
        <w:t>（3）受焊缝表面机械损伤影响的评分项判为0分，有明显打磨处理的试件整体判为0分。</w:t>
      </w:r>
    </w:p>
    <w:p>
      <w:pPr>
        <w:bidi w:val="0"/>
        <w:rPr>
          <w:rFonts w:hint="default"/>
          <w:lang w:val="en-US" w:eastAsia="zh-CN"/>
        </w:rPr>
      </w:pPr>
      <w:r>
        <w:rPr>
          <w:rFonts w:hint="default"/>
          <w:lang w:val="en-US" w:eastAsia="zh-CN"/>
        </w:rPr>
        <w:t>2.除已有明确扣分要求的操作规定条款外，违反本文件相关规则和竞赛图纸中技术要求的试件，将判为0分。</w:t>
      </w:r>
    </w:p>
    <w:p>
      <w:pPr>
        <w:bidi w:val="0"/>
        <w:outlineLvl w:val="1"/>
        <w:rPr>
          <w:rFonts w:hint="default"/>
          <w:lang w:val="en-US" w:eastAsia="zh-CN"/>
        </w:rPr>
      </w:pPr>
      <w:bookmarkStart w:id="14" w:name="_Toc27826"/>
      <w:r>
        <w:rPr>
          <w:rFonts w:hint="default"/>
          <w:lang w:val="en-US" w:eastAsia="zh-CN"/>
        </w:rPr>
        <w:t>（四）纪律要求</w:t>
      </w:r>
      <w:bookmarkEnd w:id="14"/>
    </w:p>
    <w:p>
      <w:pPr>
        <w:bidi w:val="0"/>
        <w:rPr>
          <w:rFonts w:hint="default"/>
          <w:lang w:val="en-US" w:eastAsia="zh-CN"/>
        </w:rPr>
      </w:pPr>
      <w:r>
        <w:rPr>
          <w:rFonts w:hint="default"/>
          <w:lang w:val="en-US" w:eastAsia="zh-CN"/>
        </w:rPr>
        <w:t>1.赛场内除指定的监考裁判员、工作人员外，其他与会人员须经组委会同意或在组委会负责人陪同下，佩带相应的标志方可进入赛场。</w:t>
      </w:r>
    </w:p>
    <w:p>
      <w:pPr>
        <w:bidi w:val="0"/>
        <w:rPr>
          <w:rFonts w:hint="default"/>
          <w:lang w:val="en-US" w:eastAsia="zh-CN"/>
        </w:rPr>
      </w:pPr>
      <w:r>
        <w:rPr>
          <w:rFonts w:hint="default"/>
          <w:lang w:val="en-US" w:eastAsia="zh-CN"/>
        </w:rPr>
        <w:t>2.所有赛场内的人员不得对未密封的试件进行拍照。</w:t>
      </w:r>
    </w:p>
    <w:p>
      <w:pPr>
        <w:bidi w:val="0"/>
        <w:rPr>
          <w:rFonts w:hint="default"/>
          <w:lang w:val="en-US" w:eastAsia="zh-CN"/>
        </w:rPr>
      </w:pPr>
      <w:r>
        <w:rPr>
          <w:rFonts w:hint="default"/>
          <w:lang w:val="en-US" w:eastAsia="zh-CN"/>
        </w:rPr>
        <w:t>3.允许进入赛场的人员，应遵守赛场规则，不得与选手交谈，不得妨碍、干扰选手竞赛。</w:t>
      </w:r>
    </w:p>
    <w:p>
      <w:pPr>
        <w:bidi w:val="0"/>
        <w:rPr>
          <w:rFonts w:hint="default"/>
          <w:lang w:val="en-US" w:eastAsia="zh-CN"/>
        </w:rPr>
      </w:pPr>
      <w:r>
        <w:rPr>
          <w:rFonts w:hint="default"/>
          <w:lang w:val="en-US" w:eastAsia="zh-CN"/>
        </w:rPr>
        <w:t>4.允许进入赛场的人员，不得在场内吸烟。</w:t>
      </w:r>
    </w:p>
    <w:p>
      <w:pPr>
        <w:pStyle w:val="3"/>
        <w:bidi w:val="0"/>
        <w:outlineLvl w:val="0"/>
        <w:rPr>
          <w:rFonts w:hint="default"/>
          <w:lang w:val="en-US" w:eastAsia="zh-CN"/>
        </w:rPr>
      </w:pPr>
      <w:bookmarkStart w:id="15" w:name="_Toc27283"/>
      <w:r>
        <w:rPr>
          <w:rFonts w:hint="default"/>
          <w:lang w:val="en-US" w:eastAsia="zh-CN"/>
        </w:rPr>
        <w:t>四、竞赛相关设施设备</w:t>
      </w:r>
      <w:bookmarkEnd w:id="15"/>
    </w:p>
    <w:p>
      <w:pPr>
        <w:pStyle w:val="5"/>
        <w:bidi w:val="0"/>
        <w:outlineLvl w:val="1"/>
        <w:rPr>
          <w:rFonts w:hint="default"/>
          <w:lang w:val="en-US" w:eastAsia="zh-CN"/>
        </w:rPr>
      </w:pPr>
      <w:bookmarkStart w:id="16" w:name="_Toc5844"/>
      <w:r>
        <w:rPr>
          <w:rFonts w:hint="default"/>
          <w:lang w:val="en-US" w:eastAsia="zh-CN"/>
        </w:rPr>
        <w:t>（一）赛场规格要求</w:t>
      </w:r>
      <w:bookmarkEnd w:id="16"/>
    </w:p>
    <w:p>
      <w:pPr>
        <w:bidi w:val="0"/>
        <w:rPr>
          <w:rFonts w:hint="default"/>
          <w:lang w:val="en-US" w:eastAsia="zh-CN"/>
        </w:rPr>
      </w:pPr>
      <w:r>
        <w:rPr>
          <w:rFonts w:hint="default"/>
          <w:lang w:val="en-US" w:eastAsia="zh-CN"/>
        </w:rPr>
        <w:t>焊接项目预计设立5个工位，其中每个工位应不小于3.0m（长）×2.0m（宽）×2m（高），场地总面积为100平方米。</w:t>
      </w:r>
    </w:p>
    <w:p>
      <w:pPr>
        <w:bidi w:val="0"/>
        <w:rPr>
          <w:rFonts w:hint="default"/>
          <w:lang w:val="en-US" w:eastAsia="zh-CN"/>
        </w:rPr>
      </w:pPr>
      <w:r>
        <w:rPr>
          <w:rFonts w:hint="default"/>
          <w:lang w:val="en-US" w:eastAsia="zh-CN"/>
        </w:rPr>
        <w:t>竞赛场地环境温度不高于30℃,焊接工位操作区风速应不大于2m/s。</w:t>
      </w:r>
    </w:p>
    <w:p>
      <w:pPr>
        <w:bidi w:val="0"/>
        <w:rPr>
          <w:rFonts w:hint="default"/>
          <w:lang w:val="en-US" w:eastAsia="zh-CN"/>
        </w:rPr>
      </w:pPr>
      <w:r>
        <w:rPr>
          <w:rFonts w:hint="default"/>
          <w:lang w:val="en-US" w:eastAsia="zh-CN"/>
        </w:rPr>
        <w:t>赛场合理设置摄像设备，保证竞赛工位及工作区域全覆盖。</w:t>
      </w:r>
    </w:p>
    <w:p>
      <w:pPr>
        <w:bidi w:val="0"/>
        <w:rPr>
          <w:rFonts w:hint="default"/>
          <w:lang w:val="en-US" w:eastAsia="zh-CN"/>
        </w:rPr>
      </w:pPr>
      <w:r>
        <w:rPr>
          <w:rFonts w:hint="default"/>
          <w:lang w:val="en-US" w:eastAsia="zh-CN"/>
        </w:rPr>
        <w:t>根据赛场具体情况在地面贴警戒隔离线，周围设置警戒线。</w:t>
      </w:r>
    </w:p>
    <w:p>
      <w:pPr>
        <w:pStyle w:val="5"/>
        <w:bidi w:val="0"/>
        <w:outlineLvl w:val="1"/>
        <w:rPr>
          <w:rFonts w:hint="default"/>
          <w:lang w:val="en-US" w:eastAsia="zh-CN"/>
        </w:rPr>
      </w:pPr>
      <w:bookmarkStart w:id="17" w:name="_Toc25750"/>
      <w:r>
        <w:rPr>
          <w:rFonts w:hint="default"/>
          <w:lang w:val="en-US" w:eastAsia="zh-CN"/>
        </w:rPr>
        <w:t>（二）赛场及工位布局图</w:t>
      </w:r>
      <w:bookmarkEnd w:id="17"/>
    </w:p>
    <w:p>
      <w:pPr>
        <w:bidi w:val="0"/>
        <w:rPr>
          <w:rFonts w:hint="default"/>
          <w:lang w:val="en-US" w:eastAsia="zh-CN"/>
        </w:rPr>
      </w:pPr>
      <w:r>
        <w:rPr>
          <w:rFonts w:hint="default"/>
          <w:lang w:val="en-US" w:eastAsia="zh-CN"/>
        </w:rPr>
        <w:t>1.工位布局图</w:t>
      </w:r>
    </w:p>
    <w:p>
      <w:pPr>
        <w:bidi w:val="0"/>
        <w:rPr>
          <w:rFonts w:hint="default"/>
          <w:lang w:val="en-US" w:eastAsia="zh-CN"/>
        </w:rPr>
      </w:pPr>
      <w:r>
        <w:drawing>
          <wp:anchor distT="0" distB="0" distL="114300" distR="114300" simplePos="0" relativeHeight="251659264" behindDoc="0" locked="0" layoutInCell="1" allowOverlap="1">
            <wp:simplePos x="0" y="0"/>
            <wp:positionH relativeFrom="column">
              <wp:posOffset>587375</wp:posOffset>
            </wp:positionH>
            <wp:positionV relativeFrom="paragraph">
              <wp:posOffset>84455</wp:posOffset>
            </wp:positionV>
            <wp:extent cx="2873375" cy="1941195"/>
            <wp:effectExtent l="0" t="0" r="3175" b="1905"/>
            <wp:wrapSquare wrapText="bothSides"/>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8"/>
                    <a:stretch>
                      <a:fillRect/>
                    </a:stretch>
                  </pic:blipFill>
                  <pic:spPr>
                    <a:xfrm>
                      <a:off x="0" y="0"/>
                      <a:ext cx="2873375" cy="1941195"/>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1600" w:firstLineChars="500"/>
        <w:rPr>
          <w:rFonts w:hint="default"/>
          <w:lang w:val="en-US" w:eastAsia="zh-CN"/>
        </w:rPr>
      </w:pPr>
      <w:r>
        <w:rPr>
          <w:rFonts w:hint="default"/>
          <w:lang w:val="en-US" w:eastAsia="zh-CN"/>
        </w:rPr>
        <w:t>焊接工位布置图</w:t>
      </w:r>
    </w:p>
    <w:p>
      <w:pPr>
        <w:pStyle w:val="5"/>
        <w:bidi w:val="0"/>
        <w:outlineLvl w:val="1"/>
        <w:rPr>
          <w:rFonts w:hint="default"/>
          <w:lang w:val="en-US" w:eastAsia="zh-CN"/>
        </w:rPr>
      </w:pPr>
      <w:bookmarkStart w:id="18" w:name="_Toc30509"/>
      <w:r>
        <w:rPr>
          <w:rFonts w:hint="default"/>
          <w:lang w:val="en-US" w:eastAsia="zh-CN"/>
        </w:rPr>
        <w:t>（三）基础设施清单</w:t>
      </w:r>
      <w:bookmarkEnd w:id="18"/>
    </w:p>
    <w:p>
      <w:pPr>
        <w:bidi w:val="0"/>
        <w:rPr>
          <w:rFonts w:hint="default"/>
          <w:lang w:val="en-US" w:eastAsia="zh-CN"/>
        </w:rPr>
      </w:pPr>
      <w:r>
        <w:rPr>
          <w:rFonts w:hint="default"/>
          <w:lang w:val="en-US" w:eastAsia="zh-CN"/>
        </w:rPr>
        <w:t>1.赛场提供设备清单</w:t>
      </w:r>
    </w:p>
    <w:tbl>
      <w:tblPr>
        <w:tblStyle w:val="78"/>
        <w:tblW w:w="90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1865"/>
        <w:gridCol w:w="4531"/>
        <w:gridCol w:w="708"/>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63" w:type="dxa"/>
            <w:vAlign w:val="top"/>
          </w:tcPr>
          <w:p>
            <w:pPr>
              <w:spacing w:before="100" w:line="223" w:lineRule="auto"/>
              <w:ind w:left="0" w:leftChars="0" w:firstLine="0" w:firstLineChars="0"/>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序号</w:t>
            </w:r>
          </w:p>
        </w:tc>
        <w:tc>
          <w:tcPr>
            <w:tcW w:w="1865" w:type="dxa"/>
            <w:vAlign w:val="top"/>
          </w:tcPr>
          <w:p>
            <w:pPr>
              <w:spacing w:before="99" w:line="222" w:lineRule="auto"/>
              <w:ind w:left="0" w:leftChars="0" w:firstLine="0" w:firstLineChars="0"/>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设备名称</w:t>
            </w:r>
          </w:p>
        </w:tc>
        <w:tc>
          <w:tcPr>
            <w:tcW w:w="4531" w:type="dxa"/>
            <w:vAlign w:val="top"/>
          </w:tcPr>
          <w:p>
            <w:pPr>
              <w:spacing w:before="100" w:line="222" w:lineRule="auto"/>
              <w:ind w:left="0" w:leftChars="0" w:firstLine="0" w:firstLineChars="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型号及参数</w:t>
            </w:r>
          </w:p>
        </w:tc>
        <w:tc>
          <w:tcPr>
            <w:tcW w:w="708" w:type="dxa"/>
            <w:vAlign w:val="top"/>
          </w:tcPr>
          <w:p>
            <w:pPr>
              <w:spacing w:before="100" w:line="222" w:lineRule="auto"/>
              <w:ind w:left="0" w:leftChars="0" w:firstLine="0" w:firstLineChars="0"/>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单位</w:t>
            </w:r>
          </w:p>
        </w:tc>
        <w:tc>
          <w:tcPr>
            <w:tcW w:w="1170" w:type="dxa"/>
            <w:vAlign w:val="top"/>
          </w:tcPr>
          <w:p>
            <w:pPr>
              <w:spacing w:before="100" w:line="222" w:lineRule="auto"/>
              <w:ind w:left="0" w:leftChars="0" w:firstLine="0" w:firstLineChars="0"/>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63" w:type="dxa"/>
            <w:vAlign w:val="center"/>
          </w:tcPr>
          <w:p>
            <w:pPr>
              <w:pStyle w:val="82"/>
              <w:spacing w:before="103" w:line="188" w:lineRule="auto"/>
              <w:ind w:left="0" w:leftChars="0" w:firstLine="0" w:firstLineChars="0"/>
              <w:jc w:val="center"/>
              <w:rPr>
                <w:rFonts w:hint="eastAsia" w:ascii="楷体" w:hAnsi="楷体" w:eastAsia="楷体" w:cs="楷体"/>
              </w:rPr>
            </w:pPr>
            <w:r>
              <w:rPr>
                <w:rFonts w:hint="eastAsia" w:ascii="楷体" w:hAnsi="楷体" w:eastAsia="楷体" w:cs="楷体"/>
              </w:rPr>
              <w:t>1</w:t>
            </w:r>
          </w:p>
        </w:tc>
        <w:tc>
          <w:tcPr>
            <w:tcW w:w="1865" w:type="dxa"/>
            <w:vAlign w:val="center"/>
          </w:tcPr>
          <w:p>
            <w:pPr>
              <w:spacing w:before="62"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9"/>
                <w:sz w:val="24"/>
                <w:szCs w:val="24"/>
              </w:rPr>
              <w:t>时代焊机</w:t>
            </w:r>
          </w:p>
        </w:tc>
        <w:tc>
          <w:tcPr>
            <w:tcW w:w="4531" w:type="dxa"/>
            <w:vAlign w:val="center"/>
          </w:tcPr>
          <w:p>
            <w:pPr>
              <w:pStyle w:val="82"/>
              <w:spacing w:before="61" w:line="224" w:lineRule="auto"/>
              <w:ind w:left="0" w:leftChars="0" w:firstLine="0" w:firstLineChars="0"/>
              <w:jc w:val="center"/>
            </w:pPr>
            <w:r>
              <w:rPr>
                <w:rFonts w:ascii="仿宋" w:hAnsi="仿宋" w:eastAsia="仿宋" w:cs="仿宋"/>
                <w:spacing w:val="-4"/>
              </w:rPr>
              <w:t>型号：</w:t>
            </w:r>
            <w:r>
              <w:rPr>
                <w:spacing w:val="-4"/>
              </w:rPr>
              <w:t>WS-400</w:t>
            </w:r>
          </w:p>
        </w:tc>
        <w:tc>
          <w:tcPr>
            <w:tcW w:w="708" w:type="dxa"/>
            <w:vAlign w:val="center"/>
          </w:tcPr>
          <w:p>
            <w:pPr>
              <w:spacing w:before="61" w:line="221" w:lineRule="auto"/>
              <w:ind w:left="270"/>
              <w:jc w:val="center"/>
              <w:rPr>
                <w:rFonts w:ascii="仿宋" w:hAnsi="仿宋" w:eastAsia="仿宋" w:cs="仿宋"/>
                <w:sz w:val="24"/>
                <w:szCs w:val="24"/>
              </w:rPr>
            </w:pPr>
            <w:r>
              <w:rPr>
                <w:rFonts w:ascii="仿宋" w:hAnsi="仿宋" w:eastAsia="仿宋" w:cs="仿宋"/>
                <w:sz w:val="24"/>
                <w:szCs w:val="24"/>
              </w:rPr>
              <w:t>台</w:t>
            </w:r>
          </w:p>
        </w:tc>
        <w:tc>
          <w:tcPr>
            <w:tcW w:w="1170" w:type="dxa"/>
            <w:vAlign w:val="center"/>
          </w:tcPr>
          <w:p>
            <w:pPr>
              <w:pStyle w:val="82"/>
              <w:spacing w:before="61" w:line="221" w:lineRule="auto"/>
              <w:ind w:left="0" w:leftChars="0" w:firstLine="0" w:firstLineChars="0"/>
              <w:jc w:val="center"/>
              <w:rPr>
                <w:rFonts w:ascii="仿宋" w:hAnsi="仿宋" w:eastAsia="仿宋" w:cs="仿宋"/>
              </w:rPr>
            </w:pPr>
            <w:r>
              <w:rPr>
                <w:spacing w:val="-6"/>
              </w:rPr>
              <w:t>6</w:t>
            </w:r>
            <w:r>
              <w:rPr>
                <w:rFonts w:ascii="仿宋" w:hAnsi="仿宋" w:eastAsia="仿宋" w:cs="仿宋"/>
                <w:spacing w:val="-6"/>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63" w:type="dxa"/>
            <w:vAlign w:val="center"/>
          </w:tcPr>
          <w:p>
            <w:pPr>
              <w:pStyle w:val="82"/>
              <w:spacing w:before="186" w:line="188" w:lineRule="auto"/>
              <w:ind w:left="0" w:leftChars="0" w:firstLine="0" w:firstLineChars="0"/>
              <w:jc w:val="center"/>
              <w:rPr>
                <w:rFonts w:hint="eastAsia" w:ascii="楷体" w:hAnsi="楷体" w:eastAsia="楷体" w:cs="楷体"/>
              </w:rPr>
            </w:pPr>
            <w:r>
              <w:rPr>
                <w:rFonts w:hint="eastAsia" w:ascii="楷体" w:hAnsi="楷体" w:eastAsia="楷体" w:cs="楷体"/>
              </w:rPr>
              <w:t>2</w:t>
            </w:r>
          </w:p>
        </w:tc>
        <w:tc>
          <w:tcPr>
            <w:tcW w:w="1865" w:type="dxa"/>
            <w:vAlign w:val="center"/>
          </w:tcPr>
          <w:p>
            <w:pPr>
              <w:spacing w:before="145"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9"/>
                <w:sz w:val="24"/>
                <w:szCs w:val="24"/>
              </w:rPr>
              <w:t>时代焊机</w:t>
            </w:r>
          </w:p>
        </w:tc>
        <w:tc>
          <w:tcPr>
            <w:tcW w:w="4531" w:type="dxa"/>
            <w:vAlign w:val="center"/>
          </w:tcPr>
          <w:p>
            <w:pPr>
              <w:pStyle w:val="82"/>
              <w:spacing w:before="144" w:line="224" w:lineRule="auto"/>
              <w:ind w:left="0" w:leftChars="0" w:firstLine="0" w:firstLineChars="0"/>
              <w:jc w:val="center"/>
            </w:pPr>
            <w:r>
              <w:rPr>
                <w:rFonts w:ascii="仿宋" w:hAnsi="仿宋" w:eastAsia="仿宋" w:cs="仿宋"/>
                <w:spacing w:val="-4"/>
              </w:rPr>
              <w:t>型号：</w:t>
            </w:r>
            <w:r>
              <w:rPr>
                <w:spacing w:val="-4"/>
              </w:rPr>
              <w:t>NB-350</w:t>
            </w:r>
          </w:p>
        </w:tc>
        <w:tc>
          <w:tcPr>
            <w:tcW w:w="708" w:type="dxa"/>
            <w:vAlign w:val="center"/>
          </w:tcPr>
          <w:p>
            <w:pPr>
              <w:spacing w:before="144" w:line="221" w:lineRule="auto"/>
              <w:ind w:left="270"/>
              <w:jc w:val="center"/>
              <w:rPr>
                <w:rFonts w:ascii="仿宋" w:hAnsi="仿宋" w:eastAsia="仿宋" w:cs="仿宋"/>
                <w:sz w:val="24"/>
                <w:szCs w:val="24"/>
              </w:rPr>
            </w:pPr>
            <w:r>
              <w:rPr>
                <w:rFonts w:ascii="仿宋" w:hAnsi="仿宋" w:eastAsia="仿宋" w:cs="仿宋"/>
                <w:sz w:val="24"/>
                <w:szCs w:val="24"/>
              </w:rPr>
              <w:t>台</w:t>
            </w:r>
          </w:p>
        </w:tc>
        <w:tc>
          <w:tcPr>
            <w:tcW w:w="1170" w:type="dxa"/>
            <w:vAlign w:val="center"/>
          </w:tcPr>
          <w:p>
            <w:pPr>
              <w:pStyle w:val="82"/>
              <w:spacing w:before="144" w:line="221" w:lineRule="auto"/>
              <w:ind w:left="0" w:leftChars="0" w:firstLine="0" w:firstLineChars="0"/>
              <w:jc w:val="center"/>
              <w:rPr>
                <w:rFonts w:ascii="仿宋" w:hAnsi="仿宋" w:eastAsia="仿宋" w:cs="仿宋"/>
              </w:rPr>
            </w:pPr>
            <w:r>
              <w:rPr>
                <w:spacing w:val="-6"/>
              </w:rPr>
              <w:t>6</w:t>
            </w:r>
            <w:r>
              <w:rPr>
                <w:rFonts w:ascii="仿宋" w:hAnsi="仿宋" w:eastAsia="仿宋" w:cs="仿宋"/>
                <w:spacing w:val="-6"/>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63" w:type="dxa"/>
            <w:vAlign w:val="center"/>
          </w:tcPr>
          <w:p>
            <w:pPr>
              <w:pStyle w:val="82"/>
              <w:spacing w:before="178" w:line="188" w:lineRule="auto"/>
              <w:ind w:left="0" w:leftChars="0" w:firstLine="0" w:firstLineChars="0"/>
              <w:jc w:val="center"/>
              <w:rPr>
                <w:rFonts w:hint="eastAsia" w:ascii="楷体" w:hAnsi="楷体" w:eastAsia="楷体" w:cs="楷体"/>
              </w:rPr>
            </w:pPr>
            <w:r>
              <w:rPr>
                <w:rFonts w:hint="eastAsia" w:ascii="楷体" w:hAnsi="楷体" w:eastAsia="楷体" w:cs="楷体"/>
              </w:rPr>
              <w:t>3</w:t>
            </w:r>
          </w:p>
        </w:tc>
        <w:tc>
          <w:tcPr>
            <w:tcW w:w="1865" w:type="dxa"/>
            <w:vAlign w:val="center"/>
          </w:tcPr>
          <w:p>
            <w:pPr>
              <w:spacing w:before="137"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3"/>
                <w:sz w:val="24"/>
                <w:szCs w:val="24"/>
              </w:rPr>
              <w:t>排烟除尘设备</w:t>
            </w:r>
          </w:p>
        </w:tc>
        <w:tc>
          <w:tcPr>
            <w:tcW w:w="4531" w:type="dxa"/>
            <w:vAlign w:val="center"/>
          </w:tcPr>
          <w:p>
            <w:pPr>
              <w:spacing w:before="137" w:line="222" w:lineRule="auto"/>
              <w:ind w:left="0" w:leftChars="0" w:firstLine="0" w:firstLineChars="0"/>
              <w:jc w:val="center"/>
              <w:rPr>
                <w:rFonts w:ascii="仿宋" w:hAnsi="仿宋" w:eastAsia="仿宋" w:cs="仿宋"/>
                <w:sz w:val="24"/>
                <w:szCs w:val="24"/>
              </w:rPr>
            </w:pPr>
            <w:r>
              <w:rPr>
                <w:rFonts w:ascii="仿宋" w:hAnsi="仿宋" w:eastAsia="仿宋" w:cs="仿宋"/>
                <w:spacing w:val="-2"/>
                <w:sz w:val="24"/>
                <w:szCs w:val="24"/>
              </w:rPr>
              <w:t>满足赛场烟尘处理要求。</w:t>
            </w:r>
          </w:p>
        </w:tc>
        <w:tc>
          <w:tcPr>
            <w:tcW w:w="708" w:type="dxa"/>
            <w:vAlign w:val="center"/>
          </w:tcPr>
          <w:p>
            <w:pPr>
              <w:spacing w:before="136" w:line="226" w:lineRule="auto"/>
              <w:ind w:left="248"/>
              <w:jc w:val="center"/>
              <w:rPr>
                <w:rFonts w:ascii="仿宋" w:hAnsi="仿宋" w:eastAsia="仿宋" w:cs="仿宋"/>
                <w:sz w:val="24"/>
                <w:szCs w:val="24"/>
              </w:rPr>
            </w:pPr>
            <w:r>
              <w:rPr>
                <w:rFonts w:ascii="仿宋" w:hAnsi="仿宋" w:eastAsia="仿宋" w:cs="仿宋"/>
                <w:sz w:val="24"/>
                <w:szCs w:val="24"/>
              </w:rPr>
              <w:t>套</w:t>
            </w:r>
          </w:p>
        </w:tc>
        <w:tc>
          <w:tcPr>
            <w:tcW w:w="1170" w:type="dxa"/>
            <w:vAlign w:val="center"/>
          </w:tcPr>
          <w:p>
            <w:pPr>
              <w:pStyle w:val="82"/>
              <w:spacing w:before="136"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套</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763" w:type="dxa"/>
            <w:vAlign w:val="center"/>
          </w:tcPr>
          <w:p>
            <w:pPr>
              <w:pStyle w:val="82"/>
              <w:spacing w:before="69" w:line="188" w:lineRule="auto"/>
              <w:ind w:left="0" w:leftChars="0" w:firstLine="0" w:firstLineChars="0"/>
              <w:jc w:val="center"/>
              <w:rPr>
                <w:rFonts w:hint="eastAsia" w:ascii="楷体" w:hAnsi="楷体" w:eastAsia="楷体" w:cs="楷体"/>
              </w:rPr>
            </w:pPr>
            <w:r>
              <w:rPr>
                <w:rFonts w:hint="eastAsia" w:ascii="楷体" w:hAnsi="楷体" w:eastAsia="楷体" w:cs="楷体"/>
              </w:rPr>
              <w:t>4</w:t>
            </w:r>
          </w:p>
        </w:tc>
        <w:tc>
          <w:tcPr>
            <w:tcW w:w="1865" w:type="dxa"/>
            <w:vAlign w:val="center"/>
          </w:tcPr>
          <w:p>
            <w:pPr>
              <w:keepNext w:val="0"/>
              <w:keepLines w:val="0"/>
              <w:pageBreakBefore w:val="0"/>
              <w:widowControl w:val="0"/>
              <w:kinsoku/>
              <w:wordWrap/>
              <w:overflowPunct/>
              <w:topLinePunct w:val="0"/>
              <w:autoSpaceDE/>
              <w:autoSpaceDN/>
              <w:bidi w:val="0"/>
              <w:adjustRightInd/>
              <w:snapToGrid w:val="0"/>
              <w:spacing w:before="307" w:line="20" w:lineRule="exact"/>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4"/>
                <w:sz w:val="24"/>
                <w:szCs w:val="24"/>
              </w:rPr>
              <w:t>焊接胎具</w:t>
            </w:r>
          </w:p>
        </w:tc>
        <w:tc>
          <w:tcPr>
            <w:tcW w:w="4531" w:type="dxa"/>
            <w:vAlign w:val="center"/>
          </w:tcPr>
          <w:p>
            <w:pPr>
              <w:pStyle w:val="82"/>
              <w:spacing w:before="67" w:line="197" w:lineRule="auto"/>
              <w:ind w:left="0" w:leftChars="0" w:right="19" w:firstLine="0" w:firstLineChars="0"/>
              <w:jc w:val="center"/>
              <w:rPr>
                <w:rFonts w:ascii="仿宋" w:hAnsi="仿宋" w:eastAsia="仿宋" w:cs="仿宋"/>
              </w:rPr>
            </w:pPr>
            <w:r>
              <w:rPr>
                <w:rFonts w:ascii="仿宋" w:hAnsi="仿宋" w:eastAsia="仿宋" w:cs="仿宋"/>
                <w:spacing w:val="-7"/>
              </w:rPr>
              <w:t>非标，承办单位自制，满足</w:t>
            </w:r>
            <w:r>
              <w:rPr>
                <w:spacing w:val="-7"/>
              </w:rPr>
              <w:t>3</w:t>
            </w:r>
            <w:r>
              <w:rPr>
                <w:rFonts w:ascii="仿宋" w:hAnsi="仿宋" w:eastAsia="仿宋" w:cs="仿宋"/>
                <w:spacing w:val="-7"/>
              </w:rPr>
              <w:t>个模块焊接要</w:t>
            </w:r>
            <w:r>
              <w:rPr>
                <w:rFonts w:ascii="仿宋" w:hAnsi="仿宋" w:eastAsia="仿宋" w:cs="仿宋"/>
                <w:spacing w:val="-6"/>
              </w:rPr>
              <w:t>求，可提供制作结构示意图和主要结构尺寸</w:t>
            </w:r>
            <w:r>
              <w:rPr>
                <w:rFonts w:ascii="仿宋" w:hAnsi="仿宋" w:eastAsia="仿宋" w:cs="仿宋"/>
                <w:spacing w:val="-7"/>
              </w:rPr>
              <w:t>要求。</w:t>
            </w:r>
          </w:p>
        </w:tc>
        <w:tc>
          <w:tcPr>
            <w:tcW w:w="708" w:type="dxa"/>
            <w:vAlign w:val="center"/>
          </w:tcPr>
          <w:p>
            <w:pPr>
              <w:spacing w:before="306" w:line="226" w:lineRule="auto"/>
              <w:ind w:left="248"/>
              <w:jc w:val="center"/>
              <w:rPr>
                <w:rFonts w:ascii="仿宋" w:hAnsi="仿宋" w:eastAsia="仿宋" w:cs="仿宋"/>
                <w:sz w:val="24"/>
                <w:szCs w:val="24"/>
              </w:rPr>
            </w:pPr>
            <w:r>
              <w:rPr>
                <w:rFonts w:ascii="仿宋" w:hAnsi="仿宋" w:eastAsia="仿宋" w:cs="仿宋"/>
                <w:sz w:val="24"/>
                <w:szCs w:val="24"/>
              </w:rPr>
              <w:t>套</w:t>
            </w:r>
          </w:p>
        </w:tc>
        <w:tc>
          <w:tcPr>
            <w:tcW w:w="1170" w:type="dxa"/>
            <w:vAlign w:val="center"/>
          </w:tcPr>
          <w:p>
            <w:pPr>
              <w:pStyle w:val="82"/>
              <w:keepNext w:val="0"/>
              <w:keepLines w:val="0"/>
              <w:pageBreakBefore w:val="0"/>
              <w:widowControl w:val="0"/>
              <w:kinsoku/>
              <w:wordWrap/>
              <w:overflowPunct/>
              <w:topLinePunct w:val="0"/>
              <w:autoSpaceDE/>
              <w:autoSpaceDN/>
              <w:bidi w:val="0"/>
              <w:adjustRightInd/>
              <w:snapToGrid w:val="0"/>
              <w:spacing w:before="306" w:line="20" w:lineRule="exact"/>
              <w:ind w:left="0" w:leftChars="0" w:firstLine="0" w:firstLineChars="0"/>
              <w:jc w:val="center"/>
              <w:textAlignment w:val="auto"/>
              <w:rPr>
                <w:rFonts w:ascii="仿宋" w:hAnsi="仿宋" w:eastAsia="仿宋" w:cs="仿宋"/>
              </w:rPr>
            </w:pPr>
            <w:r>
              <w:rPr>
                <w:spacing w:val="-10"/>
              </w:rPr>
              <w:t>1</w:t>
            </w:r>
            <w:r>
              <w:rPr>
                <w:rFonts w:ascii="仿宋" w:hAnsi="仿宋" w:eastAsia="仿宋" w:cs="仿宋"/>
                <w:spacing w:val="-10"/>
              </w:rPr>
              <w:t>套</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763" w:type="dxa"/>
            <w:vAlign w:val="center"/>
          </w:tcPr>
          <w:p>
            <w:pPr>
              <w:pStyle w:val="82"/>
              <w:spacing w:before="69" w:line="185" w:lineRule="auto"/>
              <w:ind w:left="0" w:leftChars="0" w:firstLine="0" w:firstLineChars="0"/>
              <w:jc w:val="center"/>
              <w:rPr>
                <w:rFonts w:hint="eastAsia" w:ascii="楷体" w:hAnsi="楷体" w:eastAsia="楷体" w:cs="楷体"/>
              </w:rPr>
            </w:pPr>
            <w:r>
              <w:rPr>
                <w:rFonts w:hint="eastAsia" w:ascii="楷体" w:hAnsi="楷体" w:eastAsia="楷体" w:cs="楷体"/>
              </w:rPr>
              <w:t>5</w:t>
            </w:r>
          </w:p>
        </w:tc>
        <w:tc>
          <w:tcPr>
            <w:tcW w:w="1865" w:type="dxa"/>
            <w:vAlign w:val="center"/>
          </w:tcPr>
          <w:p>
            <w:pPr>
              <w:spacing w:before="78"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工位电力配置</w:t>
            </w:r>
          </w:p>
        </w:tc>
        <w:tc>
          <w:tcPr>
            <w:tcW w:w="4531" w:type="dxa"/>
            <w:vAlign w:val="center"/>
          </w:tcPr>
          <w:p>
            <w:pPr>
              <w:pStyle w:val="82"/>
              <w:spacing w:before="88" w:line="192" w:lineRule="auto"/>
              <w:ind w:left="0" w:leftChars="0" w:right="19" w:firstLine="0" w:firstLineChars="0"/>
              <w:jc w:val="center"/>
              <w:rPr>
                <w:rFonts w:ascii="仿宋" w:hAnsi="仿宋" w:eastAsia="仿宋" w:cs="仿宋"/>
              </w:rPr>
            </w:pPr>
            <w:r>
              <w:rPr>
                <w:rFonts w:ascii="仿宋" w:hAnsi="仿宋" w:eastAsia="仿宋" w:cs="仿宋"/>
                <w:spacing w:val="-4"/>
              </w:rPr>
              <w:t>每个工位提供</w:t>
            </w:r>
            <w:r>
              <w:rPr>
                <w:spacing w:val="-4"/>
              </w:rPr>
              <w:t>380V</w:t>
            </w:r>
            <w:r>
              <w:rPr>
                <w:rFonts w:ascii="仿宋" w:hAnsi="仿宋" w:eastAsia="仿宋" w:cs="仿宋"/>
                <w:spacing w:val="-4"/>
              </w:rPr>
              <w:t>动力电闸箱，功率不低</w:t>
            </w:r>
            <w:r>
              <w:rPr>
                <w:rFonts w:ascii="仿宋" w:hAnsi="仿宋" w:eastAsia="仿宋" w:cs="仿宋"/>
                <w:spacing w:val="-5"/>
              </w:rPr>
              <w:t>于</w:t>
            </w:r>
            <w:r>
              <w:rPr>
                <w:spacing w:val="-5"/>
              </w:rPr>
              <w:t>25KVA</w:t>
            </w:r>
            <w:r>
              <w:rPr>
                <w:rFonts w:ascii="仿宋" w:hAnsi="仿宋" w:eastAsia="仿宋" w:cs="仿宋"/>
                <w:spacing w:val="-5"/>
              </w:rPr>
              <w:t>，供电设施必须按照国家有关要</w:t>
            </w:r>
            <w:r>
              <w:rPr>
                <w:rFonts w:ascii="仿宋" w:hAnsi="仿宋" w:eastAsia="仿宋" w:cs="仿宋"/>
                <w:spacing w:val="-6"/>
              </w:rPr>
              <w:t>求执行，并至少做到有防漏电保护装置，焊接电源一次线必须做到一闸一机。每个工位</w:t>
            </w:r>
            <w:r>
              <w:rPr>
                <w:rFonts w:ascii="仿宋" w:hAnsi="仿宋" w:eastAsia="仿宋" w:cs="仿宋"/>
                <w:spacing w:val="-5"/>
              </w:rPr>
              <w:t>需提供</w:t>
            </w:r>
            <w:r>
              <w:rPr>
                <w:spacing w:val="-5"/>
              </w:rPr>
              <w:t>220V</w:t>
            </w:r>
            <w:r>
              <w:rPr>
                <w:rFonts w:ascii="仿宋" w:hAnsi="仿宋" w:eastAsia="仿宋" w:cs="仿宋"/>
                <w:spacing w:val="-5"/>
              </w:rPr>
              <w:t>电源插座接口。</w:t>
            </w:r>
          </w:p>
        </w:tc>
        <w:tc>
          <w:tcPr>
            <w:tcW w:w="708" w:type="dxa"/>
            <w:vAlign w:val="center"/>
          </w:tcPr>
          <w:p>
            <w:pPr>
              <w:jc w:val="center"/>
              <w:rPr>
                <w:rFonts w:ascii="Arial"/>
                <w:sz w:val="21"/>
              </w:rPr>
            </w:pP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exact"/>
              <w:ind w:left="0" w:leftChars="0" w:right="23" w:firstLine="0" w:firstLineChars="0"/>
              <w:jc w:val="center"/>
              <w:textAlignment w:val="auto"/>
              <w:rPr>
                <w:rFonts w:ascii="仿宋" w:hAnsi="仿宋" w:eastAsia="仿宋" w:cs="仿宋"/>
                <w:sz w:val="24"/>
                <w:szCs w:val="24"/>
              </w:rPr>
            </w:pPr>
            <w:r>
              <w:rPr>
                <w:rFonts w:ascii="仿宋" w:hAnsi="仿宋" w:eastAsia="仿宋" w:cs="仿宋"/>
                <w:spacing w:val="33"/>
                <w:sz w:val="24"/>
                <w:szCs w:val="24"/>
              </w:rPr>
              <w:t>按工位设</w:t>
            </w:r>
            <w:r>
              <w:rPr>
                <w:rFonts w:ascii="仿宋" w:hAnsi="仿宋" w:eastAsia="仿宋" w:cs="仿宋"/>
                <w:sz w:val="24"/>
                <w:szCs w:val="24"/>
              </w:rPr>
              <w:t>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63" w:type="dxa"/>
            <w:vAlign w:val="center"/>
          </w:tcPr>
          <w:p>
            <w:pPr>
              <w:pStyle w:val="82"/>
              <w:spacing w:before="191" w:line="188" w:lineRule="auto"/>
              <w:ind w:left="0" w:leftChars="0" w:firstLine="0" w:firstLineChars="0"/>
              <w:jc w:val="center"/>
              <w:rPr>
                <w:rFonts w:hint="eastAsia" w:ascii="楷体" w:hAnsi="楷体" w:eastAsia="楷体" w:cs="楷体"/>
              </w:rPr>
            </w:pPr>
            <w:r>
              <w:rPr>
                <w:rFonts w:hint="eastAsia" w:ascii="楷体" w:hAnsi="楷体" w:eastAsia="楷体" w:cs="楷体"/>
              </w:rPr>
              <w:t>6</w:t>
            </w:r>
          </w:p>
        </w:tc>
        <w:tc>
          <w:tcPr>
            <w:tcW w:w="1865" w:type="dxa"/>
            <w:vAlign w:val="center"/>
          </w:tcPr>
          <w:p>
            <w:pPr>
              <w:pStyle w:val="82"/>
              <w:spacing w:before="32" w:line="203" w:lineRule="auto"/>
              <w:ind w:left="0" w:leftChars="0" w:right="91" w:firstLine="0" w:firstLineChars="0"/>
              <w:jc w:val="center"/>
              <w:rPr>
                <w:rFonts w:hint="eastAsia" w:ascii="楷体" w:hAnsi="楷体" w:eastAsia="楷体" w:cs="楷体"/>
              </w:rPr>
            </w:pPr>
            <w:r>
              <w:rPr>
                <w:rFonts w:hint="eastAsia" w:ascii="楷体" w:hAnsi="楷体" w:eastAsia="楷体" w:cs="楷体"/>
                <w:spacing w:val="-3"/>
              </w:rPr>
              <w:t>氩气气瓶（氩气</w:t>
            </w:r>
            <w:r>
              <w:rPr>
                <w:rFonts w:hint="eastAsia" w:ascii="楷体" w:hAnsi="楷体" w:eastAsia="楷体" w:cs="楷体"/>
                <w:spacing w:val="-2"/>
              </w:rPr>
              <w:t>99.99%）</w:t>
            </w:r>
          </w:p>
        </w:tc>
        <w:tc>
          <w:tcPr>
            <w:tcW w:w="4531" w:type="dxa"/>
            <w:vAlign w:val="center"/>
          </w:tcPr>
          <w:p>
            <w:pPr>
              <w:pStyle w:val="82"/>
              <w:spacing w:before="191" w:line="188" w:lineRule="auto"/>
              <w:ind w:left="0" w:leftChars="0" w:firstLine="0" w:firstLineChars="0"/>
              <w:jc w:val="center"/>
            </w:pPr>
            <w:r>
              <w:rPr>
                <w:spacing w:val="-2"/>
              </w:rPr>
              <w:t>40L</w:t>
            </w:r>
          </w:p>
        </w:tc>
        <w:tc>
          <w:tcPr>
            <w:tcW w:w="708" w:type="dxa"/>
            <w:vAlign w:val="center"/>
          </w:tcPr>
          <w:p>
            <w:pPr>
              <w:spacing w:before="151" w:line="226" w:lineRule="auto"/>
              <w:ind w:left="248"/>
              <w:jc w:val="center"/>
              <w:rPr>
                <w:rFonts w:ascii="仿宋" w:hAnsi="仿宋" w:eastAsia="仿宋" w:cs="仿宋"/>
                <w:sz w:val="24"/>
                <w:szCs w:val="24"/>
              </w:rPr>
            </w:pPr>
            <w:r>
              <w:rPr>
                <w:rFonts w:ascii="仿宋" w:hAnsi="仿宋" w:eastAsia="仿宋" w:cs="仿宋"/>
                <w:sz w:val="24"/>
                <w:szCs w:val="24"/>
              </w:rPr>
              <w:t>瓶</w:t>
            </w:r>
          </w:p>
        </w:tc>
        <w:tc>
          <w:tcPr>
            <w:tcW w:w="1170" w:type="dxa"/>
            <w:vAlign w:val="center"/>
          </w:tcPr>
          <w:p>
            <w:pPr>
              <w:pStyle w:val="82"/>
              <w:spacing w:before="151"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瓶</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63" w:type="dxa"/>
            <w:vAlign w:val="center"/>
          </w:tcPr>
          <w:p>
            <w:pPr>
              <w:pStyle w:val="82"/>
              <w:spacing w:before="183" w:line="185" w:lineRule="auto"/>
              <w:ind w:left="0" w:leftChars="0" w:firstLine="0" w:firstLineChars="0"/>
              <w:jc w:val="center"/>
              <w:rPr>
                <w:rFonts w:hint="eastAsia" w:ascii="楷体" w:hAnsi="楷体" w:eastAsia="楷体" w:cs="楷体"/>
              </w:rPr>
            </w:pPr>
            <w:r>
              <w:rPr>
                <w:rFonts w:hint="eastAsia" w:ascii="楷体" w:hAnsi="楷体" w:eastAsia="楷体" w:cs="楷体"/>
              </w:rPr>
              <w:t>7</w:t>
            </w:r>
          </w:p>
        </w:tc>
        <w:tc>
          <w:tcPr>
            <w:tcW w:w="1865" w:type="dxa"/>
            <w:vAlign w:val="center"/>
          </w:tcPr>
          <w:p>
            <w:pPr>
              <w:spacing w:before="140"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3"/>
                <w:sz w:val="24"/>
                <w:szCs w:val="24"/>
              </w:rPr>
              <w:t>氩气流量调节器</w:t>
            </w:r>
          </w:p>
        </w:tc>
        <w:tc>
          <w:tcPr>
            <w:tcW w:w="4531" w:type="dxa"/>
            <w:vAlign w:val="center"/>
          </w:tcPr>
          <w:p>
            <w:pPr>
              <w:spacing w:before="140" w:line="224" w:lineRule="auto"/>
              <w:ind w:left="0" w:leftChars="0" w:firstLine="0" w:firstLineChars="0"/>
              <w:jc w:val="center"/>
              <w:rPr>
                <w:rFonts w:ascii="仿宋" w:hAnsi="仿宋" w:eastAsia="仿宋" w:cs="仿宋"/>
                <w:sz w:val="24"/>
                <w:szCs w:val="24"/>
              </w:rPr>
            </w:pPr>
            <w:r>
              <w:rPr>
                <w:rFonts w:ascii="仿宋" w:hAnsi="仿宋" w:eastAsia="仿宋" w:cs="仿宋"/>
                <w:spacing w:val="-11"/>
                <w:sz w:val="24"/>
                <w:szCs w:val="24"/>
              </w:rPr>
              <w:t>通用</w:t>
            </w:r>
          </w:p>
        </w:tc>
        <w:tc>
          <w:tcPr>
            <w:tcW w:w="708" w:type="dxa"/>
            <w:vAlign w:val="center"/>
          </w:tcPr>
          <w:p>
            <w:pPr>
              <w:spacing w:before="140"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140"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个</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763" w:type="dxa"/>
            <w:vAlign w:val="center"/>
          </w:tcPr>
          <w:p>
            <w:pPr>
              <w:pStyle w:val="82"/>
              <w:spacing w:before="69" w:line="188" w:lineRule="auto"/>
              <w:ind w:left="0" w:leftChars="0" w:firstLine="0" w:firstLineChars="0"/>
              <w:jc w:val="center"/>
              <w:rPr>
                <w:rFonts w:hint="eastAsia" w:ascii="楷体" w:hAnsi="楷体" w:eastAsia="楷体" w:cs="楷体"/>
              </w:rPr>
            </w:pPr>
            <w:r>
              <w:rPr>
                <w:rFonts w:hint="eastAsia" w:ascii="楷体" w:hAnsi="楷体" w:eastAsia="楷体" w:cs="楷体"/>
              </w:rPr>
              <w:t>8</w:t>
            </w:r>
          </w:p>
        </w:tc>
        <w:tc>
          <w:tcPr>
            <w:tcW w:w="1865" w:type="dxa"/>
            <w:vAlign w:val="center"/>
          </w:tcPr>
          <w:p>
            <w:pPr>
              <w:spacing w:before="78" w:line="221"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焊条烘干箱</w:t>
            </w:r>
          </w:p>
        </w:tc>
        <w:tc>
          <w:tcPr>
            <w:tcW w:w="4531" w:type="dxa"/>
            <w:vAlign w:val="center"/>
          </w:tcPr>
          <w:p>
            <w:pPr>
              <w:pStyle w:val="82"/>
              <w:spacing w:before="122" w:line="197" w:lineRule="auto"/>
              <w:ind w:left="0" w:leftChars="0" w:right="19" w:firstLine="0" w:firstLineChars="0"/>
              <w:jc w:val="center"/>
              <w:rPr>
                <w:rFonts w:ascii="仿宋" w:hAnsi="仿宋" w:eastAsia="仿宋" w:cs="仿宋"/>
              </w:rPr>
            </w:pPr>
            <w:r>
              <w:rPr>
                <w:rFonts w:ascii="仿宋" w:hAnsi="仿宋" w:eastAsia="仿宋" w:cs="仿宋"/>
                <w:spacing w:val="-6"/>
              </w:rPr>
              <w:t>通用，容量应能满足竞赛所需，具备高温烘焙和低温恒温储存功能，最高烘干温度不超</w:t>
            </w:r>
            <w:r>
              <w:rPr>
                <w:rFonts w:ascii="仿宋" w:hAnsi="仿宋" w:eastAsia="仿宋" w:cs="仿宋"/>
                <w:spacing w:val="-5"/>
              </w:rPr>
              <w:t>过</w:t>
            </w:r>
            <w:r>
              <w:rPr>
                <w:spacing w:val="-5"/>
              </w:rPr>
              <w:t>400</w:t>
            </w:r>
            <w:r>
              <w:rPr>
                <w:rFonts w:ascii="仿宋" w:hAnsi="仿宋" w:eastAsia="仿宋" w:cs="仿宋"/>
                <w:spacing w:val="-5"/>
              </w:rPr>
              <w:t>度</w:t>
            </w:r>
          </w:p>
        </w:tc>
        <w:tc>
          <w:tcPr>
            <w:tcW w:w="708" w:type="dxa"/>
            <w:vAlign w:val="center"/>
          </w:tcPr>
          <w:p>
            <w:pPr>
              <w:spacing w:line="281" w:lineRule="auto"/>
              <w:jc w:val="center"/>
              <w:rPr>
                <w:rFonts w:ascii="Arial"/>
                <w:sz w:val="21"/>
              </w:rPr>
            </w:pPr>
          </w:p>
          <w:p>
            <w:pPr>
              <w:spacing w:before="78" w:line="221" w:lineRule="auto"/>
              <w:ind w:left="270"/>
              <w:jc w:val="center"/>
              <w:rPr>
                <w:rFonts w:ascii="仿宋" w:hAnsi="仿宋" w:eastAsia="仿宋" w:cs="仿宋"/>
                <w:sz w:val="24"/>
                <w:szCs w:val="24"/>
              </w:rPr>
            </w:pPr>
            <w:r>
              <w:rPr>
                <w:rFonts w:ascii="仿宋" w:hAnsi="仿宋" w:eastAsia="仿宋" w:cs="仿宋"/>
                <w:sz w:val="24"/>
                <w:szCs w:val="24"/>
              </w:rPr>
              <w:t>台</w:t>
            </w:r>
          </w:p>
        </w:tc>
        <w:tc>
          <w:tcPr>
            <w:tcW w:w="1170" w:type="dxa"/>
            <w:vAlign w:val="center"/>
          </w:tcPr>
          <w:p>
            <w:pPr>
              <w:spacing w:line="329" w:lineRule="auto"/>
              <w:jc w:val="center"/>
              <w:rPr>
                <w:rFonts w:ascii="Arial"/>
                <w:sz w:val="21"/>
              </w:rPr>
            </w:pPr>
          </w:p>
          <w:p>
            <w:pPr>
              <w:pStyle w:val="82"/>
              <w:spacing w:before="69" w:line="188" w:lineRule="auto"/>
              <w:ind w:left="0" w:leftChars="0" w:firstLine="0" w:firstLineChars="0"/>
              <w:jc w:val="center"/>
            </w:pPr>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763" w:type="dxa"/>
            <w:vAlign w:val="center"/>
          </w:tcPr>
          <w:p>
            <w:pPr>
              <w:pStyle w:val="82"/>
              <w:spacing w:before="139" w:line="188" w:lineRule="auto"/>
              <w:ind w:left="0" w:leftChars="0" w:firstLine="0" w:firstLineChars="0"/>
              <w:jc w:val="center"/>
              <w:rPr>
                <w:rFonts w:hint="eastAsia" w:ascii="楷体" w:hAnsi="楷体" w:eastAsia="楷体" w:cs="楷体"/>
              </w:rPr>
            </w:pPr>
            <w:r>
              <w:rPr>
                <w:rFonts w:hint="eastAsia" w:ascii="楷体" w:hAnsi="楷体" w:eastAsia="楷体" w:cs="楷体"/>
              </w:rPr>
              <w:t>9</w:t>
            </w:r>
          </w:p>
        </w:tc>
        <w:tc>
          <w:tcPr>
            <w:tcW w:w="1865" w:type="dxa"/>
            <w:vAlign w:val="center"/>
          </w:tcPr>
          <w:p>
            <w:pPr>
              <w:spacing w:before="97" w:line="221"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焊条保温桶</w:t>
            </w:r>
          </w:p>
        </w:tc>
        <w:tc>
          <w:tcPr>
            <w:tcW w:w="4531" w:type="dxa"/>
            <w:vAlign w:val="center"/>
          </w:tcPr>
          <w:p>
            <w:pPr>
              <w:spacing w:before="98" w:line="222" w:lineRule="auto"/>
              <w:ind w:left="0" w:leftChars="0" w:firstLine="0" w:firstLineChars="0"/>
              <w:jc w:val="center"/>
              <w:rPr>
                <w:rFonts w:ascii="仿宋" w:hAnsi="仿宋" w:eastAsia="仿宋" w:cs="仿宋"/>
                <w:sz w:val="24"/>
                <w:szCs w:val="24"/>
              </w:rPr>
            </w:pPr>
            <w:r>
              <w:rPr>
                <w:rFonts w:ascii="仿宋" w:hAnsi="仿宋" w:eastAsia="仿宋" w:cs="仿宋"/>
                <w:spacing w:val="-15"/>
                <w:sz w:val="24"/>
                <w:szCs w:val="24"/>
              </w:rPr>
              <w:t>常规</w:t>
            </w:r>
          </w:p>
        </w:tc>
        <w:tc>
          <w:tcPr>
            <w:tcW w:w="708" w:type="dxa"/>
            <w:vAlign w:val="center"/>
          </w:tcPr>
          <w:p>
            <w:pPr>
              <w:spacing w:before="97"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97"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个</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5"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10</w:t>
            </w:r>
          </w:p>
        </w:tc>
        <w:tc>
          <w:tcPr>
            <w:tcW w:w="1865" w:type="dxa"/>
            <w:vAlign w:val="center"/>
          </w:tcPr>
          <w:p>
            <w:pPr>
              <w:spacing w:before="54" w:line="220"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7"/>
                <w:sz w:val="24"/>
                <w:szCs w:val="24"/>
              </w:rPr>
              <w:t>废料桶</w:t>
            </w:r>
          </w:p>
        </w:tc>
        <w:tc>
          <w:tcPr>
            <w:tcW w:w="4531" w:type="dxa"/>
            <w:vAlign w:val="center"/>
          </w:tcPr>
          <w:p>
            <w:pPr>
              <w:spacing w:before="54" w:line="222" w:lineRule="auto"/>
              <w:ind w:left="0" w:leftChars="0" w:firstLine="0" w:firstLineChars="0"/>
              <w:jc w:val="center"/>
              <w:rPr>
                <w:rFonts w:ascii="仿宋" w:hAnsi="仿宋" w:eastAsia="仿宋" w:cs="仿宋"/>
                <w:sz w:val="24"/>
                <w:szCs w:val="24"/>
              </w:rPr>
            </w:pPr>
            <w:r>
              <w:rPr>
                <w:rFonts w:ascii="仿宋" w:hAnsi="仿宋" w:eastAsia="仿宋" w:cs="仿宋"/>
                <w:spacing w:val="-6"/>
                <w:sz w:val="24"/>
                <w:szCs w:val="24"/>
              </w:rPr>
              <w:t>场地内</w:t>
            </w:r>
          </w:p>
        </w:tc>
        <w:tc>
          <w:tcPr>
            <w:tcW w:w="708" w:type="dxa"/>
            <w:vAlign w:val="center"/>
          </w:tcPr>
          <w:p>
            <w:pPr>
              <w:spacing w:before="53"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53"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个</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63" w:type="dxa"/>
            <w:vAlign w:val="center"/>
          </w:tcPr>
          <w:p>
            <w:pPr>
              <w:pStyle w:val="82"/>
              <w:spacing w:before="169"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11</w:t>
            </w:r>
          </w:p>
        </w:tc>
        <w:tc>
          <w:tcPr>
            <w:tcW w:w="1865" w:type="dxa"/>
            <w:vAlign w:val="center"/>
          </w:tcPr>
          <w:p>
            <w:pPr>
              <w:spacing w:before="7" w:line="194" w:lineRule="auto"/>
              <w:ind w:left="0" w:leftChars="0" w:right="24" w:firstLine="0" w:firstLineChars="0"/>
              <w:jc w:val="center"/>
              <w:rPr>
                <w:rFonts w:hint="eastAsia" w:ascii="楷体" w:hAnsi="楷体" w:eastAsia="楷体" w:cs="楷体"/>
                <w:sz w:val="24"/>
                <w:szCs w:val="24"/>
              </w:rPr>
            </w:pPr>
            <w:r>
              <w:rPr>
                <w:rFonts w:hint="eastAsia" w:ascii="楷体" w:hAnsi="楷体" w:eastAsia="楷体" w:cs="楷体"/>
                <w:spacing w:val="-19"/>
                <w:sz w:val="24"/>
                <w:szCs w:val="24"/>
              </w:rPr>
              <w:t>电源接线板（有两</w:t>
            </w:r>
            <w:r>
              <w:rPr>
                <w:rFonts w:hint="eastAsia" w:ascii="楷体" w:hAnsi="楷体" w:eastAsia="楷体" w:cs="楷体"/>
                <w:spacing w:val="-4"/>
                <w:sz w:val="24"/>
                <w:szCs w:val="24"/>
              </w:rPr>
              <w:t>孔和三孔）</w:t>
            </w:r>
          </w:p>
        </w:tc>
        <w:tc>
          <w:tcPr>
            <w:tcW w:w="4531" w:type="dxa"/>
            <w:vAlign w:val="center"/>
          </w:tcPr>
          <w:p>
            <w:pPr>
              <w:pStyle w:val="82"/>
              <w:spacing w:before="127" w:line="222" w:lineRule="auto"/>
              <w:ind w:left="0" w:leftChars="0" w:firstLine="0" w:firstLineChars="0"/>
              <w:jc w:val="center"/>
              <w:rPr>
                <w:rFonts w:ascii="仿宋" w:hAnsi="仿宋" w:eastAsia="仿宋" w:cs="仿宋"/>
              </w:rPr>
            </w:pPr>
            <w:r>
              <w:rPr>
                <w:spacing w:val="-5"/>
              </w:rPr>
              <w:t>16A</w:t>
            </w:r>
            <w:r>
              <w:rPr>
                <w:rFonts w:ascii="仿宋" w:hAnsi="仿宋" w:eastAsia="仿宋" w:cs="仿宋"/>
                <w:spacing w:val="-5"/>
              </w:rPr>
              <w:t>（有两孔和三孔</w:t>
            </w:r>
            <w:r>
              <w:rPr>
                <w:rFonts w:ascii="仿宋" w:hAnsi="仿宋" w:eastAsia="仿宋" w:cs="仿宋"/>
                <w:spacing w:val="-45"/>
              </w:rPr>
              <w:t>），</w:t>
            </w:r>
            <w:r>
              <w:rPr>
                <w:rFonts w:ascii="仿宋" w:hAnsi="仿宋" w:eastAsia="仿宋" w:cs="仿宋"/>
                <w:spacing w:val="-5"/>
              </w:rPr>
              <w:t>线长</w:t>
            </w:r>
            <w:r>
              <w:rPr>
                <w:spacing w:val="-5"/>
              </w:rPr>
              <w:t>1.8-2</w:t>
            </w:r>
            <w:r>
              <w:rPr>
                <w:rFonts w:ascii="仿宋" w:hAnsi="仿宋" w:eastAsia="仿宋" w:cs="仿宋"/>
                <w:spacing w:val="-5"/>
              </w:rPr>
              <w:t>米</w:t>
            </w:r>
          </w:p>
        </w:tc>
        <w:tc>
          <w:tcPr>
            <w:tcW w:w="708" w:type="dxa"/>
            <w:vAlign w:val="center"/>
          </w:tcPr>
          <w:p>
            <w:pPr>
              <w:spacing w:before="127"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126"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人</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5"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12</w:t>
            </w:r>
          </w:p>
        </w:tc>
        <w:tc>
          <w:tcPr>
            <w:tcW w:w="1865" w:type="dxa"/>
            <w:vAlign w:val="center"/>
          </w:tcPr>
          <w:p>
            <w:pPr>
              <w:spacing w:before="53" w:line="223"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扫把、簸箕</w:t>
            </w:r>
          </w:p>
        </w:tc>
        <w:tc>
          <w:tcPr>
            <w:tcW w:w="4531" w:type="dxa"/>
            <w:vAlign w:val="center"/>
          </w:tcPr>
          <w:p>
            <w:pPr>
              <w:pStyle w:val="82"/>
              <w:spacing w:before="90" w:line="192" w:lineRule="auto"/>
              <w:ind w:left="0" w:leftChars="0" w:firstLine="0" w:firstLineChars="0"/>
              <w:jc w:val="center"/>
            </w:pPr>
            <w:r>
              <w:t>/</w:t>
            </w:r>
          </w:p>
        </w:tc>
        <w:tc>
          <w:tcPr>
            <w:tcW w:w="708" w:type="dxa"/>
            <w:vAlign w:val="center"/>
          </w:tcPr>
          <w:p>
            <w:pPr>
              <w:spacing w:before="53" w:line="226" w:lineRule="auto"/>
              <w:ind w:left="248"/>
              <w:jc w:val="center"/>
              <w:rPr>
                <w:rFonts w:ascii="仿宋" w:hAnsi="仿宋" w:eastAsia="仿宋" w:cs="仿宋"/>
                <w:sz w:val="24"/>
                <w:szCs w:val="24"/>
              </w:rPr>
            </w:pPr>
            <w:r>
              <w:rPr>
                <w:rFonts w:ascii="仿宋" w:hAnsi="仿宋" w:eastAsia="仿宋" w:cs="仿宋"/>
                <w:sz w:val="24"/>
                <w:szCs w:val="24"/>
              </w:rPr>
              <w:t>套</w:t>
            </w:r>
          </w:p>
        </w:tc>
        <w:tc>
          <w:tcPr>
            <w:tcW w:w="1170" w:type="dxa"/>
            <w:vAlign w:val="center"/>
          </w:tcPr>
          <w:p>
            <w:pPr>
              <w:pStyle w:val="82"/>
              <w:spacing w:before="53" w:line="222" w:lineRule="auto"/>
              <w:ind w:left="0" w:leftChars="0" w:firstLine="0" w:firstLineChars="0"/>
              <w:jc w:val="center"/>
              <w:rPr>
                <w:rFonts w:ascii="仿宋" w:hAnsi="仿宋" w:eastAsia="仿宋" w:cs="仿宋"/>
              </w:rPr>
            </w:pPr>
            <w:r>
              <w:rPr>
                <w:spacing w:val="-10"/>
              </w:rPr>
              <w:t>1</w:t>
            </w:r>
            <w:r>
              <w:rPr>
                <w:rFonts w:ascii="仿宋" w:hAnsi="仿宋" w:eastAsia="仿宋" w:cs="仿宋"/>
                <w:spacing w:val="-10"/>
              </w:rPr>
              <w:t>套</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4"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13</w:t>
            </w:r>
          </w:p>
        </w:tc>
        <w:tc>
          <w:tcPr>
            <w:tcW w:w="1865" w:type="dxa"/>
            <w:vAlign w:val="center"/>
          </w:tcPr>
          <w:p>
            <w:pPr>
              <w:spacing w:before="55"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钨极打磨机</w:t>
            </w:r>
          </w:p>
        </w:tc>
        <w:tc>
          <w:tcPr>
            <w:tcW w:w="4531" w:type="dxa"/>
            <w:vAlign w:val="center"/>
          </w:tcPr>
          <w:p>
            <w:pPr>
              <w:pStyle w:val="82"/>
              <w:spacing w:before="89" w:line="192" w:lineRule="auto"/>
              <w:ind w:left="0" w:leftChars="0" w:firstLine="0" w:firstLineChars="0"/>
              <w:jc w:val="center"/>
            </w:pPr>
            <w:r>
              <w:t>/</w:t>
            </w:r>
          </w:p>
        </w:tc>
        <w:tc>
          <w:tcPr>
            <w:tcW w:w="708" w:type="dxa"/>
            <w:vAlign w:val="center"/>
          </w:tcPr>
          <w:p>
            <w:pPr>
              <w:spacing w:before="54" w:line="221" w:lineRule="auto"/>
              <w:ind w:left="270"/>
              <w:jc w:val="center"/>
              <w:rPr>
                <w:rFonts w:ascii="仿宋" w:hAnsi="仿宋" w:eastAsia="仿宋" w:cs="仿宋"/>
                <w:sz w:val="24"/>
                <w:szCs w:val="24"/>
              </w:rPr>
            </w:pPr>
            <w:r>
              <w:rPr>
                <w:rFonts w:ascii="仿宋" w:hAnsi="仿宋" w:eastAsia="仿宋" w:cs="仿宋"/>
                <w:sz w:val="24"/>
                <w:szCs w:val="24"/>
              </w:rPr>
              <w:t>台</w:t>
            </w:r>
          </w:p>
        </w:tc>
        <w:tc>
          <w:tcPr>
            <w:tcW w:w="1170" w:type="dxa"/>
            <w:vAlign w:val="center"/>
          </w:tcPr>
          <w:p>
            <w:pPr>
              <w:pStyle w:val="82"/>
              <w:spacing w:before="54" w:line="221" w:lineRule="auto"/>
              <w:ind w:left="0" w:leftChars="0" w:firstLine="0" w:firstLineChars="0"/>
              <w:jc w:val="center"/>
              <w:rPr>
                <w:rFonts w:ascii="仿宋" w:hAnsi="仿宋" w:eastAsia="仿宋" w:cs="仿宋"/>
              </w:rPr>
            </w:pPr>
            <w:r>
              <w:rPr>
                <w:spacing w:val="-15"/>
              </w:rPr>
              <w:t>1</w:t>
            </w:r>
            <w:r>
              <w:rPr>
                <w:rFonts w:ascii="仿宋" w:hAnsi="仿宋" w:eastAsia="仿宋" w:cs="仿宋"/>
                <w:spacing w:val="-15"/>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5"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14</w:t>
            </w:r>
          </w:p>
        </w:tc>
        <w:tc>
          <w:tcPr>
            <w:tcW w:w="1865" w:type="dxa"/>
            <w:vAlign w:val="center"/>
          </w:tcPr>
          <w:p>
            <w:pPr>
              <w:spacing w:before="53" w:line="221"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13"/>
                <w:sz w:val="24"/>
                <w:szCs w:val="24"/>
              </w:rPr>
              <w:t>台虎钳</w:t>
            </w:r>
          </w:p>
        </w:tc>
        <w:tc>
          <w:tcPr>
            <w:tcW w:w="4531" w:type="dxa"/>
            <w:vAlign w:val="center"/>
          </w:tcPr>
          <w:p>
            <w:pPr>
              <w:spacing w:before="54" w:line="222" w:lineRule="auto"/>
              <w:ind w:left="0" w:leftChars="0" w:firstLine="0" w:firstLineChars="0"/>
              <w:jc w:val="center"/>
              <w:rPr>
                <w:rFonts w:ascii="仿宋" w:hAnsi="仿宋" w:eastAsia="仿宋" w:cs="仿宋"/>
                <w:sz w:val="24"/>
                <w:szCs w:val="24"/>
              </w:rPr>
            </w:pPr>
            <w:r>
              <w:rPr>
                <w:rFonts w:ascii="仿宋" w:hAnsi="仿宋" w:eastAsia="仿宋" w:cs="仿宋"/>
                <w:spacing w:val="-3"/>
                <w:sz w:val="24"/>
                <w:szCs w:val="24"/>
              </w:rPr>
              <w:t>公共评分区，评判用</w:t>
            </w:r>
          </w:p>
        </w:tc>
        <w:tc>
          <w:tcPr>
            <w:tcW w:w="708" w:type="dxa"/>
            <w:vAlign w:val="center"/>
          </w:tcPr>
          <w:p>
            <w:pPr>
              <w:spacing w:before="53" w:line="221" w:lineRule="auto"/>
              <w:ind w:left="270"/>
              <w:jc w:val="center"/>
              <w:rPr>
                <w:rFonts w:ascii="仿宋" w:hAnsi="仿宋" w:eastAsia="仿宋" w:cs="仿宋"/>
                <w:sz w:val="24"/>
                <w:szCs w:val="24"/>
              </w:rPr>
            </w:pPr>
            <w:r>
              <w:rPr>
                <w:rFonts w:ascii="仿宋" w:hAnsi="仿宋" w:eastAsia="仿宋" w:cs="仿宋"/>
                <w:sz w:val="24"/>
                <w:szCs w:val="24"/>
              </w:rPr>
              <w:t>台</w:t>
            </w:r>
          </w:p>
        </w:tc>
        <w:tc>
          <w:tcPr>
            <w:tcW w:w="1170" w:type="dxa"/>
            <w:vAlign w:val="center"/>
          </w:tcPr>
          <w:p>
            <w:pPr>
              <w:pStyle w:val="82"/>
              <w:spacing w:before="53" w:line="221" w:lineRule="auto"/>
              <w:ind w:left="0" w:leftChars="0" w:firstLine="0" w:firstLineChars="0"/>
              <w:jc w:val="center"/>
              <w:rPr>
                <w:rFonts w:ascii="仿宋" w:hAnsi="仿宋" w:eastAsia="仿宋" w:cs="仿宋"/>
              </w:rPr>
            </w:pPr>
            <w:r>
              <w:rPr>
                <w:spacing w:val="-6"/>
              </w:rPr>
              <w:t>5</w:t>
            </w:r>
            <w:r>
              <w:rPr>
                <w:rFonts w:ascii="仿宋" w:hAnsi="仿宋" w:eastAsia="仿宋" w:cs="仿宋"/>
                <w:spacing w:val="-6"/>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63" w:type="dxa"/>
            <w:vAlign w:val="center"/>
          </w:tcPr>
          <w:p>
            <w:pPr>
              <w:pStyle w:val="82"/>
              <w:spacing w:before="193"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15</w:t>
            </w:r>
          </w:p>
        </w:tc>
        <w:tc>
          <w:tcPr>
            <w:tcW w:w="1865" w:type="dxa"/>
            <w:vAlign w:val="center"/>
          </w:tcPr>
          <w:p>
            <w:pPr>
              <w:spacing w:before="150"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焊接面罩</w:t>
            </w:r>
          </w:p>
        </w:tc>
        <w:tc>
          <w:tcPr>
            <w:tcW w:w="4531" w:type="dxa"/>
            <w:vAlign w:val="center"/>
          </w:tcPr>
          <w:p>
            <w:pPr>
              <w:pStyle w:val="82"/>
              <w:spacing w:before="150" w:line="222" w:lineRule="auto"/>
              <w:ind w:left="0" w:leftChars="0" w:firstLine="0" w:firstLineChars="0"/>
              <w:jc w:val="center"/>
              <w:rPr>
                <w:rFonts w:ascii="仿宋" w:hAnsi="仿宋" w:eastAsia="仿宋" w:cs="仿宋"/>
              </w:rPr>
            </w:pPr>
            <w:r>
              <w:rPr>
                <w:spacing w:val="-4"/>
              </w:rPr>
              <w:t>5</w:t>
            </w:r>
            <w:r>
              <w:rPr>
                <w:rFonts w:ascii="仿宋" w:hAnsi="仿宋" w:eastAsia="仿宋" w:cs="仿宋"/>
                <w:spacing w:val="-4"/>
              </w:rPr>
              <w:t>个自动变光面罩、</w:t>
            </w:r>
            <w:r>
              <w:rPr>
                <w:spacing w:val="-4"/>
              </w:rPr>
              <w:t>5</w:t>
            </w:r>
            <w:r>
              <w:rPr>
                <w:rFonts w:ascii="仿宋" w:hAnsi="仿宋" w:eastAsia="仿宋" w:cs="仿宋"/>
                <w:spacing w:val="-4"/>
              </w:rPr>
              <w:t>个手持面罩</w:t>
            </w:r>
          </w:p>
        </w:tc>
        <w:tc>
          <w:tcPr>
            <w:tcW w:w="708" w:type="dxa"/>
            <w:vAlign w:val="center"/>
          </w:tcPr>
          <w:p>
            <w:pPr>
              <w:spacing w:before="151"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151" w:line="223" w:lineRule="auto"/>
              <w:ind w:left="0" w:leftChars="0" w:firstLine="0" w:firstLineChars="0"/>
              <w:jc w:val="center"/>
              <w:rPr>
                <w:rFonts w:ascii="仿宋" w:hAnsi="仿宋" w:eastAsia="仿宋" w:cs="仿宋"/>
              </w:rPr>
            </w:pPr>
            <w:r>
              <w:rPr>
                <w:spacing w:val="-10"/>
              </w:rPr>
              <w:t>10</w:t>
            </w:r>
            <w:r>
              <w:rPr>
                <w:rFonts w:ascii="仿宋" w:hAnsi="仿宋" w:eastAsia="仿宋" w:cs="仿宋"/>
                <w:spacing w:val="-10"/>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6" w:line="188" w:lineRule="auto"/>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16</w:t>
            </w:r>
          </w:p>
        </w:tc>
        <w:tc>
          <w:tcPr>
            <w:tcW w:w="1865" w:type="dxa"/>
            <w:vAlign w:val="center"/>
          </w:tcPr>
          <w:p>
            <w:pPr>
              <w:spacing w:before="54"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5"/>
                <w:sz w:val="24"/>
                <w:szCs w:val="24"/>
              </w:rPr>
              <w:t>打磨面罩</w:t>
            </w:r>
          </w:p>
        </w:tc>
        <w:tc>
          <w:tcPr>
            <w:tcW w:w="4531" w:type="dxa"/>
            <w:vAlign w:val="center"/>
          </w:tcPr>
          <w:p>
            <w:pPr>
              <w:pStyle w:val="82"/>
              <w:spacing w:before="91" w:line="192" w:lineRule="auto"/>
              <w:ind w:left="0" w:leftChars="0" w:firstLine="0" w:firstLineChars="0"/>
              <w:jc w:val="center"/>
            </w:pPr>
            <w:r>
              <w:t>/</w:t>
            </w:r>
          </w:p>
        </w:tc>
        <w:tc>
          <w:tcPr>
            <w:tcW w:w="708" w:type="dxa"/>
            <w:vAlign w:val="center"/>
          </w:tcPr>
          <w:p>
            <w:pPr>
              <w:spacing w:before="54"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pStyle w:val="82"/>
              <w:spacing w:before="54" w:line="223" w:lineRule="auto"/>
              <w:ind w:left="0" w:leftChars="0" w:firstLine="0" w:firstLineChars="0"/>
              <w:jc w:val="center"/>
              <w:rPr>
                <w:rFonts w:ascii="仿宋" w:hAnsi="仿宋" w:eastAsia="仿宋" w:cs="仿宋"/>
              </w:rPr>
            </w:pPr>
            <w:r>
              <w:rPr>
                <w:spacing w:val="-6"/>
              </w:rPr>
              <w:t>5</w:t>
            </w:r>
            <w:r>
              <w:rPr>
                <w:rFonts w:ascii="仿宋" w:hAnsi="仿宋" w:eastAsia="仿宋" w:cs="仿宋"/>
                <w:spacing w:val="-6"/>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63" w:type="dxa"/>
            <w:vAlign w:val="center"/>
          </w:tcPr>
          <w:p>
            <w:pPr>
              <w:pStyle w:val="82"/>
              <w:spacing w:before="95"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17</w:t>
            </w:r>
          </w:p>
        </w:tc>
        <w:tc>
          <w:tcPr>
            <w:tcW w:w="1865" w:type="dxa"/>
            <w:vAlign w:val="center"/>
          </w:tcPr>
          <w:p>
            <w:pPr>
              <w:spacing w:before="56"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8"/>
                <w:sz w:val="24"/>
                <w:szCs w:val="24"/>
              </w:rPr>
              <w:t>钨极</w:t>
            </w:r>
          </w:p>
        </w:tc>
        <w:tc>
          <w:tcPr>
            <w:tcW w:w="4531" w:type="dxa"/>
            <w:vAlign w:val="center"/>
          </w:tcPr>
          <w:p>
            <w:pPr>
              <w:pStyle w:val="82"/>
              <w:spacing w:before="95" w:line="180" w:lineRule="auto"/>
              <w:ind w:left="0" w:leftChars="0" w:firstLine="0" w:firstLineChars="0"/>
              <w:jc w:val="center"/>
            </w:pPr>
            <w:r>
              <w:rPr>
                <w:rFonts w:ascii="仿宋" w:hAnsi="仿宋" w:eastAsia="仿宋" w:cs="仿宋"/>
                <w:spacing w:val="-10"/>
              </w:rPr>
              <w:t>Φ</w:t>
            </w:r>
            <w:r>
              <w:rPr>
                <w:spacing w:val="-10"/>
              </w:rPr>
              <w:t>2.4</w:t>
            </w:r>
          </w:p>
        </w:tc>
        <w:tc>
          <w:tcPr>
            <w:tcW w:w="708" w:type="dxa"/>
            <w:vAlign w:val="center"/>
          </w:tcPr>
          <w:p>
            <w:pPr>
              <w:spacing w:before="55" w:line="229" w:lineRule="auto"/>
              <w:ind w:left="251"/>
              <w:jc w:val="center"/>
              <w:rPr>
                <w:rFonts w:ascii="仿宋" w:hAnsi="仿宋" w:eastAsia="仿宋" w:cs="仿宋"/>
                <w:sz w:val="24"/>
                <w:szCs w:val="24"/>
              </w:rPr>
            </w:pPr>
            <w:r>
              <w:rPr>
                <w:rFonts w:ascii="仿宋" w:hAnsi="仿宋" w:eastAsia="仿宋" w:cs="仿宋"/>
                <w:sz w:val="24"/>
                <w:szCs w:val="24"/>
              </w:rPr>
              <w:t>盒</w:t>
            </w:r>
          </w:p>
        </w:tc>
        <w:tc>
          <w:tcPr>
            <w:tcW w:w="1170" w:type="dxa"/>
            <w:vAlign w:val="center"/>
          </w:tcPr>
          <w:p>
            <w:pPr>
              <w:pStyle w:val="82"/>
              <w:spacing w:before="55" w:line="229" w:lineRule="auto"/>
              <w:ind w:left="0" w:leftChars="0" w:firstLine="0" w:firstLineChars="0"/>
              <w:jc w:val="center"/>
              <w:rPr>
                <w:rFonts w:ascii="仿宋" w:hAnsi="仿宋" w:eastAsia="仿宋" w:cs="仿宋"/>
              </w:rPr>
            </w:pPr>
            <w:r>
              <w:rPr>
                <w:spacing w:val="-5"/>
              </w:rPr>
              <w:t>3</w:t>
            </w:r>
            <w:r>
              <w:rPr>
                <w:rFonts w:ascii="仿宋" w:hAnsi="仿宋" w:eastAsia="仿宋" w:cs="仿宋"/>
                <w:spacing w:val="-5"/>
              </w:rPr>
              <w:t>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763" w:type="dxa"/>
            <w:vAlign w:val="center"/>
          </w:tcPr>
          <w:p>
            <w:pPr>
              <w:pStyle w:val="82"/>
              <w:spacing w:before="236"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18</w:t>
            </w:r>
          </w:p>
        </w:tc>
        <w:tc>
          <w:tcPr>
            <w:tcW w:w="1865" w:type="dxa"/>
            <w:vAlign w:val="center"/>
          </w:tcPr>
          <w:p>
            <w:pPr>
              <w:spacing w:before="76" w:line="187"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6"/>
                <w:sz w:val="24"/>
                <w:szCs w:val="24"/>
              </w:rPr>
              <w:t>切割片</w:t>
            </w:r>
          </w:p>
          <w:p>
            <w:pPr>
              <w:spacing w:line="218"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（带合格证）</w:t>
            </w:r>
          </w:p>
        </w:tc>
        <w:tc>
          <w:tcPr>
            <w:tcW w:w="4531" w:type="dxa"/>
            <w:vAlign w:val="center"/>
          </w:tcPr>
          <w:p>
            <w:pPr>
              <w:pStyle w:val="82"/>
              <w:spacing w:before="78" w:line="203" w:lineRule="auto"/>
              <w:ind w:left="0" w:leftChars="0" w:right="93" w:firstLine="0" w:firstLineChars="0"/>
              <w:jc w:val="center"/>
              <w:rPr>
                <w:rFonts w:ascii="仿宋" w:hAnsi="仿宋" w:eastAsia="仿宋" w:cs="仿宋"/>
              </w:rPr>
            </w:pPr>
            <w:r>
              <w:rPr>
                <w:spacing w:val="-6"/>
              </w:rPr>
              <w:t>100</w:t>
            </w:r>
            <w:r>
              <w:rPr>
                <w:rFonts w:ascii="仿宋" w:hAnsi="仿宋" w:eastAsia="仿宋" w:cs="仿宋"/>
                <w:spacing w:val="-6"/>
              </w:rPr>
              <w:t>型，厚度为</w:t>
            </w:r>
            <w:r>
              <w:rPr>
                <w:spacing w:val="-6"/>
              </w:rPr>
              <w:t>2mm</w:t>
            </w:r>
            <w:r>
              <w:rPr>
                <w:rFonts w:ascii="仿宋" w:hAnsi="仿宋" w:eastAsia="仿宋" w:cs="仿宋"/>
                <w:spacing w:val="-6"/>
              </w:rPr>
              <w:t>和</w:t>
            </w:r>
            <w:r>
              <w:rPr>
                <w:spacing w:val="-6"/>
              </w:rPr>
              <w:t>2.5mm</w:t>
            </w:r>
            <w:r>
              <w:rPr>
                <w:rFonts w:ascii="仿宋" w:hAnsi="仿宋" w:eastAsia="仿宋" w:cs="仿宋"/>
                <w:spacing w:val="-6"/>
              </w:rPr>
              <w:t>，有产品合格证书</w:t>
            </w:r>
          </w:p>
        </w:tc>
        <w:tc>
          <w:tcPr>
            <w:tcW w:w="708" w:type="dxa"/>
            <w:vAlign w:val="center"/>
          </w:tcPr>
          <w:p>
            <w:pPr>
              <w:spacing w:before="196" w:line="223" w:lineRule="auto"/>
              <w:ind w:left="256"/>
              <w:jc w:val="center"/>
              <w:rPr>
                <w:rFonts w:ascii="仿宋" w:hAnsi="仿宋" w:eastAsia="仿宋" w:cs="仿宋"/>
                <w:sz w:val="24"/>
                <w:szCs w:val="24"/>
              </w:rPr>
            </w:pPr>
            <w:r>
              <w:rPr>
                <w:rFonts w:ascii="仿宋" w:hAnsi="仿宋" w:eastAsia="仿宋" w:cs="仿宋"/>
                <w:sz w:val="24"/>
                <w:szCs w:val="24"/>
              </w:rPr>
              <w:t>片</w:t>
            </w:r>
          </w:p>
        </w:tc>
        <w:tc>
          <w:tcPr>
            <w:tcW w:w="1170" w:type="dxa"/>
            <w:vAlign w:val="center"/>
          </w:tcPr>
          <w:p>
            <w:pPr>
              <w:pStyle w:val="82"/>
              <w:spacing w:before="196" w:line="223" w:lineRule="auto"/>
              <w:ind w:left="0" w:leftChars="0" w:firstLine="0" w:firstLineChars="0"/>
              <w:jc w:val="center"/>
              <w:rPr>
                <w:rFonts w:ascii="仿宋" w:hAnsi="仿宋" w:eastAsia="仿宋" w:cs="仿宋"/>
              </w:rPr>
            </w:pPr>
            <w:r>
              <w:rPr>
                <w:rFonts w:ascii="仿宋" w:hAnsi="仿宋" w:eastAsia="仿宋" w:cs="仿宋"/>
                <w:spacing w:val="-8"/>
              </w:rPr>
              <w:t>各</w:t>
            </w:r>
            <w:r>
              <w:rPr>
                <w:spacing w:val="-8"/>
              </w:rPr>
              <w:t>50</w:t>
            </w:r>
            <w:r>
              <w:rPr>
                <w:rFonts w:ascii="仿宋" w:hAnsi="仿宋" w:eastAsia="仿宋" w:cs="仿宋"/>
                <w:spacing w:val="-8"/>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63" w:type="dxa"/>
            <w:vAlign w:val="center"/>
          </w:tcPr>
          <w:p>
            <w:pPr>
              <w:pStyle w:val="82"/>
              <w:spacing w:before="233" w:line="188" w:lineRule="auto"/>
              <w:ind w:left="0" w:leftChars="0" w:firstLine="0" w:firstLineChars="0"/>
              <w:jc w:val="center"/>
              <w:rPr>
                <w:rFonts w:hint="eastAsia" w:ascii="楷体" w:hAnsi="楷体" w:eastAsia="楷体" w:cs="楷体"/>
              </w:rPr>
            </w:pPr>
            <w:r>
              <w:rPr>
                <w:rFonts w:hint="eastAsia" w:ascii="楷体" w:hAnsi="楷体" w:eastAsia="楷体" w:cs="楷体"/>
                <w:spacing w:val="-15"/>
              </w:rPr>
              <w:t>19</w:t>
            </w:r>
          </w:p>
        </w:tc>
        <w:tc>
          <w:tcPr>
            <w:tcW w:w="1865" w:type="dxa"/>
            <w:vAlign w:val="center"/>
          </w:tcPr>
          <w:p>
            <w:pPr>
              <w:spacing w:before="71" w:line="187"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7"/>
                <w:sz w:val="24"/>
                <w:szCs w:val="24"/>
              </w:rPr>
              <w:t>打磨片</w:t>
            </w:r>
          </w:p>
          <w:p>
            <w:pPr>
              <w:spacing w:line="218"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（带合格证）</w:t>
            </w:r>
          </w:p>
        </w:tc>
        <w:tc>
          <w:tcPr>
            <w:tcW w:w="4531" w:type="dxa"/>
            <w:vAlign w:val="center"/>
          </w:tcPr>
          <w:p>
            <w:pPr>
              <w:pStyle w:val="82"/>
              <w:spacing w:before="72" w:line="204" w:lineRule="auto"/>
              <w:ind w:left="0" w:leftChars="0" w:right="33" w:firstLine="0" w:firstLineChars="0"/>
              <w:jc w:val="center"/>
              <w:rPr>
                <w:rFonts w:ascii="仿宋" w:hAnsi="仿宋" w:eastAsia="仿宋" w:cs="仿宋"/>
              </w:rPr>
            </w:pPr>
            <w:r>
              <w:rPr>
                <w:spacing w:val="-6"/>
              </w:rPr>
              <w:t>100</w:t>
            </w:r>
            <w:r>
              <w:rPr>
                <w:rFonts w:ascii="仿宋" w:hAnsi="仿宋" w:eastAsia="仿宋" w:cs="仿宋"/>
                <w:spacing w:val="-6"/>
              </w:rPr>
              <w:t>型，厚度为</w:t>
            </w:r>
            <w:r>
              <w:rPr>
                <w:spacing w:val="-6"/>
              </w:rPr>
              <w:t>3mm</w:t>
            </w:r>
            <w:r>
              <w:rPr>
                <w:rFonts w:ascii="仿宋" w:hAnsi="仿宋" w:eastAsia="仿宋" w:cs="仿宋"/>
                <w:spacing w:val="-6"/>
              </w:rPr>
              <w:t>和</w:t>
            </w:r>
            <w:r>
              <w:rPr>
                <w:spacing w:val="-6"/>
              </w:rPr>
              <w:t>6mm</w:t>
            </w:r>
            <w:r>
              <w:rPr>
                <w:rFonts w:ascii="仿宋" w:hAnsi="仿宋" w:eastAsia="仿宋" w:cs="仿宋"/>
                <w:spacing w:val="-6"/>
              </w:rPr>
              <w:t>，有产品合格</w:t>
            </w:r>
            <w:r>
              <w:rPr>
                <w:rFonts w:ascii="仿宋" w:hAnsi="仿宋" w:eastAsia="仿宋" w:cs="仿宋"/>
                <w:spacing w:val="-8"/>
              </w:rPr>
              <w:t>证书</w:t>
            </w:r>
          </w:p>
        </w:tc>
        <w:tc>
          <w:tcPr>
            <w:tcW w:w="708" w:type="dxa"/>
            <w:vAlign w:val="center"/>
          </w:tcPr>
          <w:p>
            <w:pPr>
              <w:spacing w:before="191" w:line="223" w:lineRule="auto"/>
              <w:ind w:left="256"/>
              <w:jc w:val="center"/>
              <w:rPr>
                <w:rFonts w:ascii="仿宋" w:hAnsi="仿宋" w:eastAsia="仿宋" w:cs="仿宋"/>
                <w:sz w:val="24"/>
                <w:szCs w:val="24"/>
              </w:rPr>
            </w:pPr>
            <w:r>
              <w:rPr>
                <w:rFonts w:ascii="仿宋" w:hAnsi="仿宋" w:eastAsia="仿宋" w:cs="仿宋"/>
                <w:sz w:val="24"/>
                <w:szCs w:val="24"/>
              </w:rPr>
              <w:t>片</w:t>
            </w:r>
          </w:p>
        </w:tc>
        <w:tc>
          <w:tcPr>
            <w:tcW w:w="1170" w:type="dxa"/>
            <w:vAlign w:val="center"/>
          </w:tcPr>
          <w:p>
            <w:pPr>
              <w:pStyle w:val="82"/>
              <w:spacing w:before="191" w:line="223" w:lineRule="auto"/>
              <w:ind w:left="0" w:leftChars="0" w:firstLine="0" w:firstLineChars="0"/>
              <w:jc w:val="center"/>
              <w:rPr>
                <w:rFonts w:ascii="仿宋" w:hAnsi="仿宋" w:eastAsia="仿宋" w:cs="仿宋"/>
              </w:rPr>
            </w:pPr>
            <w:r>
              <w:rPr>
                <w:rFonts w:ascii="仿宋" w:hAnsi="仿宋" w:eastAsia="仿宋" w:cs="仿宋"/>
                <w:spacing w:val="-8"/>
              </w:rPr>
              <w:t>各</w:t>
            </w:r>
            <w:r>
              <w:rPr>
                <w:spacing w:val="-8"/>
              </w:rPr>
              <w:t>50</w:t>
            </w:r>
            <w:r>
              <w:rPr>
                <w:rFonts w:ascii="仿宋" w:hAnsi="仿宋" w:eastAsia="仿宋" w:cs="仿宋"/>
                <w:spacing w:val="-8"/>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63" w:type="dxa"/>
            <w:vAlign w:val="center"/>
          </w:tcPr>
          <w:p>
            <w:pPr>
              <w:pStyle w:val="82"/>
              <w:spacing w:before="235" w:line="188" w:lineRule="auto"/>
              <w:ind w:left="0" w:leftChars="0" w:firstLine="0" w:firstLineChars="0"/>
              <w:jc w:val="center"/>
              <w:rPr>
                <w:rFonts w:hint="eastAsia" w:ascii="楷体" w:hAnsi="楷体" w:eastAsia="楷体" w:cs="楷体"/>
              </w:rPr>
            </w:pPr>
            <w:r>
              <w:rPr>
                <w:rFonts w:hint="eastAsia" w:ascii="楷体" w:hAnsi="楷体" w:eastAsia="楷体" w:cs="楷体"/>
                <w:spacing w:val="-3"/>
              </w:rPr>
              <w:t>20</w:t>
            </w:r>
          </w:p>
        </w:tc>
        <w:tc>
          <w:tcPr>
            <w:tcW w:w="1865" w:type="dxa"/>
            <w:vAlign w:val="center"/>
          </w:tcPr>
          <w:p>
            <w:pPr>
              <w:spacing w:before="73" w:line="187"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7"/>
                <w:sz w:val="24"/>
                <w:szCs w:val="24"/>
              </w:rPr>
              <w:t>打磨片</w:t>
            </w:r>
          </w:p>
          <w:p>
            <w:pPr>
              <w:spacing w:line="218"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4"/>
                <w:sz w:val="24"/>
                <w:szCs w:val="24"/>
              </w:rPr>
              <w:t>（带合格证）</w:t>
            </w:r>
          </w:p>
        </w:tc>
        <w:tc>
          <w:tcPr>
            <w:tcW w:w="4531" w:type="dxa"/>
            <w:vAlign w:val="center"/>
          </w:tcPr>
          <w:p>
            <w:pPr>
              <w:pStyle w:val="82"/>
              <w:spacing w:before="193" w:line="222" w:lineRule="auto"/>
              <w:ind w:left="0" w:leftChars="0" w:firstLine="0" w:firstLineChars="0"/>
              <w:jc w:val="center"/>
              <w:rPr>
                <w:rFonts w:ascii="仿宋" w:hAnsi="仿宋" w:eastAsia="仿宋" w:cs="仿宋"/>
              </w:rPr>
            </w:pPr>
            <w:r>
              <w:rPr>
                <w:spacing w:val="-6"/>
              </w:rPr>
              <w:t>125</w:t>
            </w:r>
            <w:r>
              <w:rPr>
                <w:rFonts w:ascii="仿宋" w:hAnsi="仿宋" w:eastAsia="仿宋" w:cs="仿宋"/>
                <w:spacing w:val="-6"/>
              </w:rPr>
              <w:t>型，厚度为</w:t>
            </w:r>
            <w:r>
              <w:rPr>
                <w:spacing w:val="-6"/>
              </w:rPr>
              <w:t>3mm</w:t>
            </w:r>
            <w:r>
              <w:rPr>
                <w:rFonts w:ascii="仿宋" w:hAnsi="仿宋" w:eastAsia="仿宋" w:cs="仿宋"/>
                <w:spacing w:val="-6"/>
              </w:rPr>
              <w:t>，有产品合格证书</w:t>
            </w:r>
          </w:p>
        </w:tc>
        <w:tc>
          <w:tcPr>
            <w:tcW w:w="708" w:type="dxa"/>
            <w:vAlign w:val="center"/>
          </w:tcPr>
          <w:p>
            <w:pPr>
              <w:spacing w:before="193" w:line="223" w:lineRule="auto"/>
              <w:ind w:left="256"/>
              <w:jc w:val="center"/>
              <w:rPr>
                <w:rFonts w:ascii="仿宋" w:hAnsi="仿宋" w:eastAsia="仿宋" w:cs="仿宋"/>
                <w:sz w:val="24"/>
                <w:szCs w:val="24"/>
              </w:rPr>
            </w:pPr>
            <w:r>
              <w:rPr>
                <w:rFonts w:ascii="仿宋" w:hAnsi="仿宋" w:eastAsia="仿宋" w:cs="仿宋"/>
                <w:sz w:val="24"/>
                <w:szCs w:val="24"/>
              </w:rPr>
              <w:t>片</w:t>
            </w:r>
          </w:p>
        </w:tc>
        <w:tc>
          <w:tcPr>
            <w:tcW w:w="1170" w:type="dxa"/>
            <w:vAlign w:val="center"/>
          </w:tcPr>
          <w:p>
            <w:pPr>
              <w:pStyle w:val="82"/>
              <w:spacing w:before="193" w:line="223" w:lineRule="auto"/>
              <w:ind w:left="0" w:leftChars="0" w:firstLine="0" w:firstLineChars="0"/>
              <w:jc w:val="center"/>
              <w:rPr>
                <w:rFonts w:ascii="仿宋" w:hAnsi="仿宋" w:eastAsia="仿宋" w:cs="仿宋"/>
              </w:rPr>
            </w:pPr>
            <w:r>
              <w:rPr>
                <w:spacing w:val="-4"/>
              </w:rPr>
              <w:t>50</w:t>
            </w:r>
            <w:r>
              <w:rPr>
                <w:rFonts w:ascii="仿宋" w:hAnsi="仿宋" w:eastAsia="仿宋" w:cs="仿宋"/>
                <w:spacing w:val="-4"/>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69" w:line="188" w:lineRule="auto"/>
              <w:ind w:left="0" w:leftChars="0" w:firstLine="0" w:firstLineChars="0"/>
              <w:jc w:val="center"/>
              <w:rPr>
                <w:rFonts w:hint="eastAsia" w:ascii="楷体" w:hAnsi="楷体" w:eastAsia="楷体" w:cs="楷体"/>
              </w:rPr>
            </w:pPr>
            <w:r>
              <w:rPr>
                <w:rFonts w:hint="eastAsia" w:ascii="楷体" w:hAnsi="楷体" w:eastAsia="楷体" w:cs="楷体"/>
                <w:spacing w:val="-3"/>
              </w:rPr>
              <w:t>21</w:t>
            </w:r>
          </w:p>
        </w:tc>
        <w:tc>
          <w:tcPr>
            <w:tcW w:w="1865" w:type="dxa"/>
            <w:vAlign w:val="center"/>
          </w:tcPr>
          <w:p>
            <w:pPr>
              <w:spacing w:before="78" w:line="222"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pacing w:val="-8"/>
                <w:sz w:val="24"/>
                <w:szCs w:val="24"/>
              </w:rPr>
              <w:t>碗刷</w:t>
            </w:r>
          </w:p>
        </w:tc>
        <w:tc>
          <w:tcPr>
            <w:tcW w:w="4531" w:type="dxa"/>
            <w:vAlign w:val="center"/>
          </w:tcPr>
          <w:p>
            <w:pPr>
              <w:pStyle w:val="82"/>
              <w:spacing w:before="229" w:line="203" w:lineRule="auto"/>
              <w:ind w:left="0" w:leftChars="0" w:right="19" w:firstLine="0" w:firstLineChars="0"/>
              <w:jc w:val="center"/>
              <w:rPr>
                <w:rFonts w:ascii="仿宋" w:hAnsi="仿宋" w:eastAsia="仿宋" w:cs="仿宋"/>
              </w:rPr>
            </w:pPr>
            <w:r>
              <w:rPr>
                <w:rFonts w:ascii="仿宋" w:hAnsi="仿宋" w:eastAsia="仿宋" w:cs="仿宋"/>
                <w:spacing w:val="-6"/>
              </w:rPr>
              <w:t>包括碳钢丝、不锈钢丝、铜丝等材质，适合</w:t>
            </w:r>
            <w:r>
              <w:rPr>
                <w:spacing w:val="-8"/>
              </w:rPr>
              <w:t>100</w:t>
            </w:r>
            <w:r>
              <w:rPr>
                <w:rFonts w:ascii="仿宋" w:hAnsi="仿宋" w:eastAsia="仿宋" w:cs="仿宋"/>
                <w:spacing w:val="-8"/>
              </w:rPr>
              <w:t>型角磨机</w:t>
            </w:r>
          </w:p>
        </w:tc>
        <w:tc>
          <w:tcPr>
            <w:tcW w:w="708" w:type="dxa"/>
            <w:vAlign w:val="center"/>
          </w:tcPr>
          <w:p>
            <w:pPr>
              <w:spacing w:line="269" w:lineRule="auto"/>
              <w:jc w:val="center"/>
              <w:rPr>
                <w:rFonts w:ascii="Arial"/>
                <w:sz w:val="21"/>
              </w:rPr>
            </w:pPr>
          </w:p>
          <w:p>
            <w:pPr>
              <w:spacing w:before="78" w:line="223" w:lineRule="auto"/>
              <w:ind w:left="248"/>
              <w:jc w:val="center"/>
              <w:rPr>
                <w:rFonts w:ascii="仿宋" w:hAnsi="仿宋" w:eastAsia="仿宋" w:cs="仿宋"/>
                <w:sz w:val="24"/>
                <w:szCs w:val="24"/>
              </w:rPr>
            </w:pPr>
            <w:r>
              <w:rPr>
                <w:rFonts w:ascii="仿宋" w:hAnsi="仿宋" w:eastAsia="仿宋" w:cs="仿宋"/>
                <w:sz w:val="24"/>
                <w:szCs w:val="24"/>
              </w:rPr>
              <w:t>个</w:t>
            </w:r>
          </w:p>
        </w:tc>
        <w:tc>
          <w:tcPr>
            <w:tcW w:w="1170" w:type="dxa"/>
            <w:vAlign w:val="center"/>
          </w:tcPr>
          <w:p>
            <w:pPr>
              <w:spacing w:line="269" w:lineRule="auto"/>
              <w:jc w:val="center"/>
              <w:rPr>
                <w:rFonts w:ascii="Arial"/>
                <w:sz w:val="21"/>
              </w:rPr>
            </w:pPr>
          </w:p>
          <w:p>
            <w:pPr>
              <w:pStyle w:val="82"/>
              <w:spacing w:before="78" w:line="223" w:lineRule="auto"/>
              <w:ind w:left="0" w:leftChars="0" w:firstLine="0" w:firstLineChars="0"/>
              <w:jc w:val="center"/>
              <w:rPr>
                <w:rFonts w:ascii="仿宋" w:hAnsi="仿宋" w:eastAsia="仿宋" w:cs="仿宋"/>
              </w:rPr>
            </w:pPr>
            <w:r>
              <w:rPr>
                <w:rFonts w:ascii="仿宋" w:hAnsi="仿宋" w:eastAsia="仿宋" w:cs="仿宋"/>
                <w:spacing w:val="-6"/>
              </w:rPr>
              <w:t>各</w:t>
            </w:r>
            <w:r>
              <w:rPr>
                <w:spacing w:val="-6"/>
              </w:rPr>
              <w:t>20</w:t>
            </w:r>
            <w:r>
              <w:rPr>
                <w:rFonts w:ascii="仿宋" w:hAnsi="仿宋" w:eastAsia="仿宋" w:cs="仿宋"/>
                <w:spacing w:val="-6"/>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114"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22</w:t>
            </w:r>
          </w:p>
        </w:tc>
        <w:tc>
          <w:tcPr>
            <w:tcW w:w="1865" w:type="dxa"/>
            <w:vAlign w:val="center"/>
          </w:tcPr>
          <w:p>
            <w:pPr>
              <w:spacing w:before="73"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4"/>
                <w:sz w:val="24"/>
                <w:szCs w:val="24"/>
              </w:rPr>
              <w:t>喷嘴</w:t>
            </w:r>
          </w:p>
        </w:tc>
        <w:tc>
          <w:tcPr>
            <w:tcW w:w="4531" w:type="dxa"/>
            <w:vAlign w:val="center"/>
          </w:tcPr>
          <w:p>
            <w:pPr>
              <w:pStyle w:val="82"/>
              <w:spacing w:before="73" w:line="222" w:lineRule="auto"/>
              <w:ind w:left="0" w:leftChars="0" w:firstLine="0" w:firstLineChars="0"/>
              <w:jc w:val="center"/>
              <w:rPr>
                <w:rFonts w:ascii="Times New Roman" w:hAnsi="Times New Roman" w:eastAsia="Times New Roman" w:cs="Times New Roman"/>
                <w:kern w:val="2"/>
                <w:sz w:val="24"/>
                <w:szCs w:val="24"/>
                <w:lang w:val="en-US" w:eastAsia="en-US" w:bidi="ar-SA"/>
              </w:rPr>
            </w:pPr>
            <w:r>
              <w:rPr>
                <w:rFonts w:ascii="仿宋" w:hAnsi="仿宋" w:eastAsia="仿宋" w:cs="仿宋"/>
                <w:spacing w:val="-4"/>
              </w:rPr>
              <w:t>氩弧焊陶瓷喷嘴</w:t>
            </w:r>
            <w:r>
              <w:rPr>
                <w:spacing w:val="-4"/>
              </w:rPr>
              <w:t>6#</w:t>
            </w:r>
          </w:p>
        </w:tc>
        <w:tc>
          <w:tcPr>
            <w:tcW w:w="708" w:type="dxa"/>
            <w:vAlign w:val="center"/>
          </w:tcPr>
          <w:p>
            <w:pPr>
              <w:spacing w:before="73" w:line="223" w:lineRule="auto"/>
              <w:ind w:left="248"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个</w:t>
            </w:r>
          </w:p>
        </w:tc>
        <w:tc>
          <w:tcPr>
            <w:tcW w:w="1170" w:type="dxa"/>
            <w:vAlign w:val="center"/>
          </w:tcPr>
          <w:p>
            <w:pPr>
              <w:pStyle w:val="82"/>
              <w:spacing w:before="73" w:line="223" w:lineRule="auto"/>
              <w:ind w:left="0" w:leftChars="0" w:firstLine="0" w:firstLineChars="0"/>
              <w:jc w:val="center"/>
              <w:rPr>
                <w:rFonts w:ascii="仿宋" w:hAnsi="仿宋" w:eastAsia="仿宋" w:cs="仿宋"/>
                <w:kern w:val="2"/>
                <w:sz w:val="24"/>
                <w:szCs w:val="24"/>
                <w:lang w:val="en-US" w:eastAsia="en-US" w:bidi="ar-SA"/>
              </w:rPr>
            </w:pPr>
            <w:r>
              <w:rPr>
                <w:spacing w:val="-10"/>
              </w:rPr>
              <w:t>10</w:t>
            </w:r>
            <w:r>
              <w:rPr>
                <w:rFonts w:ascii="仿宋" w:hAnsi="仿宋" w:eastAsia="仿宋" w:cs="仿宋"/>
                <w:spacing w:val="-10"/>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91"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23</w:t>
            </w:r>
          </w:p>
        </w:tc>
        <w:tc>
          <w:tcPr>
            <w:tcW w:w="1865" w:type="dxa"/>
            <w:vAlign w:val="center"/>
          </w:tcPr>
          <w:p>
            <w:pPr>
              <w:spacing w:before="52"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3"/>
                <w:sz w:val="24"/>
                <w:szCs w:val="24"/>
              </w:rPr>
              <w:t>铜喷嘴等备件</w:t>
            </w:r>
          </w:p>
        </w:tc>
        <w:tc>
          <w:tcPr>
            <w:tcW w:w="4531" w:type="dxa"/>
            <w:vAlign w:val="center"/>
          </w:tcPr>
          <w:p>
            <w:pPr>
              <w:pStyle w:val="82"/>
              <w:spacing w:before="87" w:line="192" w:lineRule="auto"/>
              <w:ind w:left="0" w:leftChars="0" w:firstLine="0" w:firstLineChars="0"/>
              <w:jc w:val="center"/>
              <w:rPr>
                <w:rFonts w:ascii="Times New Roman" w:hAnsi="Times New Roman" w:eastAsia="Times New Roman" w:cs="Times New Roman"/>
                <w:kern w:val="2"/>
                <w:sz w:val="24"/>
                <w:szCs w:val="24"/>
                <w:lang w:val="en-US" w:eastAsia="en-US" w:bidi="ar-SA"/>
              </w:rPr>
            </w:pPr>
            <w:r>
              <w:t>/</w:t>
            </w:r>
          </w:p>
        </w:tc>
        <w:tc>
          <w:tcPr>
            <w:tcW w:w="708" w:type="dxa"/>
            <w:vAlign w:val="center"/>
          </w:tcPr>
          <w:p>
            <w:pPr>
              <w:spacing w:before="52" w:line="223" w:lineRule="auto"/>
              <w:ind w:left="248"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个</w:t>
            </w:r>
          </w:p>
        </w:tc>
        <w:tc>
          <w:tcPr>
            <w:tcW w:w="1170" w:type="dxa"/>
            <w:vAlign w:val="center"/>
          </w:tcPr>
          <w:p>
            <w:pPr>
              <w:pStyle w:val="82"/>
              <w:spacing w:before="52" w:line="223" w:lineRule="auto"/>
              <w:ind w:left="0" w:leftChars="0" w:firstLine="0" w:firstLineChars="0"/>
              <w:jc w:val="center"/>
              <w:rPr>
                <w:rFonts w:ascii="仿宋" w:hAnsi="仿宋" w:eastAsia="仿宋" w:cs="仿宋"/>
                <w:kern w:val="2"/>
                <w:sz w:val="24"/>
                <w:szCs w:val="24"/>
                <w:lang w:val="en-US" w:eastAsia="en-US" w:bidi="ar-SA"/>
              </w:rPr>
            </w:pPr>
            <w:r>
              <w:rPr>
                <w:spacing w:val="-10"/>
              </w:rPr>
              <w:t>10</w:t>
            </w:r>
            <w:r>
              <w:rPr>
                <w:rFonts w:ascii="仿宋" w:hAnsi="仿宋" w:eastAsia="仿宋" w:cs="仿宋"/>
                <w:spacing w:val="-10"/>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171"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24</w:t>
            </w:r>
          </w:p>
        </w:tc>
        <w:tc>
          <w:tcPr>
            <w:tcW w:w="1865" w:type="dxa"/>
            <w:vAlign w:val="center"/>
          </w:tcPr>
          <w:p>
            <w:pPr>
              <w:spacing w:before="131"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导电嘴</w:t>
            </w:r>
          </w:p>
        </w:tc>
        <w:tc>
          <w:tcPr>
            <w:tcW w:w="4531" w:type="dxa"/>
            <w:vAlign w:val="center"/>
          </w:tcPr>
          <w:p>
            <w:pPr>
              <w:pStyle w:val="82"/>
              <w:spacing w:before="132" w:line="235" w:lineRule="auto"/>
              <w:ind w:left="0" w:leftChars="0" w:firstLine="0" w:firstLineChars="0"/>
              <w:jc w:val="center"/>
              <w:rPr>
                <w:rFonts w:ascii="Times New Roman" w:hAnsi="Times New Roman" w:eastAsia="Times New Roman" w:cs="Times New Roman"/>
                <w:kern w:val="2"/>
                <w:sz w:val="24"/>
                <w:szCs w:val="24"/>
                <w:lang w:val="en-US" w:eastAsia="en-US" w:bidi="ar-SA"/>
              </w:rPr>
            </w:pPr>
            <w:r>
              <w:rPr>
                <w:rFonts w:ascii="仿宋" w:hAnsi="仿宋" w:eastAsia="仿宋" w:cs="仿宋"/>
                <w:spacing w:val="-6"/>
              </w:rPr>
              <w:t>φ</w:t>
            </w:r>
            <w:r>
              <w:rPr>
                <w:spacing w:val="-6"/>
              </w:rPr>
              <w:t>1.2</w:t>
            </w:r>
            <w:r>
              <w:rPr>
                <w:rFonts w:ascii="仿宋" w:hAnsi="仿宋" w:eastAsia="仿宋" w:cs="仿宋"/>
                <w:spacing w:val="-6"/>
              </w:rPr>
              <w:t>×</w:t>
            </w:r>
            <w:r>
              <w:rPr>
                <w:spacing w:val="-6"/>
              </w:rPr>
              <w:t>L45mm</w:t>
            </w:r>
          </w:p>
        </w:tc>
        <w:tc>
          <w:tcPr>
            <w:tcW w:w="708" w:type="dxa"/>
            <w:vAlign w:val="center"/>
          </w:tcPr>
          <w:p>
            <w:pPr>
              <w:spacing w:before="131" w:line="223" w:lineRule="auto"/>
              <w:ind w:left="248"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个</w:t>
            </w:r>
          </w:p>
        </w:tc>
        <w:tc>
          <w:tcPr>
            <w:tcW w:w="1170" w:type="dxa"/>
            <w:vAlign w:val="center"/>
          </w:tcPr>
          <w:p>
            <w:pPr>
              <w:pStyle w:val="82"/>
              <w:spacing w:before="131" w:line="223" w:lineRule="auto"/>
              <w:ind w:left="0" w:leftChars="0" w:firstLine="0" w:firstLineChars="0"/>
              <w:jc w:val="center"/>
              <w:rPr>
                <w:rFonts w:ascii="仿宋" w:hAnsi="仿宋" w:eastAsia="仿宋" w:cs="仿宋"/>
                <w:kern w:val="2"/>
                <w:sz w:val="24"/>
                <w:szCs w:val="24"/>
                <w:lang w:val="en-US" w:eastAsia="en-US" w:bidi="ar-SA"/>
              </w:rPr>
            </w:pPr>
            <w:r>
              <w:rPr>
                <w:spacing w:val="-4"/>
              </w:rPr>
              <w:t>50</w:t>
            </w:r>
            <w:r>
              <w:rPr>
                <w:rFonts w:ascii="仿宋" w:hAnsi="仿宋" w:eastAsia="仿宋" w:cs="仿宋"/>
                <w:spacing w:val="-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177"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25</w:t>
            </w:r>
          </w:p>
        </w:tc>
        <w:tc>
          <w:tcPr>
            <w:tcW w:w="1865" w:type="dxa"/>
            <w:vAlign w:val="center"/>
          </w:tcPr>
          <w:p>
            <w:pPr>
              <w:spacing w:before="134"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4"/>
                <w:sz w:val="24"/>
                <w:szCs w:val="24"/>
              </w:rPr>
              <w:t>焊接口罩</w:t>
            </w:r>
          </w:p>
        </w:tc>
        <w:tc>
          <w:tcPr>
            <w:tcW w:w="4531" w:type="dxa"/>
            <w:vAlign w:val="center"/>
          </w:tcPr>
          <w:p>
            <w:pPr>
              <w:pStyle w:val="82"/>
              <w:spacing w:before="172" w:line="192" w:lineRule="auto"/>
              <w:ind w:left="0" w:leftChars="0" w:firstLine="0" w:firstLineChars="0"/>
              <w:jc w:val="center"/>
              <w:rPr>
                <w:rFonts w:ascii="Times New Roman" w:hAnsi="Times New Roman" w:eastAsia="Times New Roman" w:cs="Times New Roman"/>
                <w:kern w:val="2"/>
                <w:sz w:val="24"/>
                <w:szCs w:val="24"/>
                <w:lang w:val="en-US" w:eastAsia="en-US" w:bidi="ar-SA"/>
              </w:rPr>
            </w:pPr>
            <w:r>
              <w:t>/</w:t>
            </w:r>
          </w:p>
        </w:tc>
        <w:tc>
          <w:tcPr>
            <w:tcW w:w="708" w:type="dxa"/>
            <w:vAlign w:val="center"/>
          </w:tcPr>
          <w:p>
            <w:pPr>
              <w:spacing w:before="136" w:line="224" w:lineRule="auto"/>
              <w:ind w:left="254"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副</w:t>
            </w:r>
          </w:p>
        </w:tc>
        <w:tc>
          <w:tcPr>
            <w:tcW w:w="1170" w:type="dxa"/>
            <w:vAlign w:val="center"/>
          </w:tcPr>
          <w:p>
            <w:pPr>
              <w:pStyle w:val="82"/>
              <w:spacing w:before="136" w:line="224" w:lineRule="auto"/>
              <w:ind w:left="0" w:leftChars="0" w:firstLine="0" w:firstLineChars="0"/>
              <w:jc w:val="center"/>
              <w:rPr>
                <w:rFonts w:ascii="仿宋" w:hAnsi="仿宋" w:eastAsia="仿宋" w:cs="仿宋"/>
                <w:kern w:val="2"/>
                <w:sz w:val="24"/>
                <w:szCs w:val="24"/>
                <w:lang w:val="en-US" w:eastAsia="en-US" w:bidi="ar-SA"/>
              </w:rPr>
            </w:pPr>
            <w:r>
              <w:rPr>
                <w:spacing w:val="-3"/>
              </w:rPr>
              <w:t>2</w:t>
            </w:r>
            <w:r>
              <w:rPr>
                <w:rFonts w:ascii="仿宋" w:hAnsi="仿宋" w:eastAsia="仿宋" w:cs="仿宋"/>
                <w:spacing w:val="-3"/>
              </w:rPr>
              <w:t>副</w:t>
            </w:r>
            <w:r>
              <w:rPr>
                <w:spacing w:val="-3"/>
              </w:rPr>
              <w:t>/</w:t>
            </w:r>
            <w:r>
              <w:rPr>
                <w:rFonts w:ascii="仿宋" w:hAnsi="仿宋" w:eastAsia="仿宋" w:cs="仿宋"/>
                <w:spacing w:val="-3"/>
              </w:rPr>
              <w:t>人</w:t>
            </w:r>
            <w:r>
              <w:rPr>
                <w:spacing w:val="-3"/>
              </w:rPr>
              <w:t>*</w:t>
            </w:r>
            <w:r>
              <w:rPr>
                <w:rFonts w:ascii="仿宋" w:hAnsi="仿宋" w:eastAsia="仿宋" w:cs="仿宋"/>
                <w:spacing w:val="-3"/>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94"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26</w:t>
            </w:r>
          </w:p>
        </w:tc>
        <w:tc>
          <w:tcPr>
            <w:tcW w:w="1865" w:type="dxa"/>
            <w:vAlign w:val="center"/>
          </w:tcPr>
          <w:p>
            <w:pPr>
              <w:spacing w:before="55"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1"/>
                <w:sz w:val="24"/>
                <w:szCs w:val="24"/>
              </w:rPr>
              <w:t>电焊手套</w:t>
            </w:r>
          </w:p>
        </w:tc>
        <w:tc>
          <w:tcPr>
            <w:tcW w:w="4531" w:type="dxa"/>
            <w:vAlign w:val="center"/>
          </w:tcPr>
          <w:p>
            <w:pPr>
              <w:pStyle w:val="82"/>
              <w:spacing w:before="90" w:line="192" w:lineRule="auto"/>
              <w:ind w:left="0" w:leftChars="0" w:firstLine="0" w:firstLineChars="0"/>
              <w:jc w:val="center"/>
              <w:rPr>
                <w:rFonts w:ascii="Times New Roman" w:hAnsi="Times New Roman" w:eastAsia="Times New Roman" w:cs="Times New Roman"/>
                <w:kern w:val="2"/>
                <w:sz w:val="24"/>
                <w:szCs w:val="24"/>
                <w:lang w:val="en-US" w:eastAsia="en-US" w:bidi="ar-SA"/>
              </w:rPr>
            </w:pPr>
            <w:r>
              <w:t>/</w:t>
            </w:r>
          </w:p>
        </w:tc>
        <w:tc>
          <w:tcPr>
            <w:tcW w:w="708" w:type="dxa"/>
            <w:vAlign w:val="center"/>
          </w:tcPr>
          <w:p>
            <w:pPr>
              <w:spacing w:before="56" w:line="224" w:lineRule="auto"/>
              <w:ind w:left="254"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副</w:t>
            </w:r>
          </w:p>
        </w:tc>
        <w:tc>
          <w:tcPr>
            <w:tcW w:w="1170" w:type="dxa"/>
            <w:vAlign w:val="center"/>
          </w:tcPr>
          <w:p>
            <w:pPr>
              <w:pStyle w:val="82"/>
              <w:spacing w:before="56" w:line="224" w:lineRule="auto"/>
              <w:ind w:left="0" w:leftChars="0" w:firstLine="0" w:firstLineChars="0"/>
              <w:jc w:val="center"/>
              <w:rPr>
                <w:rFonts w:ascii="仿宋" w:hAnsi="仿宋" w:eastAsia="仿宋" w:cs="仿宋"/>
                <w:kern w:val="2"/>
                <w:sz w:val="24"/>
                <w:szCs w:val="24"/>
                <w:lang w:val="en-US" w:eastAsia="en-US" w:bidi="ar-SA"/>
              </w:rPr>
            </w:pPr>
            <w:r>
              <w:rPr>
                <w:spacing w:val="-10"/>
              </w:rPr>
              <w:t>10</w:t>
            </w:r>
            <w:r>
              <w:rPr>
                <w:rFonts w:ascii="仿宋" w:hAnsi="仿宋" w:eastAsia="仿宋" w:cs="仿宋"/>
                <w:spacing w:val="-10"/>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97"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27</w:t>
            </w:r>
          </w:p>
        </w:tc>
        <w:tc>
          <w:tcPr>
            <w:tcW w:w="1865" w:type="dxa"/>
            <w:vAlign w:val="center"/>
          </w:tcPr>
          <w:p>
            <w:pPr>
              <w:spacing w:before="54"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消防器材</w:t>
            </w:r>
          </w:p>
        </w:tc>
        <w:tc>
          <w:tcPr>
            <w:tcW w:w="4531" w:type="dxa"/>
            <w:vAlign w:val="center"/>
          </w:tcPr>
          <w:p>
            <w:pPr>
              <w:ind w:firstLine="420" w:firstLineChars="200"/>
              <w:jc w:val="center"/>
              <w:rPr>
                <w:rFonts w:ascii="Arial" w:hAnsi="Times New Roman" w:eastAsia="仿宋" w:cstheme="minorBidi"/>
                <w:kern w:val="2"/>
                <w:sz w:val="21"/>
                <w:szCs w:val="24"/>
                <w:lang w:val="en-US" w:eastAsia="zh-CN" w:bidi="ar-SA"/>
              </w:rPr>
            </w:pPr>
          </w:p>
        </w:tc>
        <w:tc>
          <w:tcPr>
            <w:tcW w:w="708" w:type="dxa"/>
            <w:vAlign w:val="center"/>
          </w:tcPr>
          <w:p>
            <w:pPr>
              <w:spacing w:before="55" w:line="223" w:lineRule="auto"/>
              <w:ind w:left="0" w:leftChars="0" w:firstLine="0" w:firstLineChars="0"/>
              <w:jc w:val="center"/>
              <w:rPr>
                <w:rFonts w:ascii="仿宋" w:hAnsi="仿宋" w:eastAsia="仿宋" w:cs="仿宋"/>
                <w:kern w:val="2"/>
                <w:sz w:val="24"/>
                <w:szCs w:val="24"/>
                <w:lang w:val="en-US" w:eastAsia="zh-CN" w:bidi="ar-SA"/>
              </w:rPr>
            </w:pPr>
            <w:r>
              <w:rPr>
                <w:rFonts w:ascii="仿宋" w:hAnsi="仿宋" w:eastAsia="仿宋" w:cs="仿宋"/>
                <w:spacing w:val="-8"/>
                <w:sz w:val="24"/>
                <w:szCs w:val="24"/>
              </w:rPr>
              <w:t>若干</w:t>
            </w:r>
          </w:p>
        </w:tc>
        <w:tc>
          <w:tcPr>
            <w:tcW w:w="1170" w:type="dxa"/>
            <w:vAlign w:val="center"/>
          </w:tcPr>
          <w:p>
            <w:pPr>
              <w:ind w:firstLine="420" w:firstLineChars="200"/>
              <w:jc w:val="center"/>
              <w:rPr>
                <w:rFonts w:ascii="Arial" w:hAnsi="Times New Roman" w:eastAsia="仿宋" w:cstheme="minorBidi"/>
                <w:kern w:val="2"/>
                <w:sz w:val="21"/>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231"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lang w:val="en-US" w:eastAsia="zh-CN"/>
              </w:rPr>
              <w:t>2</w:t>
            </w:r>
            <w:r>
              <w:rPr>
                <w:rFonts w:hint="eastAsia" w:ascii="楷体" w:hAnsi="楷体" w:eastAsia="楷体" w:cs="楷体"/>
                <w:spacing w:val="-3"/>
              </w:rPr>
              <w:t>8</w:t>
            </w:r>
          </w:p>
        </w:tc>
        <w:tc>
          <w:tcPr>
            <w:tcW w:w="1865" w:type="dxa"/>
            <w:vAlign w:val="center"/>
          </w:tcPr>
          <w:p>
            <w:pPr>
              <w:spacing w:before="189"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5"/>
                <w:sz w:val="24"/>
                <w:szCs w:val="24"/>
              </w:rPr>
              <w:t>工位摄像头</w:t>
            </w:r>
          </w:p>
        </w:tc>
        <w:tc>
          <w:tcPr>
            <w:tcW w:w="4531" w:type="dxa"/>
            <w:vAlign w:val="center"/>
          </w:tcPr>
          <w:p>
            <w:pPr>
              <w:spacing w:before="189" w:line="222" w:lineRule="auto"/>
              <w:ind w:left="0" w:leftChars="0" w:firstLine="0" w:firstLineChars="0"/>
              <w:jc w:val="center"/>
              <w:rPr>
                <w:rFonts w:ascii="仿宋" w:hAnsi="仿宋" w:eastAsia="仿宋" w:cs="仿宋"/>
                <w:kern w:val="2"/>
                <w:sz w:val="24"/>
                <w:szCs w:val="24"/>
                <w:lang w:val="en-US" w:eastAsia="zh-CN" w:bidi="ar-SA"/>
              </w:rPr>
            </w:pPr>
            <w:r>
              <w:rPr>
                <w:rFonts w:ascii="仿宋" w:hAnsi="仿宋" w:eastAsia="仿宋" w:cs="仿宋"/>
                <w:spacing w:val="-2"/>
                <w:sz w:val="24"/>
                <w:szCs w:val="24"/>
              </w:rPr>
              <w:t>摆放位置是否合理</w:t>
            </w:r>
          </w:p>
        </w:tc>
        <w:tc>
          <w:tcPr>
            <w:tcW w:w="708" w:type="dxa"/>
            <w:vAlign w:val="center"/>
          </w:tcPr>
          <w:p>
            <w:pPr>
              <w:spacing w:before="189" w:line="226" w:lineRule="auto"/>
              <w:ind w:left="248" w:leftChars="0" w:firstLine="480" w:firstLineChars="200"/>
              <w:jc w:val="center"/>
              <w:rPr>
                <w:rFonts w:ascii="仿宋" w:hAnsi="仿宋" w:eastAsia="仿宋" w:cs="仿宋"/>
                <w:kern w:val="2"/>
                <w:sz w:val="24"/>
                <w:szCs w:val="24"/>
                <w:lang w:val="en-US" w:eastAsia="zh-CN" w:bidi="ar-SA"/>
              </w:rPr>
            </w:pPr>
            <w:r>
              <w:rPr>
                <w:rFonts w:ascii="仿宋" w:hAnsi="仿宋" w:eastAsia="仿宋" w:cs="仿宋"/>
                <w:sz w:val="24"/>
                <w:szCs w:val="24"/>
              </w:rPr>
              <w:t>套</w:t>
            </w:r>
          </w:p>
        </w:tc>
        <w:tc>
          <w:tcPr>
            <w:tcW w:w="1170" w:type="dxa"/>
            <w:vAlign w:val="center"/>
          </w:tcPr>
          <w:p>
            <w:pPr>
              <w:pStyle w:val="82"/>
              <w:spacing w:before="189" w:line="222" w:lineRule="auto"/>
              <w:ind w:left="0" w:leftChars="0" w:firstLine="0" w:firstLineChars="0"/>
              <w:jc w:val="center"/>
              <w:rPr>
                <w:rFonts w:ascii="仿宋" w:hAnsi="仿宋" w:eastAsia="仿宋" w:cs="仿宋"/>
                <w:kern w:val="2"/>
                <w:sz w:val="24"/>
                <w:szCs w:val="24"/>
                <w:lang w:val="en-US" w:eastAsia="en-US" w:bidi="ar-SA"/>
              </w:rPr>
            </w:pPr>
            <w:r>
              <w:rPr>
                <w:spacing w:val="-10"/>
              </w:rPr>
              <w:t>1</w:t>
            </w:r>
            <w:r>
              <w:rPr>
                <w:rFonts w:ascii="仿宋" w:hAnsi="仿宋" w:eastAsia="仿宋" w:cs="仿宋"/>
                <w:spacing w:val="-10"/>
              </w:rPr>
              <w:t>套</w:t>
            </w:r>
            <w:r>
              <w:rPr>
                <w:spacing w:val="-10"/>
              </w:rPr>
              <w:t>/</w:t>
            </w:r>
            <w:r>
              <w:rPr>
                <w:rFonts w:ascii="仿宋" w:hAnsi="仿宋" w:eastAsia="仿宋" w:cs="仿宋"/>
                <w:spacing w:val="-10"/>
              </w:rPr>
              <w:t>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63" w:type="dxa"/>
            <w:vAlign w:val="center"/>
          </w:tcPr>
          <w:p>
            <w:pPr>
              <w:pStyle w:val="82"/>
              <w:spacing w:before="69" w:line="188" w:lineRule="auto"/>
              <w:ind w:left="0" w:leftChars="0" w:firstLine="0" w:firstLineChars="0"/>
              <w:jc w:val="center"/>
              <w:rPr>
                <w:rFonts w:hint="eastAsia" w:ascii="楷体" w:hAnsi="楷体" w:eastAsia="楷体" w:cs="楷体"/>
                <w:kern w:val="2"/>
                <w:sz w:val="24"/>
                <w:szCs w:val="24"/>
                <w:lang w:val="en-US" w:eastAsia="en-US" w:bidi="ar-SA"/>
              </w:rPr>
            </w:pPr>
            <w:r>
              <w:rPr>
                <w:rFonts w:hint="eastAsia" w:ascii="楷体" w:hAnsi="楷体" w:eastAsia="楷体" w:cs="楷体"/>
                <w:spacing w:val="-3"/>
              </w:rPr>
              <w:t>29</w:t>
            </w:r>
          </w:p>
        </w:tc>
        <w:tc>
          <w:tcPr>
            <w:tcW w:w="1865" w:type="dxa"/>
            <w:vAlign w:val="center"/>
          </w:tcPr>
          <w:p>
            <w:pPr>
              <w:spacing w:before="78"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3"/>
                <w:sz w:val="24"/>
                <w:szCs w:val="24"/>
              </w:rPr>
              <w:t>焊材库其他要求</w:t>
            </w:r>
          </w:p>
        </w:tc>
        <w:tc>
          <w:tcPr>
            <w:tcW w:w="4531" w:type="dxa"/>
            <w:vAlign w:val="center"/>
          </w:tcPr>
          <w:p>
            <w:pPr>
              <w:pStyle w:val="82"/>
              <w:spacing w:before="106" w:line="194" w:lineRule="auto"/>
              <w:ind w:left="0" w:leftChars="0" w:right="19" w:rightChars="0" w:firstLine="0" w:firstLineChars="0"/>
              <w:jc w:val="center"/>
              <w:rPr>
                <w:rFonts w:ascii="仿宋" w:hAnsi="仿宋" w:eastAsia="仿宋" w:cs="仿宋"/>
                <w:kern w:val="2"/>
                <w:sz w:val="24"/>
                <w:szCs w:val="24"/>
                <w:lang w:val="en-US" w:eastAsia="en-US" w:bidi="ar-SA"/>
              </w:rPr>
            </w:pPr>
            <w:r>
              <w:rPr>
                <w:rFonts w:ascii="仿宋" w:hAnsi="仿宋" w:eastAsia="仿宋" w:cs="仿宋"/>
                <w:spacing w:val="-2"/>
              </w:rPr>
              <w:t>存放焊接试板和焊接材料的货架还需考虑</w:t>
            </w:r>
            <w:r>
              <w:rPr>
                <w:rFonts w:ascii="仿宋" w:hAnsi="仿宋" w:eastAsia="仿宋" w:cs="仿宋"/>
                <w:spacing w:val="-5"/>
              </w:rPr>
              <w:t>承载要求，配电箱（考虑焊材烘干需要，保</w:t>
            </w:r>
            <w:r>
              <w:rPr>
                <w:rFonts w:ascii="仿宋" w:hAnsi="仿宋" w:eastAsia="仿宋" w:cs="仿宋"/>
                <w:spacing w:val="-1"/>
              </w:rPr>
              <w:t>证连接焊材烘干箱的电源再比赛期间始终</w:t>
            </w:r>
            <w:r>
              <w:rPr>
                <w:rFonts w:ascii="仿宋" w:hAnsi="仿宋" w:eastAsia="仿宋" w:cs="仿宋"/>
                <w:spacing w:val="-10"/>
              </w:rPr>
              <w:t>有电）、</w:t>
            </w:r>
            <w:r>
              <w:rPr>
                <w:spacing w:val="-10"/>
              </w:rPr>
              <w:t>5</w:t>
            </w:r>
            <w:r>
              <w:rPr>
                <w:rFonts w:ascii="仿宋" w:hAnsi="仿宋" w:eastAsia="仿宋" w:cs="仿宋"/>
                <w:spacing w:val="-10"/>
              </w:rPr>
              <w:t>孔电源插座和温湿度仪</w:t>
            </w:r>
          </w:p>
        </w:tc>
        <w:tc>
          <w:tcPr>
            <w:tcW w:w="708" w:type="dxa"/>
            <w:vAlign w:val="center"/>
          </w:tcPr>
          <w:p>
            <w:pPr>
              <w:ind w:firstLine="420" w:firstLineChars="200"/>
              <w:jc w:val="center"/>
              <w:rPr>
                <w:rFonts w:ascii="Arial" w:hAnsi="Times New Roman" w:eastAsia="仿宋" w:cstheme="minorBidi"/>
                <w:kern w:val="2"/>
                <w:sz w:val="21"/>
                <w:szCs w:val="24"/>
                <w:lang w:val="en-US" w:eastAsia="zh-CN" w:bidi="ar-SA"/>
              </w:rPr>
            </w:pPr>
          </w:p>
        </w:tc>
        <w:tc>
          <w:tcPr>
            <w:tcW w:w="1170" w:type="dxa"/>
            <w:vAlign w:val="center"/>
          </w:tcPr>
          <w:p>
            <w:pPr>
              <w:ind w:firstLine="420" w:firstLineChars="200"/>
              <w:jc w:val="center"/>
              <w:rPr>
                <w:rFonts w:ascii="Arial" w:hAnsi="Times New Roman" w:eastAsia="仿宋" w:cstheme="minorBidi"/>
                <w:kern w:val="2"/>
                <w:sz w:val="21"/>
                <w:szCs w:val="24"/>
                <w:lang w:val="en-US" w:eastAsia="zh-CN" w:bidi="ar-SA"/>
              </w:rPr>
            </w:pPr>
          </w:p>
        </w:tc>
      </w:tr>
    </w:tbl>
    <w:p>
      <w:pPr>
        <w:bidi w:val="0"/>
        <w:ind w:left="0" w:leftChars="0" w:firstLine="640" w:firstLineChars="200"/>
        <w:rPr>
          <w:rFonts w:hint="default"/>
          <w:lang w:val="en-US" w:eastAsia="zh-CN"/>
        </w:rPr>
      </w:pPr>
      <w:r>
        <w:rPr>
          <w:rFonts w:hint="default"/>
          <w:lang w:val="en-US" w:eastAsia="zh-CN"/>
        </w:rPr>
        <w:t>2.赛场提供物资清单</w:t>
      </w:r>
    </w:p>
    <w:tbl>
      <w:tblPr>
        <w:tblStyle w:val="78"/>
        <w:tblpPr w:leftFromText="180" w:rightFromText="180" w:vertAnchor="text" w:horzAnchor="page" w:tblpX="1757" w:tblpY="610"/>
        <w:tblOverlap w:val="never"/>
        <w:tblW w:w="88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2797"/>
        <w:gridCol w:w="2157"/>
        <w:gridCol w:w="709"/>
        <w:gridCol w:w="1004"/>
        <w:gridCol w:w="1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83"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序号</w:t>
            </w:r>
          </w:p>
        </w:tc>
        <w:tc>
          <w:tcPr>
            <w:tcW w:w="2797" w:type="dxa"/>
            <w:vAlign w:val="center"/>
          </w:tcPr>
          <w:p>
            <w:pPr>
              <w:keepNext w:val="0"/>
              <w:keepLines w:val="0"/>
              <w:pageBreakBefore w:val="0"/>
              <w:widowControl w:val="0"/>
              <w:kinsoku/>
              <w:wordWrap/>
              <w:overflowPunct/>
              <w:topLinePunct w:val="0"/>
              <w:autoSpaceDE/>
              <w:autoSpaceDN/>
              <w:bidi w:val="0"/>
              <w:adjustRightInd/>
              <w:snapToGrid w:val="0"/>
              <w:spacing w:before="82"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设备名称</w:t>
            </w:r>
          </w:p>
        </w:tc>
        <w:tc>
          <w:tcPr>
            <w:tcW w:w="2157" w:type="dxa"/>
            <w:vAlign w:val="center"/>
          </w:tcPr>
          <w:p>
            <w:pPr>
              <w:keepNext w:val="0"/>
              <w:keepLines w:val="0"/>
              <w:pageBreakBefore w:val="0"/>
              <w:widowControl w:val="0"/>
              <w:kinsoku/>
              <w:wordWrap/>
              <w:overflowPunct/>
              <w:topLinePunct w:val="0"/>
              <w:autoSpaceDE/>
              <w:autoSpaceDN/>
              <w:bidi w:val="0"/>
              <w:adjustRightInd/>
              <w:snapToGrid w:val="0"/>
              <w:spacing w:before="83"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型号</w:t>
            </w:r>
          </w:p>
        </w:tc>
        <w:tc>
          <w:tcPr>
            <w:tcW w:w="709" w:type="dxa"/>
            <w:vAlign w:val="center"/>
          </w:tcPr>
          <w:p>
            <w:pPr>
              <w:keepNext w:val="0"/>
              <w:keepLines w:val="0"/>
              <w:pageBreakBefore w:val="0"/>
              <w:widowControl w:val="0"/>
              <w:kinsoku/>
              <w:wordWrap/>
              <w:overflowPunct/>
              <w:topLinePunct w:val="0"/>
              <w:autoSpaceDE/>
              <w:autoSpaceDN/>
              <w:bidi w:val="0"/>
              <w:adjustRightInd/>
              <w:snapToGrid w:val="0"/>
              <w:spacing w:before="83"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牌号</w:t>
            </w:r>
          </w:p>
        </w:tc>
        <w:tc>
          <w:tcPr>
            <w:tcW w:w="1004" w:type="dxa"/>
            <w:vAlign w:val="center"/>
          </w:tcPr>
          <w:p>
            <w:pPr>
              <w:keepNext w:val="0"/>
              <w:keepLines w:val="0"/>
              <w:pageBreakBefore w:val="0"/>
              <w:widowControl w:val="0"/>
              <w:kinsoku/>
              <w:wordWrap/>
              <w:overflowPunct/>
              <w:topLinePunct w:val="0"/>
              <w:autoSpaceDE/>
              <w:autoSpaceDN/>
              <w:bidi w:val="0"/>
              <w:adjustRightInd/>
              <w:snapToGrid w:val="0"/>
              <w:spacing w:before="83"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单位</w:t>
            </w:r>
          </w:p>
        </w:tc>
        <w:tc>
          <w:tcPr>
            <w:tcW w:w="1424" w:type="dxa"/>
            <w:vAlign w:val="center"/>
          </w:tcPr>
          <w:p>
            <w:pPr>
              <w:keepNext w:val="0"/>
              <w:keepLines w:val="0"/>
              <w:pageBreakBefore w:val="0"/>
              <w:widowControl w:val="0"/>
              <w:kinsoku/>
              <w:wordWrap/>
              <w:overflowPunct/>
              <w:topLinePunct w:val="0"/>
              <w:autoSpaceDE/>
              <w:autoSpaceDN/>
              <w:bidi w:val="0"/>
              <w:adjustRightInd/>
              <w:snapToGrid w:val="0"/>
              <w:spacing w:before="83"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117"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1</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76"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7"/>
                <w:sz w:val="24"/>
                <w:szCs w:val="24"/>
              </w:rPr>
              <w:t>模块A板件</w:t>
            </w:r>
          </w:p>
        </w:tc>
        <w:tc>
          <w:tcPr>
            <w:tcW w:w="2157" w:type="dxa"/>
            <w:vAlign w:val="center"/>
          </w:tcPr>
          <w:p>
            <w:pPr>
              <w:keepNext w:val="0"/>
              <w:keepLines w:val="0"/>
              <w:pageBreakBefore w:val="0"/>
              <w:widowControl w:val="0"/>
              <w:kinsoku/>
              <w:wordWrap/>
              <w:overflowPunct/>
              <w:topLinePunct w:val="0"/>
              <w:autoSpaceDE/>
              <w:autoSpaceDN/>
              <w:bidi w:val="0"/>
              <w:adjustRightInd/>
              <w:snapToGrid w:val="0"/>
              <w:spacing w:before="75"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pacing w:val="-6"/>
                <w:sz w:val="24"/>
                <w:szCs w:val="24"/>
              </w:rPr>
              <w:t>按图纸</w:t>
            </w:r>
          </w:p>
        </w:tc>
        <w:tc>
          <w:tcPr>
            <w:tcW w:w="709" w:type="dxa"/>
            <w:vAlign w:val="center"/>
          </w:tcPr>
          <w:p>
            <w:pPr>
              <w:pStyle w:val="82"/>
              <w:keepNext w:val="0"/>
              <w:keepLines w:val="0"/>
              <w:pageBreakBefore w:val="0"/>
              <w:widowControl w:val="0"/>
              <w:kinsoku/>
              <w:wordWrap/>
              <w:overflowPunct/>
              <w:topLinePunct w:val="0"/>
              <w:autoSpaceDE/>
              <w:autoSpaceDN/>
              <w:bidi w:val="0"/>
              <w:adjustRightInd/>
              <w:snapToGrid w:val="0"/>
              <w:spacing w:before="112" w:line="240" w:lineRule="auto"/>
              <w:ind w:left="0" w:leftChars="0" w:firstLine="0" w:firstLineChars="0"/>
              <w:jc w:val="center"/>
              <w:textAlignment w:val="auto"/>
              <w:rPr>
                <w:sz w:val="24"/>
                <w:szCs w:val="24"/>
              </w:rPr>
            </w:pPr>
            <w:r>
              <w:rPr>
                <w:sz w:val="24"/>
                <w:szCs w:val="24"/>
              </w:rPr>
              <w:t>/</w:t>
            </w:r>
          </w:p>
        </w:tc>
        <w:tc>
          <w:tcPr>
            <w:tcW w:w="1004" w:type="dxa"/>
            <w:vAlign w:val="center"/>
          </w:tcPr>
          <w:p>
            <w:pPr>
              <w:keepNext w:val="0"/>
              <w:keepLines w:val="0"/>
              <w:pageBreakBefore w:val="0"/>
              <w:widowControl w:val="0"/>
              <w:kinsoku/>
              <w:wordWrap/>
              <w:overflowPunct/>
              <w:topLinePunct w:val="0"/>
              <w:autoSpaceDE/>
              <w:autoSpaceDN/>
              <w:bidi w:val="0"/>
              <w:adjustRightInd/>
              <w:snapToGrid w:val="0"/>
              <w:spacing w:before="75"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z w:val="24"/>
                <w:szCs w:val="24"/>
              </w:rPr>
              <w:t>套</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75" w:line="240" w:lineRule="auto"/>
              <w:ind w:left="0" w:leftChars="0" w:firstLine="0" w:firstLineChars="0"/>
              <w:jc w:val="center"/>
              <w:textAlignment w:val="auto"/>
              <w:rPr>
                <w:rFonts w:ascii="仿宋" w:hAnsi="仿宋" w:eastAsia="仿宋" w:cs="仿宋"/>
                <w:sz w:val="24"/>
                <w:szCs w:val="24"/>
              </w:rPr>
            </w:pPr>
            <w:r>
              <w:rPr>
                <w:spacing w:val="-11"/>
                <w:sz w:val="24"/>
                <w:szCs w:val="24"/>
              </w:rPr>
              <w:t>1</w:t>
            </w:r>
            <w:r>
              <w:rPr>
                <w:rFonts w:ascii="仿宋" w:hAnsi="仿宋" w:eastAsia="仿宋" w:cs="仿宋"/>
                <w:spacing w:val="-11"/>
                <w:sz w:val="24"/>
                <w:szCs w:val="24"/>
              </w:rPr>
              <w:t>套</w:t>
            </w:r>
            <w:r>
              <w:rPr>
                <w:spacing w:val="-11"/>
                <w:sz w:val="24"/>
                <w:szCs w:val="24"/>
              </w:rPr>
              <w:t>/</w:t>
            </w:r>
            <w:r>
              <w:rPr>
                <w:rFonts w:ascii="仿宋" w:hAnsi="仿宋" w:eastAsia="仿宋" w:cs="仿宋"/>
                <w:spacing w:val="-11"/>
                <w:sz w:val="24"/>
                <w:szCs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119"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2</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77"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10"/>
                <w:sz w:val="24"/>
                <w:szCs w:val="24"/>
              </w:rPr>
              <w:t>模块B管件</w:t>
            </w:r>
          </w:p>
        </w:tc>
        <w:tc>
          <w:tcPr>
            <w:tcW w:w="2157" w:type="dxa"/>
            <w:vAlign w:val="center"/>
          </w:tcPr>
          <w:p>
            <w:pPr>
              <w:keepNext w:val="0"/>
              <w:keepLines w:val="0"/>
              <w:pageBreakBefore w:val="0"/>
              <w:widowControl w:val="0"/>
              <w:kinsoku/>
              <w:wordWrap/>
              <w:overflowPunct/>
              <w:topLinePunct w:val="0"/>
              <w:autoSpaceDE/>
              <w:autoSpaceDN/>
              <w:bidi w:val="0"/>
              <w:adjustRightInd/>
              <w:snapToGrid w:val="0"/>
              <w:spacing w:before="77"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pacing w:val="-6"/>
                <w:sz w:val="24"/>
                <w:szCs w:val="24"/>
              </w:rPr>
              <w:t>按图纸</w:t>
            </w:r>
          </w:p>
        </w:tc>
        <w:tc>
          <w:tcPr>
            <w:tcW w:w="709" w:type="dxa"/>
            <w:vAlign w:val="center"/>
          </w:tcPr>
          <w:p>
            <w:pPr>
              <w:pStyle w:val="82"/>
              <w:keepNext w:val="0"/>
              <w:keepLines w:val="0"/>
              <w:pageBreakBefore w:val="0"/>
              <w:widowControl w:val="0"/>
              <w:kinsoku/>
              <w:wordWrap/>
              <w:overflowPunct/>
              <w:topLinePunct w:val="0"/>
              <w:autoSpaceDE/>
              <w:autoSpaceDN/>
              <w:bidi w:val="0"/>
              <w:adjustRightInd/>
              <w:snapToGrid w:val="0"/>
              <w:spacing w:before="114" w:line="240" w:lineRule="auto"/>
              <w:ind w:left="0" w:leftChars="0" w:firstLine="0" w:firstLineChars="0"/>
              <w:jc w:val="center"/>
              <w:textAlignment w:val="auto"/>
              <w:rPr>
                <w:sz w:val="24"/>
                <w:szCs w:val="24"/>
              </w:rPr>
            </w:pPr>
            <w:r>
              <w:rPr>
                <w:sz w:val="24"/>
                <w:szCs w:val="24"/>
              </w:rPr>
              <w:t>/</w:t>
            </w:r>
          </w:p>
        </w:tc>
        <w:tc>
          <w:tcPr>
            <w:tcW w:w="1004" w:type="dxa"/>
            <w:vAlign w:val="center"/>
          </w:tcPr>
          <w:p>
            <w:pPr>
              <w:keepNext w:val="0"/>
              <w:keepLines w:val="0"/>
              <w:pageBreakBefore w:val="0"/>
              <w:widowControl w:val="0"/>
              <w:kinsoku/>
              <w:wordWrap/>
              <w:overflowPunct/>
              <w:topLinePunct w:val="0"/>
              <w:autoSpaceDE/>
              <w:autoSpaceDN/>
              <w:bidi w:val="0"/>
              <w:adjustRightInd/>
              <w:snapToGrid w:val="0"/>
              <w:spacing w:before="77"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z w:val="24"/>
                <w:szCs w:val="24"/>
              </w:rPr>
              <w:t>套</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77" w:line="240" w:lineRule="auto"/>
              <w:ind w:left="0" w:leftChars="0" w:firstLine="0" w:firstLineChars="0"/>
              <w:jc w:val="center"/>
              <w:textAlignment w:val="auto"/>
              <w:rPr>
                <w:rFonts w:ascii="仿宋" w:hAnsi="仿宋" w:eastAsia="仿宋" w:cs="仿宋"/>
                <w:sz w:val="24"/>
                <w:szCs w:val="24"/>
              </w:rPr>
            </w:pPr>
            <w:r>
              <w:rPr>
                <w:spacing w:val="-11"/>
                <w:sz w:val="24"/>
                <w:szCs w:val="24"/>
              </w:rPr>
              <w:t>1</w:t>
            </w:r>
            <w:r>
              <w:rPr>
                <w:rFonts w:ascii="仿宋" w:hAnsi="仿宋" w:eastAsia="仿宋" w:cs="仿宋"/>
                <w:spacing w:val="-11"/>
                <w:sz w:val="24"/>
                <w:szCs w:val="24"/>
              </w:rPr>
              <w:t>套</w:t>
            </w:r>
            <w:r>
              <w:rPr>
                <w:spacing w:val="-11"/>
                <w:sz w:val="24"/>
                <w:szCs w:val="24"/>
              </w:rPr>
              <w:t>/</w:t>
            </w:r>
            <w:r>
              <w:rPr>
                <w:rFonts w:ascii="仿宋" w:hAnsi="仿宋" w:eastAsia="仿宋" w:cs="仿宋"/>
                <w:spacing w:val="-11"/>
                <w:sz w:val="24"/>
                <w:szCs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120"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3</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79"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8"/>
                <w:sz w:val="24"/>
                <w:szCs w:val="24"/>
              </w:rPr>
              <w:t>模块C板件</w:t>
            </w:r>
          </w:p>
        </w:tc>
        <w:tc>
          <w:tcPr>
            <w:tcW w:w="2157" w:type="dxa"/>
            <w:vAlign w:val="center"/>
          </w:tcPr>
          <w:p>
            <w:pPr>
              <w:keepNext w:val="0"/>
              <w:keepLines w:val="0"/>
              <w:pageBreakBefore w:val="0"/>
              <w:widowControl w:val="0"/>
              <w:kinsoku/>
              <w:wordWrap/>
              <w:overflowPunct/>
              <w:topLinePunct w:val="0"/>
              <w:autoSpaceDE/>
              <w:autoSpaceDN/>
              <w:bidi w:val="0"/>
              <w:adjustRightInd/>
              <w:snapToGrid w:val="0"/>
              <w:spacing w:before="79"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pacing w:val="-6"/>
                <w:sz w:val="24"/>
                <w:szCs w:val="24"/>
              </w:rPr>
              <w:t>按图纸</w:t>
            </w:r>
          </w:p>
        </w:tc>
        <w:tc>
          <w:tcPr>
            <w:tcW w:w="709" w:type="dxa"/>
            <w:vAlign w:val="center"/>
          </w:tcPr>
          <w:p>
            <w:pPr>
              <w:pStyle w:val="82"/>
              <w:keepNext w:val="0"/>
              <w:keepLines w:val="0"/>
              <w:pageBreakBefore w:val="0"/>
              <w:widowControl w:val="0"/>
              <w:kinsoku/>
              <w:wordWrap/>
              <w:overflowPunct/>
              <w:topLinePunct w:val="0"/>
              <w:autoSpaceDE/>
              <w:autoSpaceDN/>
              <w:bidi w:val="0"/>
              <w:adjustRightInd/>
              <w:snapToGrid w:val="0"/>
              <w:spacing w:before="116" w:line="240" w:lineRule="auto"/>
              <w:ind w:left="0" w:leftChars="0" w:firstLine="0" w:firstLineChars="0"/>
              <w:jc w:val="center"/>
              <w:textAlignment w:val="auto"/>
              <w:rPr>
                <w:sz w:val="24"/>
                <w:szCs w:val="24"/>
              </w:rPr>
            </w:pPr>
            <w:r>
              <w:rPr>
                <w:sz w:val="24"/>
                <w:szCs w:val="24"/>
              </w:rPr>
              <w:t>/</w:t>
            </w:r>
          </w:p>
        </w:tc>
        <w:tc>
          <w:tcPr>
            <w:tcW w:w="1004" w:type="dxa"/>
            <w:vAlign w:val="center"/>
          </w:tcPr>
          <w:p>
            <w:pPr>
              <w:keepNext w:val="0"/>
              <w:keepLines w:val="0"/>
              <w:pageBreakBefore w:val="0"/>
              <w:widowControl w:val="0"/>
              <w:kinsoku/>
              <w:wordWrap/>
              <w:overflowPunct/>
              <w:topLinePunct w:val="0"/>
              <w:autoSpaceDE/>
              <w:autoSpaceDN/>
              <w:bidi w:val="0"/>
              <w:adjustRightInd/>
              <w:snapToGrid w:val="0"/>
              <w:spacing w:before="79" w:line="240" w:lineRule="auto"/>
              <w:ind w:left="0" w:leftChars="0" w:firstLine="0" w:firstLineChars="0"/>
              <w:jc w:val="center"/>
              <w:textAlignment w:val="auto"/>
              <w:rPr>
                <w:rFonts w:ascii="仿宋" w:hAnsi="仿宋" w:eastAsia="仿宋" w:cs="仿宋"/>
                <w:sz w:val="24"/>
                <w:szCs w:val="24"/>
              </w:rPr>
            </w:pPr>
            <w:r>
              <w:rPr>
                <w:rFonts w:ascii="仿宋" w:hAnsi="仿宋" w:eastAsia="仿宋" w:cs="仿宋"/>
                <w:sz w:val="24"/>
                <w:szCs w:val="24"/>
              </w:rPr>
              <w:t>套</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79" w:line="240" w:lineRule="auto"/>
              <w:ind w:left="0" w:leftChars="0" w:firstLine="0" w:firstLineChars="0"/>
              <w:jc w:val="center"/>
              <w:textAlignment w:val="auto"/>
              <w:rPr>
                <w:rFonts w:ascii="仿宋" w:hAnsi="仿宋" w:eastAsia="仿宋" w:cs="仿宋"/>
                <w:sz w:val="24"/>
                <w:szCs w:val="24"/>
              </w:rPr>
            </w:pPr>
            <w:r>
              <w:rPr>
                <w:spacing w:val="-11"/>
                <w:sz w:val="24"/>
                <w:szCs w:val="24"/>
              </w:rPr>
              <w:t>1</w:t>
            </w:r>
            <w:r>
              <w:rPr>
                <w:rFonts w:ascii="仿宋" w:hAnsi="仿宋" w:eastAsia="仿宋" w:cs="仿宋"/>
                <w:spacing w:val="-11"/>
                <w:sz w:val="24"/>
                <w:szCs w:val="24"/>
              </w:rPr>
              <w:t>套</w:t>
            </w:r>
            <w:r>
              <w:rPr>
                <w:spacing w:val="-11"/>
                <w:sz w:val="24"/>
                <w:szCs w:val="24"/>
              </w:rPr>
              <w:t>/</w:t>
            </w:r>
            <w:r>
              <w:rPr>
                <w:rFonts w:ascii="仿宋" w:hAnsi="仿宋" w:eastAsia="仿宋" w:cs="仿宋"/>
                <w:spacing w:val="-11"/>
                <w:sz w:val="24"/>
                <w:szCs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4</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129"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10"/>
                <w:sz w:val="24"/>
                <w:szCs w:val="24"/>
              </w:rPr>
              <w:t>Φ3.2焊条</w:t>
            </w:r>
          </w:p>
        </w:tc>
        <w:tc>
          <w:tcPr>
            <w:tcW w:w="2157" w:type="dxa"/>
            <w:vAlign w:val="center"/>
          </w:tcPr>
          <w:p>
            <w:pPr>
              <w:pStyle w:val="82"/>
              <w:keepNext w:val="0"/>
              <w:keepLines w:val="0"/>
              <w:pageBreakBefore w:val="0"/>
              <w:widowControl w:val="0"/>
              <w:kinsoku/>
              <w:wordWrap/>
              <w:overflowPunct/>
              <w:topLinePunct w:val="0"/>
              <w:autoSpaceDE/>
              <w:autoSpaceDN/>
              <w:bidi w:val="0"/>
              <w:adjustRightInd/>
              <w:snapToGrid w:val="0"/>
              <w:spacing w:before="170" w:line="240" w:lineRule="auto"/>
              <w:ind w:left="0" w:leftChars="0" w:firstLine="0" w:firstLineChars="0"/>
              <w:jc w:val="center"/>
              <w:textAlignment w:val="auto"/>
              <w:rPr>
                <w:sz w:val="24"/>
                <w:szCs w:val="24"/>
              </w:rPr>
            </w:pPr>
            <w:r>
              <w:rPr>
                <w:spacing w:val="-2"/>
                <w:sz w:val="24"/>
                <w:szCs w:val="24"/>
              </w:rPr>
              <w:t>E5015</w:t>
            </w:r>
          </w:p>
        </w:tc>
        <w:tc>
          <w:tcPr>
            <w:tcW w:w="7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Arial"/>
                <w:sz w:val="24"/>
                <w:szCs w:val="24"/>
              </w:rPr>
            </w:pPr>
          </w:p>
        </w:tc>
        <w:tc>
          <w:tcPr>
            <w:tcW w:w="1004" w:type="dxa"/>
            <w:vAlign w:val="center"/>
          </w:tcPr>
          <w:p>
            <w:pPr>
              <w:pStyle w:val="82"/>
              <w:keepNext w:val="0"/>
              <w:keepLines w:val="0"/>
              <w:pageBreakBefore w:val="0"/>
              <w:widowControl w:val="0"/>
              <w:kinsoku/>
              <w:wordWrap/>
              <w:overflowPunct/>
              <w:topLinePunct w:val="0"/>
              <w:autoSpaceDE/>
              <w:autoSpaceDN/>
              <w:bidi w:val="0"/>
              <w:adjustRightInd/>
              <w:snapToGrid w:val="0"/>
              <w:spacing w:before="166" w:line="240" w:lineRule="auto"/>
              <w:ind w:left="0" w:leftChars="0" w:firstLine="0" w:firstLineChars="0"/>
              <w:jc w:val="center"/>
              <w:textAlignment w:val="auto"/>
              <w:rPr>
                <w:sz w:val="24"/>
                <w:szCs w:val="24"/>
              </w:rPr>
            </w:pPr>
            <w:r>
              <w:rPr>
                <w:spacing w:val="-1"/>
                <w:sz w:val="24"/>
                <w:szCs w:val="24"/>
              </w:rPr>
              <w:t>kg</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129" w:line="240" w:lineRule="auto"/>
              <w:ind w:left="0" w:leftChars="0" w:firstLine="0" w:firstLineChars="0"/>
              <w:jc w:val="center"/>
              <w:textAlignment w:val="auto"/>
              <w:rPr>
                <w:rFonts w:ascii="仿宋" w:hAnsi="仿宋" w:eastAsia="仿宋" w:cs="仿宋"/>
                <w:sz w:val="24"/>
                <w:szCs w:val="24"/>
              </w:rPr>
            </w:pPr>
            <w:r>
              <w:rPr>
                <w:spacing w:val="-6"/>
                <w:sz w:val="24"/>
                <w:szCs w:val="24"/>
              </w:rPr>
              <w:t>1kg/</w:t>
            </w:r>
            <w:r>
              <w:rPr>
                <w:rFonts w:ascii="仿宋" w:hAnsi="仿宋" w:eastAsia="仿宋" w:cs="仿宋"/>
                <w:spacing w:val="-6"/>
                <w:sz w:val="24"/>
                <w:szCs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240"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5</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196"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8"/>
                <w:sz w:val="24"/>
                <w:szCs w:val="24"/>
              </w:rPr>
              <w:t>Φ1.2实心焊丝</w:t>
            </w:r>
          </w:p>
        </w:tc>
        <w:tc>
          <w:tcPr>
            <w:tcW w:w="2157" w:type="dxa"/>
            <w:vAlign w:val="center"/>
          </w:tcPr>
          <w:p>
            <w:pPr>
              <w:pStyle w:val="82"/>
              <w:keepNext w:val="0"/>
              <w:keepLines w:val="0"/>
              <w:pageBreakBefore w:val="0"/>
              <w:widowControl w:val="0"/>
              <w:kinsoku/>
              <w:wordWrap/>
              <w:overflowPunct/>
              <w:topLinePunct w:val="0"/>
              <w:autoSpaceDE/>
              <w:autoSpaceDN/>
              <w:bidi w:val="0"/>
              <w:adjustRightInd/>
              <w:snapToGrid w:val="0"/>
              <w:spacing w:before="237" w:line="240" w:lineRule="auto"/>
              <w:ind w:left="0" w:leftChars="0" w:firstLine="0" w:firstLineChars="0"/>
              <w:jc w:val="center"/>
              <w:textAlignment w:val="auto"/>
              <w:rPr>
                <w:sz w:val="24"/>
                <w:szCs w:val="24"/>
              </w:rPr>
            </w:pPr>
            <w:r>
              <w:rPr>
                <w:spacing w:val="-1"/>
                <w:sz w:val="24"/>
                <w:szCs w:val="24"/>
              </w:rPr>
              <w:t>ER50-6</w:t>
            </w:r>
          </w:p>
        </w:tc>
        <w:tc>
          <w:tcPr>
            <w:tcW w:w="7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Arial"/>
                <w:sz w:val="24"/>
                <w:szCs w:val="24"/>
              </w:rPr>
            </w:pPr>
          </w:p>
        </w:tc>
        <w:tc>
          <w:tcPr>
            <w:tcW w:w="1004" w:type="dxa"/>
            <w:vAlign w:val="center"/>
          </w:tcPr>
          <w:p>
            <w:pPr>
              <w:pStyle w:val="82"/>
              <w:keepNext w:val="0"/>
              <w:keepLines w:val="0"/>
              <w:pageBreakBefore w:val="0"/>
              <w:widowControl w:val="0"/>
              <w:kinsoku/>
              <w:wordWrap/>
              <w:overflowPunct/>
              <w:topLinePunct w:val="0"/>
              <w:autoSpaceDE/>
              <w:autoSpaceDN/>
              <w:bidi w:val="0"/>
              <w:adjustRightInd/>
              <w:snapToGrid w:val="0"/>
              <w:spacing w:before="232" w:line="240" w:lineRule="auto"/>
              <w:ind w:left="0" w:leftChars="0" w:firstLine="0" w:firstLineChars="0"/>
              <w:jc w:val="center"/>
              <w:textAlignment w:val="auto"/>
              <w:rPr>
                <w:sz w:val="24"/>
                <w:szCs w:val="24"/>
              </w:rPr>
            </w:pPr>
            <w:r>
              <w:rPr>
                <w:spacing w:val="-1"/>
                <w:sz w:val="24"/>
                <w:szCs w:val="24"/>
              </w:rPr>
              <w:t>kg</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38" w:line="240" w:lineRule="auto"/>
              <w:ind w:left="0" w:leftChars="0" w:right="227" w:firstLine="0" w:firstLineChars="0"/>
              <w:jc w:val="center"/>
              <w:textAlignment w:val="auto"/>
              <w:rPr>
                <w:rFonts w:ascii="仿宋" w:hAnsi="仿宋" w:eastAsia="仿宋" w:cs="仿宋"/>
                <w:sz w:val="24"/>
                <w:szCs w:val="24"/>
              </w:rPr>
            </w:pPr>
            <w:r>
              <w:rPr>
                <w:spacing w:val="-1"/>
                <w:sz w:val="24"/>
                <w:szCs w:val="24"/>
              </w:rPr>
              <w:t>20kg</w:t>
            </w:r>
            <w:r>
              <w:rPr>
                <w:rFonts w:ascii="仿宋" w:hAnsi="仿宋" w:eastAsia="仿宋" w:cs="仿宋"/>
                <w:spacing w:val="-1"/>
                <w:sz w:val="24"/>
                <w:szCs w:val="24"/>
              </w:rPr>
              <w:t>（</w:t>
            </w:r>
            <w:r>
              <w:rPr>
                <w:spacing w:val="-1"/>
                <w:sz w:val="24"/>
                <w:szCs w:val="24"/>
              </w:rPr>
              <w:t>12</w:t>
            </w:r>
            <w:r>
              <w:rPr>
                <w:rFonts w:ascii="仿宋" w:hAnsi="仿宋" w:eastAsia="仿宋" w:cs="仿宋"/>
                <w:spacing w:val="-13"/>
                <w:sz w:val="24"/>
                <w:szCs w:val="24"/>
              </w:rPr>
              <w:t>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78" w:type="dxa"/>
            <w:vAlign w:val="center"/>
          </w:tcPr>
          <w:p>
            <w:pPr>
              <w:pStyle w:val="82"/>
              <w:keepNext w:val="0"/>
              <w:keepLines w:val="0"/>
              <w:pageBreakBefore w:val="0"/>
              <w:widowControl w:val="0"/>
              <w:kinsoku/>
              <w:wordWrap/>
              <w:overflowPunct/>
              <w:topLinePunct w:val="0"/>
              <w:autoSpaceDE/>
              <w:autoSpaceDN/>
              <w:bidi w:val="0"/>
              <w:adjustRightInd/>
              <w:snapToGrid w:val="0"/>
              <w:spacing w:before="237"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z w:val="24"/>
                <w:szCs w:val="24"/>
              </w:rPr>
              <w:t>6</w:t>
            </w:r>
          </w:p>
        </w:tc>
        <w:tc>
          <w:tcPr>
            <w:tcW w:w="2797" w:type="dxa"/>
            <w:vAlign w:val="center"/>
          </w:tcPr>
          <w:p>
            <w:pPr>
              <w:pStyle w:val="82"/>
              <w:keepNext w:val="0"/>
              <w:keepLines w:val="0"/>
              <w:pageBreakBefore w:val="0"/>
              <w:widowControl w:val="0"/>
              <w:kinsoku/>
              <w:wordWrap/>
              <w:overflowPunct/>
              <w:topLinePunct w:val="0"/>
              <w:autoSpaceDE/>
              <w:autoSpaceDN/>
              <w:bidi w:val="0"/>
              <w:adjustRightInd/>
              <w:snapToGrid w:val="0"/>
              <w:spacing w:before="196" w:line="240" w:lineRule="auto"/>
              <w:ind w:left="0" w:leftChars="0" w:firstLine="0" w:firstLineChars="0"/>
              <w:jc w:val="center"/>
              <w:textAlignment w:val="auto"/>
              <w:rPr>
                <w:rFonts w:hint="eastAsia" w:ascii="楷体" w:hAnsi="楷体" w:eastAsia="楷体" w:cs="楷体"/>
                <w:sz w:val="24"/>
                <w:szCs w:val="24"/>
              </w:rPr>
            </w:pPr>
            <w:r>
              <w:rPr>
                <w:rFonts w:hint="eastAsia" w:ascii="楷体" w:hAnsi="楷体" w:eastAsia="楷体" w:cs="楷体"/>
                <w:spacing w:val="-8"/>
                <w:sz w:val="24"/>
                <w:szCs w:val="24"/>
              </w:rPr>
              <w:t>Φ1.2药芯焊丝</w:t>
            </w:r>
          </w:p>
        </w:tc>
        <w:tc>
          <w:tcPr>
            <w:tcW w:w="2157" w:type="dxa"/>
            <w:vAlign w:val="center"/>
          </w:tcPr>
          <w:p>
            <w:pPr>
              <w:pStyle w:val="82"/>
              <w:keepNext w:val="0"/>
              <w:keepLines w:val="0"/>
              <w:pageBreakBefore w:val="0"/>
              <w:widowControl w:val="0"/>
              <w:kinsoku/>
              <w:wordWrap/>
              <w:overflowPunct/>
              <w:topLinePunct w:val="0"/>
              <w:autoSpaceDE/>
              <w:autoSpaceDN/>
              <w:bidi w:val="0"/>
              <w:adjustRightInd/>
              <w:snapToGrid w:val="0"/>
              <w:spacing w:before="237" w:line="240" w:lineRule="auto"/>
              <w:ind w:left="0" w:leftChars="0" w:firstLine="0" w:firstLineChars="0"/>
              <w:jc w:val="center"/>
              <w:textAlignment w:val="auto"/>
              <w:rPr>
                <w:sz w:val="24"/>
                <w:szCs w:val="24"/>
              </w:rPr>
            </w:pPr>
            <w:r>
              <w:rPr>
                <w:spacing w:val="-2"/>
                <w:sz w:val="24"/>
                <w:szCs w:val="24"/>
              </w:rPr>
              <w:t>CHT711M</w:t>
            </w:r>
          </w:p>
        </w:tc>
        <w:tc>
          <w:tcPr>
            <w:tcW w:w="7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Arial"/>
                <w:sz w:val="24"/>
                <w:szCs w:val="24"/>
              </w:rPr>
            </w:pPr>
          </w:p>
        </w:tc>
        <w:tc>
          <w:tcPr>
            <w:tcW w:w="1004" w:type="dxa"/>
            <w:vAlign w:val="center"/>
          </w:tcPr>
          <w:p>
            <w:pPr>
              <w:pStyle w:val="82"/>
              <w:keepNext w:val="0"/>
              <w:keepLines w:val="0"/>
              <w:pageBreakBefore w:val="0"/>
              <w:widowControl w:val="0"/>
              <w:kinsoku/>
              <w:wordWrap/>
              <w:overflowPunct/>
              <w:topLinePunct w:val="0"/>
              <w:autoSpaceDE/>
              <w:autoSpaceDN/>
              <w:bidi w:val="0"/>
              <w:adjustRightInd/>
              <w:snapToGrid w:val="0"/>
              <w:spacing w:before="232" w:line="240" w:lineRule="auto"/>
              <w:ind w:left="0" w:leftChars="0" w:firstLine="0" w:firstLineChars="0"/>
              <w:jc w:val="center"/>
              <w:textAlignment w:val="auto"/>
              <w:rPr>
                <w:sz w:val="24"/>
                <w:szCs w:val="24"/>
              </w:rPr>
            </w:pPr>
            <w:r>
              <w:rPr>
                <w:spacing w:val="-1"/>
                <w:sz w:val="24"/>
                <w:szCs w:val="24"/>
              </w:rPr>
              <w:t>kg</w:t>
            </w:r>
          </w:p>
        </w:tc>
        <w:tc>
          <w:tcPr>
            <w:tcW w:w="1424" w:type="dxa"/>
            <w:vAlign w:val="center"/>
          </w:tcPr>
          <w:p>
            <w:pPr>
              <w:pStyle w:val="82"/>
              <w:keepNext w:val="0"/>
              <w:keepLines w:val="0"/>
              <w:pageBreakBefore w:val="0"/>
              <w:widowControl w:val="0"/>
              <w:kinsoku/>
              <w:wordWrap/>
              <w:overflowPunct/>
              <w:topLinePunct w:val="0"/>
              <w:autoSpaceDE/>
              <w:autoSpaceDN/>
              <w:bidi w:val="0"/>
              <w:adjustRightInd/>
              <w:snapToGrid w:val="0"/>
              <w:spacing w:before="39" w:line="240" w:lineRule="auto"/>
              <w:ind w:left="0" w:leftChars="0" w:right="227" w:firstLine="0" w:firstLineChars="0"/>
              <w:jc w:val="center"/>
              <w:textAlignment w:val="auto"/>
              <w:rPr>
                <w:rFonts w:ascii="仿宋" w:hAnsi="仿宋" w:eastAsia="仿宋" w:cs="仿宋"/>
                <w:sz w:val="24"/>
                <w:szCs w:val="24"/>
              </w:rPr>
            </w:pPr>
            <w:r>
              <w:rPr>
                <w:spacing w:val="-5"/>
                <w:sz w:val="24"/>
                <w:szCs w:val="24"/>
              </w:rPr>
              <w:t>15kg</w:t>
            </w:r>
            <w:r>
              <w:rPr>
                <w:rFonts w:ascii="仿宋" w:hAnsi="仿宋" w:eastAsia="仿宋" w:cs="仿宋"/>
                <w:spacing w:val="-5"/>
                <w:sz w:val="24"/>
                <w:szCs w:val="24"/>
              </w:rPr>
              <w:t>（</w:t>
            </w:r>
            <w:r>
              <w:rPr>
                <w:spacing w:val="-5"/>
                <w:sz w:val="24"/>
                <w:szCs w:val="24"/>
              </w:rPr>
              <w:t>12</w:t>
            </w:r>
            <w:r>
              <w:rPr>
                <w:rFonts w:ascii="仿宋" w:hAnsi="仿宋" w:eastAsia="仿宋" w:cs="仿宋"/>
                <w:spacing w:val="-13"/>
                <w:sz w:val="24"/>
                <w:szCs w:val="24"/>
              </w:rPr>
              <w:t>盘）</w:t>
            </w:r>
          </w:p>
        </w:tc>
      </w:tr>
    </w:tbl>
    <w:p>
      <w:pPr>
        <w:bidi w:val="0"/>
        <w:ind w:left="0" w:leftChars="0" w:firstLine="640" w:firstLineChars="200"/>
        <w:rPr>
          <w:rFonts w:hint="default"/>
          <w:lang w:val="en-US" w:eastAsia="zh-CN"/>
        </w:rPr>
      </w:pPr>
      <w:r>
        <w:rPr>
          <w:rFonts w:hint="default"/>
          <w:lang w:val="en-US" w:eastAsia="zh-CN"/>
        </w:rPr>
        <w:t>注：所有按照选手人数准备的材料，均需考虑合理的备用数量。</w:t>
      </w:r>
    </w:p>
    <w:p>
      <w:pPr>
        <w:bidi w:val="0"/>
        <w:rPr>
          <w:rFonts w:hint="default"/>
          <w:lang w:val="en-US" w:eastAsia="zh-CN"/>
        </w:rPr>
      </w:pPr>
      <w:r>
        <w:rPr>
          <w:rFonts w:hint="default"/>
          <w:lang w:val="en-US" w:eastAsia="zh-CN"/>
        </w:rPr>
        <w:t>3.选手自带设备和工具清单</w:t>
      </w:r>
    </w:p>
    <w:p>
      <w:pPr>
        <w:bidi w:val="0"/>
        <w:rPr>
          <w:rFonts w:hint="default"/>
          <w:lang w:val="en-US" w:eastAsia="zh-CN"/>
        </w:rPr>
      </w:pPr>
      <w:r>
        <w:rPr>
          <w:rFonts w:hint="default"/>
          <w:lang w:val="en-US" w:eastAsia="zh-CN"/>
        </w:rPr>
        <w:t>（1）选手至少自备的设备和工具如下：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381"/>
        <w:gridCol w:w="2381"/>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序号</w:t>
            </w:r>
          </w:p>
        </w:tc>
        <w:tc>
          <w:tcPr>
            <w:tcW w:w="2381"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设备名称</w:t>
            </w:r>
          </w:p>
        </w:tc>
        <w:tc>
          <w:tcPr>
            <w:tcW w:w="2381"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型号</w:t>
            </w:r>
          </w:p>
        </w:tc>
        <w:tc>
          <w:tcPr>
            <w:tcW w:w="1247"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单位</w:t>
            </w:r>
          </w:p>
        </w:tc>
        <w:tc>
          <w:tcPr>
            <w:tcW w:w="1247" w:type="dxa"/>
            <w:vAlign w:val="center"/>
          </w:tcPr>
          <w:p>
            <w:pPr>
              <w:bidi w:val="0"/>
              <w:ind w:left="0" w:lef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82"/>
              <w:spacing w:before="139" w:beforeLines="0" w:afterLines="0" w:line="188"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1</w:t>
            </w:r>
          </w:p>
        </w:tc>
        <w:tc>
          <w:tcPr>
            <w:tcW w:w="2381" w:type="dxa"/>
            <w:vAlign w:val="center"/>
          </w:tcPr>
          <w:p>
            <w:pPr>
              <w:spacing w:before="98"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4"/>
                <w:sz w:val="24"/>
                <w:szCs w:val="24"/>
              </w:rPr>
              <w:t>安全防护镜</w:t>
            </w:r>
          </w:p>
        </w:tc>
        <w:tc>
          <w:tcPr>
            <w:tcW w:w="2381"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8"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副</w:t>
            </w:r>
          </w:p>
        </w:tc>
        <w:tc>
          <w:tcPr>
            <w:tcW w:w="1247"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82"/>
              <w:spacing w:before="141" w:beforeLines="0" w:afterLines="0" w:line="188"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2</w:t>
            </w:r>
          </w:p>
        </w:tc>
        <w:tc>
          <w:tcPr>
            <w:tcW w:w="2381" w:type="dxa"/>
            <w:vAlign w:val="center"/>
          </w:tcPr>
          <w:p>
            <w:pPr>
              <w:spacing w:before="98"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1"/>
                <w:sz w:val="24"/>
                <w:szCs w:val="24"/>
              </w:rPr>
              <w:t>面罩</w:t>
            </w:r>
          </w:p>
        </w:tc>
        <w:tc>
          <w:tcPr>
            <w:tcW w:w="2381"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9" w:beforeLines="0" w:afterLines="0" w:line="223"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个</w:t>
            </w:r>
          </w:p>
        </w:tc>
        <w:tc>
          <w:tcPr>
            <w:tcW w:w="1247"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82"/>
              <w:spacing w:before="142" w:beforeLines="0" w:afterLines="0" w:line="188"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3</w:t>
            </w:r>
          </w:p>
        </w:tc>
        <w:tc>
          <w:tcPr>
            <w:tcW w:w="2381" w:type="dxa"/>
            <w:vAlign w:val="center"/>
          </w:tcPr>
          <w:p>
            <w:pPr>
              <w:spacing w:before="100"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7"/>
                <w:sz w:val="24"/>
                <w:szCs w:val="24"/>
              </w:rPr>
              <w:t>安全鞋</w:t>
            </w:r>
          </w:p>
        </w:tc>
        <w:tc>
          <w:tcPr>
            <w:tcW w:w="2381"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0" w:beforeLines="0" w:afterLines="0" w:line="228"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双</w:t>
            </w:r>
          </w:p>
        </w:tc>
        <w:tc>
          <w:tcPr>
            <w:tcW w:w="1247"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82"/>
              <w:spacing w:before="146" w:beforeLines="0" w:afterLines="0" w:line="188"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4</w:t>
            </w:r>
          </w:p>
        </w:tc>
        <w:tc>
          <w:tcPr>
            <w:tcW w:w="2381" w:type="dxa"/>
            <w:vAlign w:val="center"/>
          </w:tcPr>
          <w:p>
            <w:pPr>
              <w:spacing w:before="105"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1"/>
                <w:sz w:val="24"/>
                <w:szCs w:val="24"/>
              </w:rPr>
              <w:t>防护服</w:t>
            </w:r>
          </w:p>
        </w:tc>
        <w:tc>
          <w:tcPr>
            <w:tcW w:w="2381"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4" w:beforeLines="0" w:afterLines="0" w:line="226"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套</w:t>
            </w:r>
          </w:p>
        </w:tc>
        <w:tc>
          <w:tcPr>
            <w:tcW w:w="1247"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82"/>
              <w:spacing w:before="151" w:beforeLines="0" w:afterLines="0" w:line="185"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5</w:t>
            </w:r>
          </w:p>
        </w:tc>
        <w:tc>
          <w:tcPr>
            <w:tcW w:w="2381" w:type="dxa"/>
            <w:vAlign w:val="center"/>
          </w:tcPr>
          <w:p>
            <w:pPr>
              <w:spacing w:before="106"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耳塞</w:t>
            </w:r>
          </w:p>
        </w:tc>
        <w:tc>
          <w:tcPr>
            <w:tcW w:w="2381"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7"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副</w:t>
            </w:r>
          </w:p>
        </w:tc>
        <w:tc>
          <w:tcPr>
            <w:tcW w:w="1247"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6</w:t>
            </w:r>
          </w:p>
        </w:tc>
        <w:tc>
          <w:tcPr>
            <w:tcW w:w="2381" w:type="dxa"/>
            <w:vAlign w:val="center"/>
          </w:tcPr>
          <w:p>
            <w:pPr>
              <w:spacing w:before="97"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手套</w:t>
            </w:r>
          </w:p>
        </w:tc>
        <w:tc>
          <w:tcPr>
            <w:tcW w:w="2381"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7"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副</w:t>
            </w:r>
          </w:p>
        </w:tc>
        <w:tc>
          <w:tcPr>
            <w:tcW w:w="1247"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7</w:t>
            </w:r>
          </w:p>
        </w:tc>
        <w:tc>
          <w:tcPr>
            <w:tcW w:w="2381" w:type="dxa"/>
            <w:vAlign w:val="center"/>
          </w:tcPr>
          <w:p>
            <w:pPr>
              <w:spacing w:before="97"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角磨机</w:t>
            </w:r>
          </w:p>
        </w:tc>
        <w:tc>
          <w:tcPr>
            <w:tcW w:w="2381"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6" w:beforeLines="0" w:afterLines="0" w:line="221"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台</w:t>
            </w:r>
          </w:p>
        </w:tc>
        <w:tc>
          <w:tcPr>
            <w:tcW w:w="1247"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8</w:t>
            </w:r>
          </w:p>
        </w:tc>
        <w:tc>
          <w:tcPr>
            <w:tcW w:w="2381" w:type="dxa"/>
            <w:vAlign w:val="center"/>
          </w:tcPr>
          <w:p>
            <w:pPr>
              <w:spacing w:before="97"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直磨机</w:t>
            </w:r>
          </w:p>
        </w:tc>
        <w:tc>
          <w:tcPr>
            <w:tcW w:w="2381"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7" w:beforeLines="0" w:afterLines="0" w:line="221"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台</w:t>
            </w:r>
          </w:p>
        </w:tc>
        <w:tc>
          <w:tcPr>
            <w:tcW w:w="1247"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9</w:t>
            </w:r>
          </w:p>
        </w:tc>
        <w:tc>
          <w:tcPr>
            <w:tcW w:w="2381" w:type="dxa"/>
            <w:vAlign w:val="center"/>
          </w:tcPr>
          <w:p>
            <w:pPr>
              <w:pStyle w:val="82"/>
              <w:spacing w:before="97"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7"/>
                <w:sz w:val="24"/>
                <w:szCs w:val="24"/>
              </w:rPr>
              <w:t>C型钳和/或F钳等</w:t>
            </w:r>
          </w:p>
        </w:tc>
        <w:tc>
          <w:tcPr>
            <w:tcW w:w="2381"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98"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10</w:t>
            </w:r>
          </w:p>
        </w:tc>
        <w:tc>
          <w:tcPr>
            <w:tcW w:w="2381" w:type="dxa"/>
            <w:vAlign w:val="center"/>
          </w:tcPr>
          <w:p>
            <w:pPr>
              <w:spacing w:before="101"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2"/>
                <w:sz w:val="24"/>
                <w:szCs w:val="24"/>
              </w:rPr>
              <w:t>切割片、磨片、磨头等</w:t>
            </w:r>
          </w:p>
        </w:tc>
        <w:tc>
          <w:tcPr>
            <w:tcW w:w="2381"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0" w:beforeLines="0" w:afterLines="0" w:line="223"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片</w:t>
            </w:r>
          </w:p>
        </w:tc>
        <w:tc>
          <w:tcPr>
            <w:tcW w:w="1247"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11</w:t>
            </w:r>
          </w:p>
        </w:tc>
        <w:tc>
          <w:tcPr>
            <w:tcW w:w="2381" w:type="dxa"/>
            <w:vAlign w:val="center"/>
          </w:tcPr>
          <w:p>
            <w:pPr>
              <w:spacing w:before="101"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钢丝刷</w:t>
            </w:r>
          </w:p>
        </w:tc>
        <w:tc>
          <w:tcPr>
            <w:tcW w:w="2381"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1" w:beforeLines="0" w:afterLines="0" w:line="223"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个</w:t>
            </w:r>
          </w:p>
        </w:tc>
        <w:tc>
          <w:tcPr>
            <w:tcW w:w="1247"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12</w:t>
            </w:r>
          </w:p>
        </w:tc>
        <w:tc>
          <w:tcPr>
            <w:tcW w:w="2381" w:type="dxa"/>
            <w:vAlign w:val="center"/>
          </w:tcPr>
          <w:p>
            <w:pPr>
              <w:spacing w:before="101"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碗刷</w:t>
            </w:r>
          </w:p>
        </w:tc>
        <w:tc>
          <w:tcPr>
            <w:tcW w:w="2381"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1" w:beforeLines="0" w:afterLines="0" w:line="223"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个</w:t>
            </w:r>
          </w:p>
        </w:tc>
        <w:tc>
          <w:tcPr>
            <w:tcW w:w="1247"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13</w:t>
            </w:r>
          </w:p>
        </w:tc>
        <w:tc>
          <w:tcPr>
            <w:tcW w:w="2381" w:type="dxa"/>
            <w:vAlign w:val="center"/>
          </w:tcPr>
          <w:p>
            <w:pPr>
              <w:spacing w:before="101"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9"/>
                <w:sz w:val="24"/>
                <w:szCs w:val="24"/>
              </w:rPr>
              <w:t>锤子</w:t>
            </w:r>
          </w:p>
        </w:tc>
        <w:tc>
          <w:tcPr>
            <w:tcW w:w="2381"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2"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14</w:t>
            </w:r>
          </w:p>
        </w:tc>
        <w:tc>
          <w:tcPr>
            <w:tcW w:w="2381" w:type="dxa"/>
            <w:vAlign w:val="center"/>
          </w:tcPr>
          <w:p>
            <w:pPr>
              <w:spacing w:before="102"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扁铲</w:t>
            </w:r>
          </w:p>
        </w:tc>
        <w:tc>
          <w:tcPr>
            <w:tcW w:w="2381"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2"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15</w:t>
            </w:r>
          </w:p>
        </w:tc>
        <w:tc>
          <w:tcPr>
            <w:tcW w:w="2381" w:type="dxa"/>
            <w:vAlign w:val="center"/>
          </w:tcPr>
          <w:p>
            <w:pPr>
              <w:spacing w:before="101"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1"/>
                <w:sz w:val="24"/>
                <w:szCs w:val="24"/>
              </w:rPr>
              <w:t>凿子</w:t>
            </w:r>
          </w:p>
        </w:tc>
        <w:tc>
          <w:tcPr>
            <w:tcW w:w="2381"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2"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16</w:t>
            </w:r>
          </w:p>
        </w:tc>
        <w:tc>
          <w:tcPr>
            <w:tcW w:w="2381" w:type="dxa"/>
            <w:vAlign w:val="center"/>
          </w:tcPr>
          <w:p>
            <w:pPr>
              <w:spacing w:before="105"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10"/>
                <w:sz w:val="24"/>
                <w:szCs w:val="24"/>
              </w:rPr>
              <w:t>划针</w:t>
            </w:r>
          </w:p>
        </w:tc>
        <w:tc>
          <w:tcPr>
            <w:tcW w:w="2381"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4" w:beforeLines="0" w:afterLines="0" w:line="221"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根</w:t>
            </w:r>
          </w:p>
        </w:tc>
        <w:tc>
          <w:tcPr>
            <w:tcW w:w="1247"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17</w:t>
            </w:r>
          </w:p>
        </w:tc>
        <w:tc>
          <w:tcPr>
            <w:tcW w:w="2381" w:type="dxa"/>
            <w:vAlign w:val="center"/>
          </w:tcPr>
          <w:p>
            <w:pPr>
              <w:spacing w:before="103" w:beforeLines="0" w:afterLines="0" w:line="227"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9"/>
                <w:sz w:val="24"/>
                <w:szCs w:val="24"/>
              </w:rPr>
              <w:t>锉刀</w:t>
            </w:r>
          </w:p>
        </w:tc>
        <w:tc>
          <w:tcPr>
            <w:tcW w:w="2381"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2"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18</w:t>
            </w:r>
          </w:p>
        </w:tc>
        <w:tc>
          <w:tcPr>
            <w:tcW w:w="2381" w:type="dxa"/>
            <w:vAlign w:val="center"/>
          </w:tcPr>
          <w:p>
            <w:pPr>
              <w:spacing w:before="105"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钢直尺</w:t>
            </w:r>
          </w:p>
        </w:tc>
        <w:tc>
          <w:tcPr>
            <w:tcW w:w="2381"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2"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19</w:t>
            </w:r>
          </w:p>
        </w:tc>
        <w:tc>
          <w:tcPr>
            <w:tcW w:w="2381" w:type="dxa"/>
            <w:vAlign w:val="center"/>
          </w:tcPr>
          <w:p>
            <w:pPr>
              <w:spacing w:before="104"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6"/>
                <w:sz w:val="24"/>
                <w:szCs w:val="24"/>
              </w:rPr>
              <w:t>直角尺</w:t>
            </w:r>
          </w:p>
        </w:tc>
        <w:tc>
          <w:tcPr>
            <w:tcW w:w="2381"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4" w:beforeLines="0" w:afterLines="0" w:line="221"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根</w:t>
            </w:r>
          </w:p>
        </w:tc>
        <w:tc>
          <w:tcPr>
            <w:tcW w:w="1247"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20</w:t>
            </w:r>
          </w:p>
        </w:tc>
        <w:tc>
          <w:tcPr>
            <w:tcW w:w="2381" w:type="dxa"/>
            <w:vAlign w:val="center"/>
          </w:tcPr>
          <w:p>
            <w:pPr>
              <w:spacing w:before="104" w:beforeLines="0" w:afterLines="0" w:line="223"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8"/>
                <w:sz w:val="24"/>
                <w:szCs w:val="24"/>
              </w:rPr>
              <w:t>扳手</w:t>
            </w:r>
          </w:p>
        </w:tc>
        <w:tc>
          <w:tcPr>
            <w:tcW w:w="2381" w:type="dxa"/>
            <w:vAlign w:val="center"/>
          </w:tcPr>
          <w:p>
            <w:pPr>
              <w:spacing w:before="105"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4" w:beforeLines="0" w:afterLines="0" w:line="224"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把</w:t>
            </w:r>
          </w:p>
        </w:tc>
        <w:tc>
          <w:tcPr>
            <w:tcW w:w="1247"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21</w:t>
            </w:r>
          </w:p>
        </w:tc>
        <w:tc>
          <w:tcPr>
            <w:tcW w:w="2381" w:type="dxa"/>
            <w:vAlign w:val="center"/>
          </w:tcPr>
          <w:p>
            <w:pPr>
              <w:spacing w:before="105"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3"/>
                <w:sz w:val="24"/>
                <w:szCs w:val="24"/>
              </w:rPr>
              <w:t>钨极及钨极夹</w:t>
            </w:r>
          </w:p>
        </w:tc>
        <w:tc>
          <w:tcPr>
            <w:tcW w:w="2381"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4" w:beforeLines="0" w:afterLines="0" w:line="226"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套</w:t>
            </w:r>
          </w:p>
        </w:tc>
        <w:tc>
          <w:tcPr>
            <w:tcW w:w="1247" w:type="dxa"/>
            <w:vAlign w:val="center"/>
          </w:tcPr>
          <w:p>
            <w:pPr>
              <w:spacing w:before="98"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22</w:t>
            </w:r>
          </w:p>
        </w:tc>
        <w:tc>
          <w:tcPr>
            <w:tcW w:w="2381" w:type="dxa"/>
            <w:vAlign w:val="center"/>
          </w:tcPr>
          <w:p>
            <w:pPr>
              <w:spacing w:before="107" w:beforeLines="0" w:afterLines="0" w:line="222"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5"/>
                <w:sz w:val="24"/>
                <w:szCs w:val="24"/>
              </w:rPr>
              <w:t>喷嘴及导流件</w:t>
            </w:r>
          </w:p>
        </w:tc>
        <w:tc>
          <w:tcPr>
            <w:tcW w:w="2381" w:type="dxa"/>
            <w:vAlign w:val="center"/>
          </w:tcPr>
          <w:p>
            <w:pPr>
              <w:spacing w:before="97"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c>
          <w:tcPr>
            <w:tcW w:w="1247" w:type="dxa"/>
            <w:vAlign w:val="center"/>
          </w:tcPr>
          <w:p>
            <w:pPr>
              <w:spacing w:before="106" w:beforeLines="0" w:afterLines="0" w:line="226"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套</w:t>
            </w:r>
          </w:p>
        </w:tc>
        <w:tc>
          <w:tcPr>
            <w:tcW w:w="1247" w:type="dxa"/>
            <w:vAlign w:val="center"/>
          </w:tcPr>
          <w:p>
            <w:pPr>
              <w:spacing w:before="99"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bidi w:val="0"/>
              <w:ind w:left="0" w:leftChars="0" w:firstLine="0" w:firstLineChars="0"/>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23</w:t>
            </w:r>
          </w:p>
        </w:tc>
        <w:tc>
          <w:tcPr>
            <w:tcW w:w="2381" w:type="dxa"/>
            <w:vAlign w:val="center"/>
          </w:tcPr>
          <w:p>
            <w:pPr>
              <w:spacing w:before="107" w:beforeLines="0" w:afterLines="0" w:line="224" w:lineRule="auto"/>
              <w:ind w:left="0" w:leftChars="0"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spacing w:val="-3"/>
                <w:sz w:val="24"/>
                <w:szCs w:val="24"/>
              </w:rPr>
              <w:t>切（划）线工具</w:t>
            </w:r>
          </w:p>
        </w:tc>
        <w:tc>
          <w:tcPr>
            <w:tcW w:w="2381" w:type="dxa"/>
            <w:vAlign w:val="center"/>
          </w:tcPr>
          <w:p>
            <w:pPr>
              <w:spacing w:before="106"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31"/>
                <w:sz w:val="24"/>
                <w:szCs w:val="24"/>
              </w:rPr>
              <w:t>自制</w:t>
            </w:r>
          </w:p>
        </w:tc>
        <w:tc>
          <w:tcPr>
            <w:tcW w:w="1247" w:type="dxa"/>
            <w:vAlign w:val="center"/>
          </w:tcPr>
          <w:p>
            <w:pPr>
              <w:spacing w:before="107" w:beforeLines="0" w:afterLines="0" w:line="223"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个</w:t>
            </w:r>
          </w:p>
        </w:tc>
        <w:tc>
          <w:tcPr>
            <w:tcW w:w="1247" w:type="dxa"/>
            <w:vAlign w:val="center"/>
          </w:tcPr>
          <w:p>
            <w:pPr>
              <w:spacing w:before="101" w:beforeLines="0" w:afterLines="0" w:line="222" w:lineRule="auto"/>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pacing w:val="-11"/>
                <w:sz w:val="24"/>
                <w:szCs w:val="24"/>
              </w:rPr>
              <w:t>不限</w:t>
            </w:r>
          </w:p>
        </w:tc>
      </w:tr>
    </w:tbl>
    <w:p>
      <w:pPr>
        <w:bidi w:val="0"/>
        <w:ind w:left="0" w:leftChars="0" w:firstLine="0" w:firstLineChars="0"/>
        <w:rPr>
          <w:rFonts w:hint="default"/>
          <w:lang w:val="en-US" w:eastAsia="zh-CN"/>
        </w:rPr>
      </w:pPr>
      <w:r>
        <w:rPr>
          <w:rFonts w:hint="default"/>
          <w:lang w:val="en-US" w:eastAsia="zh-CN"/>
        </w:rPr>
        <w:t>注：若选手携带工具少于表中所列项目，赛场不负责提供。</w:t>
      </w:r>
    </w:p>
    <w:p>
      <w:pPr>
        <w:bidi w:val="0"/>
        <w:rPr>
          <w:rFonts w:hint="default"/>
          <w:lang w:val="en-US" w:eastAsia="zh-CN"/>
        </w:rPr>
      </w:pPr>
      <w:r>
        <w:rPr>
          <w:rFonts w:hint="default"/>
          <w:lang w:val="en-US" w:eastAsia="zh-CN"/>
        </w:rPr>
        <w:t>（2）选手自带设备和工具说明</w:t>
      </w:r>
    </w:p>
    <w:p>
      <w:pPr>
        <w:bidi w:val="0"/>
        <w:rPr>
          <w:rFonts w:hint="default"/>
          <w:lang w:val="en-US" w:eastAsia="zh-CN"/>
        </w:rPr>
      </w:pPr>
      <w:r>
        <w:rPr>
          <w:rFonts w:hint="default"/>
          <w:lang w:val="en-US" w:eastAsia="zh-CN"/>
        </w:rPr>
        <w:t>①选手自带的劳动防护用品、设备和工具都应符合国家安全法规要求。</w:t>
      </w:r>
    </w:p>
    <w:p>
      <w:pPr>
        <w:bidi w:val="0"/>
        <w:rPr>
          <w:rFonts w:hint="default"/>
          <w:lang w:val="en-US" w:eastAsia="zh-CN"/>
        </w:rPr>
      </w:pPr>
      <w:r>
        <w:rPr>
          <w:rFonts w:hint="default"/>
          <w:lang w:val="en-US" w:eastAsia="zh-CN"/>
        </w:rPr>
        <w:t>②选手携带的所有物品必须经过裁判员检测确认后，方可带入竞赛现场。未经裁判员检查认可的物品，选手擅自使用属违规行为。裁判员有权制止此类违规行为并视情节轻重，报裁判长做出适当处罚。</w:t>
      </w:r>
    </w:p>
    <w:p>
      <w:pPr>
        <w:bidi w:val="0"/>
        <w:rPr>
          <w:rFonts w:hint="default"/>
          <w:lang w:val="en-US" w:eastAsia="zh-CN"/>
        </w:rPr>
      </w:pPr>
      <w:r>
        <w:rPr>
          <w:rFonts w:hint="default"/>
          <w:lang w:val="en-US" w:eastAsia="zh-CN"/>
        </w:rPr>
        <w:t>③除第（1）条所列的材料、工具以外，其余的材料、工具需报备裁判长同意后方可带入赛场使用。</w:t>
      </w:r>
    </w:p>
    <w:p>
      <w:pPr>
        <w:bidi w:val="0"/>
        <w:rPr>
          <w:rFonts w:hint="default"/>
          <w:lang w:val="en-US" w:eastAsia="zh-CN"/>
        </w:rPr>
      </w:pPr>
      <w:r>
        <w:rPr>
          <w:rFonts w:hint="default"/>
          <w:lang w:val="en-US" w:eastAsia="zh-CN"/>
        </w:rPr>
        <w:t>④竞赛期间由于选手自带的设备失效或无法使用影响操作时，不予增加竞赛时间。</w:t>
      </w:r>
    </w:p>
    <w:p>
      <w:pPr>
        <w:bidi w:val="0"/>
        <w:rPr>
          <w:rFonts w:hint="default"/>
          <w:lang w:val="en-US" w:eastAsia="zh-CN"/>
        </w:rPr>
      </w:pPr>
      <w:r>
        <w:rPr>
          <w:rFonts w:hint="default"/>
          <w:lang w:val="en-US" w:eastAsia="zh-CN"/>
        </w:rPr>
        <w:t>⑤竞赛期间，不允许使用辅助工具装配试件。</w:t>
      </w:r>
    </w:p>
    <w:p>
      <w:pPr>
        <w:numPr>
          <w:ilvl w:val="0"/>
          <w:numId w:val="0"/>
        </w:numPr>
        <w:bidi w:val="0"/>
        <w:ind w:firstLine="640" w:firstLineChars="200"/>
        <w:rPr>
          <w:rFonts w:hint="default"/>
          <w:lang w:val="en-US" w:eastAsia="zh-CN"/>
        </w:rPr>
      </w:pPr>
      <w:r>
        <w:rPr>
          <w:rFonts w:hint="eastAsia"/>
          <w:lang w:val="en-US" w:eastAsia="zh-CN"/>
        </w:rPr>
        <w:t>4.</w:t>
      </w:r>
      <w:r>
        <w:rPr>
          <w:rFonts w:hint="default"/>
          <w:lang w:val="en-US" w:eastAsia="zh-CN"/>
        </w:rPr>
        <w:t>赛场禁止携带物品清单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黑体" w:hAnsi="宋体" w:eastAsia="黑体" w:cs="黑体"/>
                <w:i w:val="0"/>
                <w:iCs w:val="0"/>
                <w:color w:val="000000"/>
                <w:kern w:val="2"/>
                <w:sz w:val="24"/>
                <w:szCs w:val="24"/>
                <w:u w:val="none"/>
                <w:lang w:val="en-US" w:eastAsia="zh-CN" w:bidi="ar-SA"/>
              </w:rPr>
            </w:pPr>
            <w:r>
              <w:rPr>
                <w:rStyle w:val="83"/>
                <w:lang w:val="en-US" w:eastAsia="zh-CN" w:bidi="ar"/>
              </w:rPr>
              <w:t>序号</w:t>
            </w:r>
          </w:p>
        </w:tc>
        <w:tc>
          <w:tcPr>
            <w:tcW w:w="5669" w:type="dxa"/>
            <w:vAlign w:val="center"/>
          </w:tcPr>
          <w:p>
            <w:pPr>
              <w:keepNext w:val="0"/>
              <w:keepLines w:val="0"/>
              <w:widowControl/>
              <w:suppressLineNumbers w:val="0"/>
              <w:ind w:left="0" w:leftChars="0" w:firstLine="0" w:firstLineChars="0"/>
              <w:jc w:val="center"/>
              <w:textAlignment w:val="center"/>
              <w:rPr>
                <w:rFonts w:hint="default" w:ascii="黑体" w:hAnsi="宋体" w:eastAsia="黑体" w:cs="黑体"/>
                <w:i w:val="0"/>
                <w:iCs w:val="0"/>
                <w:color w:val="000000"/>
                <w:kern w:val="2"/>
                <w:sz w:val="24"/>
                <w:szCs w:val="24"/>
                <w:u w:val="none"/>
                <w:lang w:val="en-US" w:eastAsia="zh-CN" w:bidi="ar-SA"/>
              </w:rPr>
            </w:pPr>
            <w:r>
              <w:rPr>
                <w:rStyle w:val="83"/>
                <w:lang w:val="en-US" w:eastAsia="zh-CN" w:bidi="ar"/>
              </w:rPr>
              <w:t>设备和材料名称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669" w:type="dxa"/>
            <w:vAlign w:val="center"/>
          </w:tcPr>
          <w:p>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kern w:val="2"/>
                <w:sz w:val="24"/>
                <w:szCs w:val="24"/>
                <w:u w:val="none"/>
                <w:lang w:val="en-US" w:eastAsia="zh-CN" w:bidi="ar-SA"/>
              </w:rPr>
            </w:pPr>
            <w:r>
              <w:rPr>
                <w:rStyle w:val="84"/>
                <w:lang w:val="en-US" w:eastAsia="zh-CN" w:bidi="ar"/>
              </w:rPr>
              <w:t>自制夹持工装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669" w:type="dxa"/>
            <w:vAlign w:val="center"/>
          </w:tcPr>
          <w:p>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kern w:val="2"/>
                <w:sz w:val="24"/>
                <w:szCs w:val="24"/>
                <w:u w:val="none"/>
                <w:lang w:val="en-US" w:eastAsia="zh-CN" w:bidi="ar-SA"/>
              </w:rPr>
            </w:pPr>
            <w:r>
              <w:rPr>
                <w:rStyle w:val="84"/>
                <w:lang w:val="en-US" w:eastAsia="zh-CN" w:bidi="ar"/>
              </w:rPr>
              <w:t>焊机及焊钳、焊枪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669" w:type="dxa"/>
            <w:vAlign w:val="center"/>
          </w:tcPr>
          <w:p>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kern w:val="2"/>
                <w:sz w:val="24"/>
                <w:szCs w:val="24"/>
                <w:u w:val="none"/>
                <w:lang w:val="en-US" w:eastAsia="zh-CN" w:bidi="ar-SA"/>
              </w:rPr>
            </w:pPr>
            <w:r>
              <w:rPr>
                <w:rStyle w:val="84"/>
                <w:lang w:val="en-US" w:eastAsia="zh-CN" w:bidi="ar"/>
              </w:rPr>
              <w:t>完成或未完成的试件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669" w:type="dxa"/>
            <w:vAlign w:val="center"/>
          </w:tcPr>
          <w:p>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kern w:val="2"/>
                <w:sz w:val="24"/>
                <w:szCs w:val="24"/>
                <w:u w:val="none"/>
                <w:lang w:val="en-US" w:eastAsia="zh-CN" w:bidi="ar-SA"/>
              </w:rPr>
            </w:pPr>
            <w:r>
              <w:rPr>
                <w:rStyle w:val="84"/>
                <w:lang w:val="en-US" w:eastAsia="zh-CN" w:bidi="ar"/>
              </w:rPr>
              <w:t>焊接材料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669" w:type="dxa"/>
            <w:vAlign w:val="center"/>
          </w:tcPr>
          <w:p>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kern w:val="2"/>
                <w:sz w:val="24"/>
                <w:szCs w:val="24"/>
                <w:u w:val="none"/>
                <w:lang w:val="en-US" w:eastAsia="zh-CN" w:bidi="ar-SA"/>
              </w:rPr>
            </w:pPr>
            <w:r>
              <w:rPr>
                <w:rStyle w:val="84"/>
                <w:lang w:val="en-US" w:eastAsia="zh-CN" w:bidi="ar"/>
              </w:rPr>
              <w:t>易燃易爆化学物品</w:t>
            </w:r>
          </w:p>
        </w:tc>
      </w:tr>
    </w:tbl>
    <w:p>
      <w:pPr>
        <w:bidi w:val="0"/>
        <w:ind w:left="0" w:leftChars="0" w:firstLine="640" w:firstLineChars="200"/>
        <w:rPr>
          <w:rFonts w:hint="default"/>
          <w:lang w:val="en-US" w:eastAsia="zh-CN"/>
        </w:rPr>
      </w:pPr>
      <w:r>
        <w:rPr>
          <w:rFonts w:hint="default"/>
          <w:lang w:val="en-US" w:eastAsia="zh-CN"/>
        </w:rPr>
        <w:t>5.裁判所需工具及其他物资清单</w:t>
      </w:r>
    </w:p>
    <w:tbl>
      <w:tblPr>
        <w:tblStyle w:val="18"/>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2521"/>
        <w:gridCol w:w="3081"/>
        <w:gridCol w:w="1122"/>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序号</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设备名称</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型号</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单位</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计算机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具有office、CAD、PDF等基本办公软件</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基本办公用具</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订书机、笔、纸等办公用品</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根据比赛人数确定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A4/A3打印机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能打印和复印A3和A4，注意在计算机上安装驱动，能实现打印和复印功能</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台</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电源接线板</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5</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台灯</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台</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6</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工作台</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满足比赛试件评判要求</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7</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电子数显游标卡尺</w:t>
            </w:r>
          </w:p>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（分辨率0.01mm）</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带合格证书</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8</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数显焊缝检验尺</w:t>
            </w:r>
          </w:p>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（分辨率0.01mm）</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带合格证书</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9</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书写板夹</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10</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钢直尺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100mm</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根据监考裁判人数确定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11</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钢直尺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300mm</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12</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钢直尺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600mm</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13</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手电筒</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14</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5倍放大镜</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15</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咬边尺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16</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多功能焊缝检验尺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17</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多功能凸轮式焊缝检测规</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18</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数显面差尺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19</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划针</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20</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耐高温铝质胶带</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卷</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21</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碳钢密封板</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50*30*1.5mm</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3块/选手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22</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白色油性记号笔</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盒</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23</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黑色油性记号笔</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盒</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24</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蓝色油性记号笔</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盒</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25</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钢印号（10号）</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数字</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26</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钢印号（10号）</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字母</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27</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铁锤</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打钢印号</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把</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28</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铁毡</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打钢印号用的平台</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29</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数字秒表</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根据监考裁判人数确定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30</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计算器</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根据外观裁判人数确定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31</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防护口罩</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副</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2副/人*天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32</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安全防护镜</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副</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33</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耳塞</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副</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1副/人*天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34</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棉手套</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副</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根据裁判人数确定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35</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X光观片灯</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LED光源</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台</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36</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角磨机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125型，切割片为2mm</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台</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37</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气瓶运输车</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辆</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38</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试件运输箱</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满足试件转运需要，防磕碰</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根据运输箱大小确定数量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39</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小推车</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辆</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40</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挂钟</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带倒计时功能</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41</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投影仪</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常规</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42</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投影幕布</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满足现场会议需要</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43</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麦克风等音响设备</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满足现场会议需要</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套</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44</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口哨</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45</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档案袋</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46</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封条</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47</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签字笔</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盒</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根据选手人数确定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48</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办公桌和椅子</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供所有裁判使用</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49</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饮水机</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供所有裁判使用</w:t>
            </w: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50</w:t>
            </w:r>
          </w:p>
        </w:tc>
        <w:tc>
          <w:tcPr>
            <w:tcW w:w="252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抽签箱</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480" w:firstLineChars="200"/>
              <w:jc w:val="center"/>
              <w:textAlignment w:val="auto"/>
              <w:rPr>
                <w:rFonts w:hint="eastAsia" w:ascii="仿宋" w:hAnsi="仿宋" w:eastAsia="仿宋" w:cs="仿宋"/>
                <w:color w:val="000000"/>
                <w:kern w:val="2"/>
                <w:sz w:val="24"/>
                <w:szCs w:val="24"/>
                <w:lang w:val="en-US" w:eastAsia="zh-CN" w:bidi="ar-SA"/>
              </w:rPr>
            </w:pPr>
          </w:p>
        </w:tc>
        <w:tc>
          <w:tcPr>
            <w:tcW w:w="1122"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个</w:t>
            </w:r>
          </w:p>
        </w:tc>
        <w:tc>
          <w:tcPr>
            <w:tcW w:w="1793" w:type="dxa"/>
            <w:vAlign w:val="center"/>
          </w:tcPr>
          <w:p>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1个</w:t>
            </w:r>
          </w:p>
        </w:tc>
      </w:tr>
    </w:tbl>
    <w:p>
      <w:pPr>
        <w:bidi w:val="0"/>
        <w:ind w:left="0" w:leftChars="0" w:firstLine="0" w:firstLineChars="0"/>
        <w:rPr>
          <w:rFonts w:hint="default"/>
          <w:lang w:val="en-US" w:eastAsia="zh-CN"/>
        </w:rPr>
      </w:pPr>
      <w:r>
        <w:rPr>
          <w:rFonts w:hint="default"/>
          <w:lang w:val="en-US" w:eastAsia="zh-CN"/>
        </w:rPr>
        <w:t>注：第三方检测机构须按竞赛安排配备第三方检测所用的试件转送车辆。</w:t>
      </w:r>
    </w:p>
    <w:p>
      <w:pPr>
        <w:pStyle w:val="3"/>
        <w:bidi w:val="0"/>
        <w:outlineLvl w:val="0"/>
        <w:rPr>
          <w:rFonts w:hint="default"/>
          <w:lang w:val="en-US" w:eastAsia="zh-CN"/>
        </w:rPr>
      </w:pPr>
      <w:bookmarkStart w:id="19" w:name="_Toc12671"/>
      <w:r>
        <w:rPr>
          <w:rFonts w:hint="default"/>
          <w:lang w:val="en-US" w:eastAsia="zh-CN"/>
        </w:rPr>
        <w:t>五、安全、健康要求</w:t>
      </w:r>
      <w:bookmarkEnd w:id="19"/>
    </w:p>
    <w:p>
      <w:pPr>
        <w:pStyle w:val="5"/>
        <w:bidi w:val="0"/>
        <w:outlineLvl w:val="1"/>
        <w:rPr>
          <w:rFonts w:hint="default"/>
          <w:lang w:val="en-US" w:eastAsia="zh-CN"/>
        </w:rPr>
      </w:pPr>
      <w:bookmarkStart w:id="20" w:name="_Toc15158"/>
      <w:r>
        <w:rPr>
          <w:rFonts w:hint="default"/>
          <w:lang w:val="en-US" w:eastAsia="zh-CN"/>
        </w:rPr>
        <w:t>（一）赛场人员安全要求</w:t>
      </w:r>
      <w:bookmarkEnd w:id="20"/>
    </w:p>
    <w:p>
      <w:pPr>
        <w:bidi w:val="0"/>
        <w:rPr>
          <w:rFonts w:hint="default"/>
          <w:lang w:val="en-US" w:eastAsia="zh-CN"/>
        </w:rPr>
      </w:pPr>
      <w:r>
        <w:rPr>
          <w:rFonts w:hint="default"/>
          <w:lang w:val="en-US" w:eastAsia="zh-CN"/>
        </w:rPr>
        <w:t>1.裁判、选手、工作人员等所有参与赛事的人员在竞赛期间应遵守组委会和执委会的安全规定和要求。</w:t>
      </w:r>
    </w:p>
    <w:p>
      <w:pPr>
        <w:bidi w:val="0"/>
        <w:rPr>
          <w:rFonts w:hint="default"/>
          <w:lang w:val="en-US" w:eastAsia="zh-CN"/>
        </w:rPr>
      </w:pPr>
      <w:r>
        <w:rPr>
          <w:rFonts w:hint="default"/>
          <w:lang w:val="en-US" w:eastAsia="zh-CN"/>
        </w:rPr>
        <w:t>2.参赛选手进入竞赛场地后，须听从并尊重裁判人员的管理，文明参赛。</w:t>
      </w:r>
    </w:p>
    <w:p>
      <w:pPr>
        <w:bidi w:val="0"/>
        <w:rPr>
          <w:rFonts w:hint="default"/>
          <w:lang w:val="en-US" w:eastAsia="zh-CN"/>
        </w:rPr>
      </w:pPr>
      <w:r>
        <w:rPr>
          <w:rFonts w:hint="default"/>
          <w:lang w:val="en-US" w:eastAsia="zh-CN"/>
        </w:rPr>
        <w:t>3.参赛选手必须在确保人身安全和设备安全的前提下开始竞赛，发现或发生有关安全问题，应立即向裁判报告。</w:t>
      </w:r>
    </w:p>
    <w:p>
      <w:pPr>
        <w:bidi w:val="0"/>
        <w:rPr>
          <w:rFonts w:hint="default"/>
          <w:lang w:val="en-US" w:eastAsia="zh-CN"/>
        </w:rPr>
      </w:pPr>
      <w:r>
        <w:rPr>
          <w:rFonts w:hint="default"/>
          <w:lang w:val="en-US" w:eastAsia="zh-CN"/>
        </w:rPr>
        <w:t>4.参赛选手操作时，要严格按照附录2个人防护要求穿、佩戴劳动防护用品。</w:t>
      </w:r>
    </w:p>
    <w:p>
      <w:pPr>
        <w:bidi w:val="0"/>
        <w:rPr>
          <w:rFonts w:hint="default"/>
          <w:lang w:val="en-US" w:eastAsia="zh-CN"/>
        </w:rPr>
      </w:pPr>
      <w:r>
        <w:rPr>
          <w:rFonts w:hint="default"/>
          <w:lang w:val="en-US" w:eastAsia="zh-CN"/>
        </w:rPr>
        <w:t>5.参赛选手严禁在赛场区域内吸烟和私自动用明火，严禁携带易燃易爆物品。</w:t>
      </w:r>
    </w:p>
    <w:p>
      <w:pPr>
        <w:bidi w:val="0"/>
        <w:rPr>
          <w:rFonts w:hint="default"/>
          <w:lang w:val="en-US" w:eastAsia="zh-CN"/>
        </w:rPr>
      </w:pPr>
      <w:r>
        <w:rPr>
          <w:rFonts w:hint="default"/>
          <w:lang w:val="en-US" w:eastAsia="zh-CN"/>
        </w:rPr>
        <w:t>6.参赛选手停止操作时，应先关焊机再关闭电源开关。移动电焊机等电气设备时，应首先切断电源。</w:t>
      </w:r>
    </w:p>
    <w:p>
      <w:pPr>
        <w:bidi w:val="0"/>
        <w:rPr>
          <w:rFonts w:hint="default"/>
          <w:lang w:val="en-US" w:eastAsia="zh-CN"/>
        </w:rPr>
      </w:pPr>
      <w:r>
        <w:rPr>
          <w:rFonts w:hint="default"/>
          <w:lang w:val="en-US" w:eastAsia="zh-CN"/>
        </w:rPr>
        <w:t>7.参赛选手使用手持电动工具应符合现行国家标准(GB/T3787-2017)《手持式电动工具的管理、使用、检查和维修安全技术规程》的规定。</w:t>
      </w:r>
    </w:p>
    <w:p>
      <w:pPr>
        <w:bidi w:val="0"/>
        <w:rPr>
          <w:rFonts w:hint="default"/>
          <w:lang w:val="en-US" w:eastAsia="zh-CN"/>
        </w:rPr>
      </w:pPr>
      <w:r>
        <w:rPr>
          <w:rFonts w:hint="default"/>
          <w:lang w:val="en-US" w:eastAsia="zh-CN"/>
        </w:rPr>
        <w:t>8.竞赛期间参赛选手须将废弃物丢弃到赛场指定区域，正确使用赛场除尘设备。</w:t>
      </w:r>
    </w:p>
    <w:p>
      <w:pPr>
        <w:bidi w:val="0"/>
        <w:rPr>
          <w:rFonts w:hint="default"/>
          <w:lang w:val="en-US" w:eastAsia="zh-CN"/>
        </w:rPr>
      </w:pPr>
      <w:r>
        <w:rPr>
          <w:rFonts w:hint="default"/>
          <w:lang w:val="en-US" w:eastAsia="zh-CN"/>
        </w:rPr>
        <w:t>9.参赛选手违反遵守竞赛规则和安全规定时，裁判组将报请裁判长视情况决定是否取消参赛资格。如违反相关操作规程造成设备、人员伤害等安全事故时，由个人承担赔偿责任。</w:t>
      </w:r>
    </w:p>
    <w:p>
      <w:pPr>
        <w:bidi w:val="0"/>
        <w:rPr>
          <w:rFonts w:hint="default"/>
          <w:lang w:val="en-US" w:eastAsia="zh-CN"/>
        </w:rPr>
      </w:pPr>
      <w:r>
        <w:rPr>
          <w:rFonts w:hint="default"/>
          <w:lang w:val="en-US" w:eastAsia="zh-CN"/>
        </w:rPr>
        <w:t>10.赛场周围要设立警戒线，防止无关人员进入赛场而发生意外事件。</w:t>
      </w:r>
    </w:p>
    <w:p>
      <w:pPr>
        <w:bidi w:val="0"/>
        <w:rPr>
          <w:rFonts w:hint="default"/>
          <w:lang w:val="en-US" w:eastAsia="zh-CN"/>
        </w:rPr>
      </w:pPr>
      <w:r>
        <w:rPr>
          <w:rFonts w:hint="default"/>
          <w:lang w:val="en-US" w:eastAsia="zh-CN"/>
        </w:rPr>
        <w:t>11.未经许可，不得进入标有警告标示的危险区。</w:t>
      </w:r>
    </w:p>
    <w:p>
      <w:pPr>
        <w:bidi w:val="0"/>
        <w:outlineLvl w:val="1"/>
        <w:rPr>
          <w:rStyle w:val="74"/>
          <w:rFonts w:hint="default"/>
          <w:lang w:val="en-US" w:eastAsia="zh-CN"/>
        </w:rPr>
      </w:pPr>
      <w:bookmarkStart w:id="21" w:name="_Toc1855"/>
      <w:r>
        <w:rPr>
          <w:rFonts w:hint="default"/>
          <w:lang w:val="en-US" w:eastAsia="zh-CN"/>
        </w:rPr>
        <w:t>（</w:t>
      </w:r>
      <w:r>
        <w:rPr>
          <w:rStyle w:val="74"/>
          <w:rFonts w:hint="default"/>
          <w:lang w:val="en-US" w:eastAsia="zh-CN"/>
        </w:rPr>
        <w:t>二）场地设备安全要求</w:t>
      </w:r>
      <w:bookmarkEnd w:id="21"/>
    </w:p>
    <w:p>
      <w:pPr>
        <w:bidi w:val="0"/>
        <w:rPr>
          <w:rFonts w:hint="default"/>
          <w:lang w:val="en-US" w:eastAsia="zh-CN"/>
        </w:rPr>
      </w:pPr>
      <w:r>
        <w:rPr>
          <w:rFonts w:hint="default"/>
          <w:lang w:val="en-US" w:eastAsia="zh-CN"/>
        </w:rPr>
        <w:t>1.设施设备安全操作要求</w:t>
      </w:r>
    </w:p>
    <w:p>
      <w:pPr>
        <w:bidi w:val="0"/>
        <w:rPr>
          <w:rFonts w:hint="default"/>
          <w:lang w:val="en-US" w:eastAsia="zh-CN"/>
        </w:rPr>
      </w:pPr>
      <w:r>
        <w:rPr>
          <w:rFonts w:hint="default"/>
          <w:lang w:val="en-US" w:eastAsia="zh-CN"/>
        </w:rPr>
        <w:t>（1）禁止选手及所有参加赛事的人员携带任何有毒有害物品进入竞赛现场。竞赛现场的化学物品应有明显标示，并配备专人监管。</w:t>
      </w:r>
    </w:p>
    <w:p>
      <w:pPr>
        <w:bidi w:val="0"/>
        <w:rPr>
          <w:rFonts w:hint="default"/>
          <w:lang w:val="en-US" w:eastAsia="zh-CN"/>
        </w:rPr>
      </w:pPr>
      <w:r>
        <w:rPr>
          <w:rFonts w:hint="default"/>
          <w:lang w:val="en-US" w:eastAsia="zh-CN"/>
        </w:rPr>
        <w:t>（2）大赛设置专门的安全防卫组，负责竞赛期间健康和安全事务。主要包括检查竞赛场地、与会人员居住地、车辆交通及其周围环境的安全防卫；制定紧急应对方案；督导竞赛场地用电、用气等相关安全问题；监督与会人员食品安全与卫生；分析和处理安全突发事件等工作。</w:t>
      </w:r>
    </w:p>
    <w:p>
      <w:pPr>
        <w:bidi w:val="0"/>
        <w:rPr>
          <w:rFonts w:hint="default"/>
          <w:lang w:val="en-US" w:eastAsia="zh-CN"/>
        </w:rPr>
      </w:pPr>
      <w:r>
        <w:rPr>
          <w:rFonts w:hint="default"/>
          <w:lang w:val="en-US" w:eastAsia="zh-CN"/>
        </w:rPr>
        <w:t>（3）赛场须配备相应医疗人员和急救人员，并备有相应急救设施。</w:t>
      </w:r>
    </w:p>
    <w:p>
      <w:pPr>
        <w:bidi w:val="0"/>
        <w:rPr>
          <w:rFonts w:hint="default"/>
          <w:lang w:val="en-US" w:eastAsia="zh-CN"/>
        </w:rPr>
      </w:pPr>
      <w:r>
        <w:rPr>
          <w:rFonts w:hint="default"/>
          <w:lang w:val="en-US" w:eastAsia="zh-CN"/>
        </w:rPr>
        <w:t>2.赛场消防安全要求</w:t>
      </w:r>
    </w:p>
    <w:p>
      <w:pPr>
        <w:bidi w:val="0"/>
        <w:rPr>
          <w:rFonts w:hint="default"/>
          <w:lang w:val="en-US" w:eastAsia="zh-CN"/>
        </w:rPr>
      </w:pPr>
      <w:r>
        <w:rPr>
          <w:rFonts w:hint="default"/>
          <w:lang w:val="en-US" w:eastAsia="zh-CN"/>
        </w:rPr>
        <w:t>（1）所有竞赛场地都应有满足要求的安全通道，并在明显位置放置安全应急通道指示标志。</w:t>
      </w:r>
    </w:p>
    <w:p>
      <w:pPr>
        <w:bidi w:val="0"/>
        <w:rPr>
          <w:rFonts w:hint="default"/>
          <w:lang w:val="en-US" w:eastAsia="zh-CN"/>
        </w:rPr>
      </w:pPr>
      <w:r>
        <w:rPr>
          <w:rFonts w:hint="default"/>
          <w:lang w:val="en-US" w:eastAsia="zh-CN"/>
        </w:rPr>
        <w:t>（2）所有竞赛场地都应按照GB50016-2014《建筑设计防火规范》要求配备消防设施。</w:t>
      </w:r>
    </w:p>
    <w:p>
      <w:pPr>
        <w:bidi w:val="0"/>
        <w:rPr>
          <w:rFonts w:hint="default"/>
          <w:lang w:val="en-US" w:eastAsia="zh-CN"/>
        </w:rPr>
      </w:pPr>
      <w:r>
        <w:rPr>
          <w:rFonts w:hint="default"/>
          <w:lang w:val="en-US" w:eastAsia="zh-CN"/>
        </w:rPr>
        <w:t>（3）所有消防设施必须完好且在有效期内。</w:t>
      </w:r>
    </w:p>
    <w:p>
      <w:pPr>
        <w:bidi w:val="0"/>
        <w:rPr>
          <w:rFonts w:hint="default"/>
          <w:lang w:val="en-US" w:eastAsia="zh-CN"/>
        </w:rPr>
      </w:pPr>
      <w:r>
        <w:rPr>
          <w:rFonts w:hint="default"/>
          <w:lang w:val="en-US" w:eastAsia="zh-CN"/>
        </w:rPr>
        <w:t>（4）承办单位应在每个场地至少安排1名经过消防培训且熟悉环境的工作人员，以备突发事件发生时及时有效地疏导人员。</w:t>
      </w:r>
    </w:p>
    <w:p>
      <w:pPr>
        <w:bidi w:val="0"/>
        <w:rPr>
          <w:rFonts w:hint="default"/>
          <w:lang w:val="en-US" w:eastAsia="zh-CN"/>
        </w:rPr>
      </w:pPr>
      <w:r>
        <w:rPr>
          <w:rFonts w:hint="default"/>
          <w:lang w:val="en-US" w:eastAsia="zh-CN"/>
        </w:rPr>
        <w:t>（5）所有竞赛场地应避免堆积易燃材料。如材料确实为竞赛所需，赛场只允许存放单日所需数量的易燃材料。</w:t>
      </w:r>
    </w:p>
    <w:p>
      <w:pPr>
        <w:bidi w:val="0"/>
        <w:rPr>
          <w:rFonts w:hint="default"/>
          <w:lang w:val="en-US" w:eastAsia="zh-CN"/>
        </w:rPr>
      </w:pPr>
      <w:r>
        <w:rPr>
          <w:rFonts w:hint="default"/>
          <w:lang w:val="en-US" w:eastAsia="zh-CN"/>
        </w:rPr>
        <w:t>（6）所有竞赛场地内高度易燃的废弃物，如纸张、硬纸包装箱、箔片等必须扔在专门的垃圾桶中，且垃圾桶每日至少倒空一次。</w:t>
      </w:r>
    </w:p>
    <w:p>
      <w:pPr>
        <w:bidi w:val="0"/>
        <w:rPr>
          <w:rFonts w:hint="default"/>
          <w:lang w:val="en-US" w:eastAsia="zh-CN"/>
        </w:rPr>
      </w:pPr>
      <w:r>
        <w:rPr>
          <w:rFonts w:hint="default"/>
          <w:lang w:val="en-US" w:eastAsia="zh-CN"/>
        </w:rPr>
        <w:t>（7）所有室内区域为禁烟区，只允许在指定区域吸烟。</w:t>
      </w:r>
    </w:p>
    <w:p>
      <w:pPr>
        <w:bidi w:val="0"/>
        <w:rPr>
          <w:rFonts w:hint="default"/>
          <w:lang w:val="en-US" w:eastAsia="zh-CN"/>
        </w:rPr>
      </w:pPr>
      <w:r>
        <w:rPr>
          <w:rFonts w:hint="default"/>
          <w:lang w:val="en-US" w:eastAsia="zh-CN"/>
        </w:rPr>
        <w:t>（8）赛场应保持整洁，尤其是紧急疏散通道，禁止堆放任何杂物。</w:t>
      </w:r>
    </w:p>
    <w:p>
      <w:pPr>
        <w:bidi w:val="0"/>
        <w:rPr>
          <w:rFonts w:hint="default"/>
          <w:lang w:val="en-US" w:eastAsia="zh-CN"/>
        </w:rPr>
      </w:pPr>
      <w:r>
        <w:rPr>
          <w:rFonts w:hint="default"/>
          <w:lang w:val="en-US" w:eastAsia="zh-CN"/>
        </w:rPr>
        <w:t>（9）承办单位应制定竞赛期间应急预案并保证应急预案实施的条件。</w:t>
      </w:r>
    </w:p>
    <w:p>
      <w:pPr>
        <w:bidi w:val="0"/>
        <w:rPr>
          <w:rFonts w:hint="default"/>
          <w:lang w:val="en-US" w:eastAsia="zh-CN"/>
        </w:rPr>
      </w:pPr>
      <w:r>
        <w:rPr>
          <w:rFonts w:hint="default"/>
          <w:lang w:val="en-US" w:eastAsia="zh-CN"/>
        </w:rPr>
        <w:t>3.安全标识张贴要求</w:t>
      </w:r>
    </w:p>
    <w:p>
      <w:pPr>
        <w:bidi w:val="0"/>
        <w:rPr>
          <w:rFonts w:hint="default"/>
          <w:lang w:val="en-US" w:eastAsia="zh-CN"/>
        </w:rPr>
      </w:pPr>
      <w:r>
        <w:rPr>
          <w:rFonts w:hint="default"/>
          <w:lang w:val="en-US" w:eastAsia="zh-CN"/>
        </w:rPr>
        <w:t>根据GB2894《安全标志及其使用导则》在所有竞赛场地张贴安全标识。</w:t>
      </w:r>
    </w:p>
    <w:p>
      <w:pPr>
        <w:bidi w:val="0"/>
        <w:rPr>
          <w:rFonts w:hint="default"/>
          <w:lang w:val="en-US" w:eastAsia="zh-CN"/>
        </w:rPr>
      </w:pPr>
      <w:r>
        <w:rPr>
          <w:rFonts w:hint="default"/>
          <w:lang w:val="en-US" w:eastAsia="zh-CN"/>
        </w:rPr>
        <w:t>4.设备安全操作规程</w:t>
      </w:r>
    </w:p>
    <w:p>
      <w:pPr>
        <w:bidi w:val="0"/>
        <w:rPr>
          <w:rFonts w:hint="default"/>
          <w:lang w:val="en-US" w:eastAsia="zh-CN"/>
        </w:rPr>
      </w:pPr>
      <w:r>
        <w:rPr>
          <w:rFonts w:hint="default"/>
          <w:lang w:val="en-US" w:eastAsia="zh-CN"/>
        </w:rPr>
        <w:t>（1）焊接设备必须安放在通风良好、干燥、无腐蚀介质、远离高温高湿和多粉尘的地方。露天使用的焊接设备应设防雨棚，焊接设备应使用绝缘物垫起，垫起高度不得小于20厘米，按要求配备消防器材。</w:t>
      </w:r>
    </w:p>
    <w:p>
      <w:pPr>
        <w:bidi w:val="0"/>
        <w:rPr>
          <w:rFonts w:hint="default"/>
          <w:lang w:val="en-US" w:eastAsia="zh-CN"/>
        </w:rPr>
      </w:pPr>
      <w:r>
        <w:rPr>
          <w:rFonts w:hint="default"/>
          <w:lang w:val="en-US" w:eastAsia="zh-CN"/>
        </w:rPr>
        <w:t>（2）焊接设备使用前，必须检查绝缘及接线情况，接线部分必须使用绝缘胶布缠严，不得腐蚀、受潮及松动。</w:t>
      </w:r>
    </w:p>
    <w:p>
      <w:pPr>
        <w:bidi w:val="0"/>
        <w:rPr>
          <w:rFonts w:hint="default"/>
          <w:lang w:val="en-US" w:eastAsia="zh-CN"/>
        </w:rPr>
      </w:pPr>
      <w:r>
        <w:rPr>
          <w:rFonts w:hint="default"/>
          <w:lang w:val="en-US" w:eastAsia="zh-CN"/>
        </w:rPr>
        <w:t>（3）焊接设备必须设单独的电源开关、自动断电装置。一次线长度一般不超过5m，二次线长度一般不超过30m。一、二次线应压接牢固，必须安装可靠防护罩。</w:t>
      </w:r>
    </w:p>
    <w:p>
      <w:pPr>
        <w:bidi w:val="0"/>
        <w:rPr>
          <w:rFonts w:hint="default"/>
          <w:lang w:val="en-US" w:eastAsia="zh-CN"/>
        </w:rPr>
      </w:pPr>
      <w:r>
        <w:rPr>
          <w:rFonts w:hint="default"/>
          <w:lang w:val="en-US" w:eastAsia="zh-CN"/>
        </w:rPr>
        <w:t>（4）焊接设备应有完整的保护外壳，外壳必须设可靠的接零或接地保护。</w:t>
      </w:r>
    </w:p>
    <w:p>
      <w:pPr>
        <w:bidi w:val="0"/>
        <w:rPr>
          <w:rFonts w:hint="default"/>
          <w:lang w:val="en-US" w:eastAsia="zh-CN"/>
        </w:rPr>
      </w:pPr>
      <w:r>
        <w:rPr>
          <w:rFonts w:hint="default"/>
          <w:lang w:val="en-US" w:eastAsia="zh-CN"/>
        </w:rPr>
        <w:t>（5）焊接设备内部应保持清洁。定期吹净尘土。清扫时必须切断电源。</w:t>
      </w:r>
    </w:p>
    <w:p>
      <w:pPr>
        <w:bidi w:val="0"/>
        <w:rPr>
          <w:rFonts w:hint="default"/>
          <w:lang w:val="en-US" w:eastAsia="zh-CN"/>
        </w:rPr>
      </w:pPr>
      <w:r>
        <w:rPr>
          <w:rFonts w:hint="default"/>
          <w:lang w:val="en-US" w:eastAsia="zh-CN"/>
        </w:rPr>
        <w:t>（6）焊接设备启动后，必须空载运行一段时间。调节焊接电流及极性开关应在空载下进行。</w:t>
      </w:r>
    </w:p>
    <w:p>
      <w:pPr>
        <w:bidi w:val="0"/>
        <w:rPr>
          <w:rFonts w:hint="default"/>
          <w:lang w:val="en-US" w:eastAsia="zh-CN"/>
        </w:rPr>
      </w:pPr>
      <w:r>
        <w:rPr>
          <w:rFonts w:hint="default"/>
          <w:lang w:val="en-US" w:eastAsia="zh-CN"/>
        </w:rPr>
        <w:t>（7）严禁用拖拉电缆的方法移动焊接设备。移动焊接设备、焊接中途突然停电和修理时，必须立即切断电源。</w:t>
      </w:r>
    </w:p>
    <w:p>
      <w:pPr>
        <w:rPr>
          <w:rFonts w:hint="default"/>
          <w:lang w:val="en-US" w:eastAsia="zh-CN"/>
        </w:rPr>
      </w:pPr>
      <w:r>
        <w:rPr>
          <w:rFonts w:hint="default"/>
          <w:lang w:val="en-US" w:eastAsia="zh-CN"/>
        </w:rPr>
        <w:br w:type="page"/>
      </w:r>
    </w:p>
    <w:p>
      <w:pPr>
        <w:bidi w:val="0"/>
        <w:rPr>
          <w:rFonts w:hint="default"/>
          <w:lang w:val="en-US" w:eastAsia="zh-CN"/>
        </w:rPr>
      </w:pPr>
    </w:p>
    <w:p>
      <w:pPr>
        <w:bidi w:val="0"/>
        <w:rPr>
          <w:rFonts w:hint="default"/>
          <w:lang w:val="en-US" w:eastAsia="zh-CN"/>
        </w:rPr>
      </w:pPr>
    </w:p>
    <w:p>
      <w:pPr>
        <w:bidi w:val="0"/>
        <w:jc w:val="center"/>
        <w:outlineLvl w:val="0"/>
        <w:rPr>
          <w:rFonts w:hint="default"/>
          <w:lang w:val="en-US" w:eastAsia="zh-CN"/>
        </w:rPr>
      </w:pPr>
      <w:bookmarkStart w:id="22" w:name="_Toc28168"/>
      <w:r>
        <w:rPr>
          <w:rStyle w:val="35"/>
          <w:rFonts w:hint="default"/>
          <w:lang w:val="en-US" w:eastAsia="zh-CN"/>
        </w:rPr>
        <w:t>益阳市第二届职业技能大赛</w:t>
      </w:r>
      <w:bookmarkEnd w:id="22"/>
    </w:p>
    <w:p>
      <w:pPr>
        <w:bidi w:val="0"/>
        <w:jc w:val="center"/>
        <w:rPr>
          <w:rStyle w:val="34"/>
          <w:rFonts w:hint="default"/>
          <w:lang w:val="en-US" w:eastAsia="zh-CN"/>
        </w:rPr>
      </w:pPr>
      <w:bookmarkStart w:id="23" w:name="_Toc1458"/>
      <w:r>
        <w:rPr>
          <w:rStyle w:val="34"/>
          <w:rFonts w:hint="default"/>
          <w:lang w:val="en-US" w:eastAsia="zh-CN"/>
        </w:rPr>
        <w:t>模块A板对接仰位焊</w:t>
      </w:r>
    </w:p>
    <w:bookmarkEnd w:id="23"/>
    <w:p>
      <w:pPr>
        <w:bidi w:val="0"/>
        <w:rPr>
          <w:rFonts w:hint="default"/>
          <w:lang w:val="en-US" w:eastAsia="zh-CN"/>
        </w:rPr>
      </w:pPr>
    </w:p>
    <w:p>
      <w:pPr>
        <w:bidi w:val="0"/>
        <w:rPr>
          <w:rFonts w:hint="default"/>
          <w:lang w:val="en-US" w:eastAsia="zh-CN"/>
        </w:rPr>
      </w:pPr>
      <w:r>
        <w:drawing>
          <wp:anchor distT="0" distB="0" distL="114300" distR="114300" simplePos="0" relativeHeight="251660288" behindDoc="0" locked="0" layoutInCell="1" allowOverlap="1">
            <wp:simplePos x="0" y="0"/>
            <wp:positionH relativeFrom="column">
              <wp:posOffset>234950</wp:posOffset>
            </wp:positionH>
            <wp:positionV relativeFrom="paragraph">
              <wp:posOffset>180975</wp:posOffset>
            </wp:positionV>
            <wp:extent cx="5610860" cy="2997200"/>
            <wp:effectExtent l="0" t="0" r="8890" b="12700"/>
            <wp:wrapSquare wrapText="bothSides"/>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9"/>
                    <a:stretch>
                      <a:fillRect/>
                    </a:stretch>
                  </pic:blipFill>
                  <pic:spPr>
                    <a:xfrm>
                      <a:off x="0" y="0"/>
                      <a:ext cx="5610860" cy="2997200"/>
                    </a:xfrm>
                    <a:prstGeom prst="rect">
                      <a:avLst/>
                    </a:prstGeom>
                    <a:noFill/>
                    <a:ln>
                      <a:noFill/>
                    </a:ln>
                  </pic:spPr>
                </pic:pic>
              </a:graphicData>
            </a:graphic>
          </wp:anchor>
        </w:drawing>
      </w:r>
    </w:p>
    <w:p>
      <w:pPr>
        <w:rPr>
          <w:rFonts w:hint="default"/>
          <w:lang w:val="en-US" w:eastAsia="zh-CN"/>
        </w:rPr>
      </w:pPr>
      <w:r>
        <w:rPr>
          <w:rFonts w:hint="default"/>
          <w:lang w:val="en-US" w:eastAsia="zh-CN"/>
        </w:rPr>
        <w:br w:type="page"/>
      </w:r>
    </w:p>
    <w:p>
      <w:pPr>
        <w:pStyle w:val="2"/>
        <w:bidi w:val="0"/>
        <w:jc w:val="center"/>
        <w:rPr>
          <w:rFonts w:hint="default"/>
          <w:lang w:val="en-US" w:eastAsia="zh-CN"/>
        </w:rPr>
      </w:pPr>
      <w:bookmarkStart w:id="24" w:name="_Toc5268"/>
      <w:r>
        <w:rPr>
          <w:rFonts w:hint="default"/>
          <w:lang w:val="en-US" w:eastAsia="zh-CN"/>
        </w:rPr>
        <w:t>益阳市第二届职业技能大赛</w:t>
      </w:r>
      <w:bookmarkEnd w:id="24"/>
    </w:p>
    <w:p>
      <w:pPr>
        <w:pStyle w:val="3"/>
        <w:bidi w:val="0"/>
        <w:ind w:left="0" w:leftChars="0" w:firstLine="0" w:firstLineChars="0"/>
        <w:jc w:val="center"/>
        <w:outlineLvl w:val="0"/>
        <w:rPr>
          <w:rFonts w:hint="default"/>
          <w:lang w:val="en-US" w:eastAsia="zh-CN"/>
        </w:rPr>
      </w:pPr>
      <w:bookmarkStart w:id="25" w:name="_Toc30848"/>
      <w:r>
        <w:rPr>
          <w:rFonts w:hint="default"/>
          <w:lang w:val="en-US" w:eastAsia="zh-CN"/>
        </w:rPr>
        <w:t>模块B管对接垂直固定焊</w:t>
      </w:r>
      <w:bookmarkEnd w:id="25"/>
    </w:p>
    <w:p>
      <w:pPr>
        <w:bidi w:val="0"/>
        <w:rPr>
          <w:rFonts w:hint="default"/>
          <w:lang w:val="en-US" w:eastAsia="zh-CN"/>
        </w:rPr>
      </w:pPr>
    </w:p>
    <w:p>
      <w:pPr>
        <w:bidi w:val="0"/>
        <w:rPr>
          <w:rFonts w:hint="default"/>
          <w:lang w:val="en-US" w:eastAsia="zh-CN"/>
        </w:rPr>
      </w:pPr>
      <w:r>
        <w:drawing>
          <wp:anchor distT="0" distB="0" distL="114300" distR="114300" simplePos="0" relativeHeight="251661312" behindDoc="0" locked="0" layoutInCell="1" allowOverlap="1">
            <wp:simplePos x="0" y="0"/>
            <wp:positionH relativeFrom="column">
              <wp:posOffset>330200</wp:posOffset>
            </wp:positionH>
            <wp:positionV relativeFrom="paragraph">
              <wp:posOffset>144145</wp:posOffset>
            </wp:positionV>
            <wp:extent cx="5010150" cy="4905375"/>
            <wp:effectExtent l="0" t="0" r="0" b="9525"/>
            <wp:wrapSquare wrapText="bothSides"/>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0"/>
                    <a:stretch>
                      <a:fillRect/>
                    </a:stretch>
                  </pic:blipFill>
                  <pic:spPr>
                    <a:xfrm>
                      <a:off x="0" y="0"/>
                      <a:ext cx="5010150" cy="4905375"/>
                    </a:xfrm>
                    <a:prstGeom prst="rect">
                      <a:avLst/>
                    </a:prstGeom>
                    <a:noFill/>
                    <a:ln>
                      <a:noFill/>
                    </a:ln>
                  </pic:spPr>
                </pic:pic>
              </a:graphicData>
            </a:graphic>
          </wp:anchor>
        </w:drawing>
      </w:r>
    </w:p>
    <w:p>
      <w:pPr>
        <w:bidi w:val="0"/>
        <w:rPr>
          <w:rFonts w:hint="default"/>
          <w:lang w:val="en-US" w:eastAsia="zh-CN"/>
        </w:rPr>
      </w:pPr>
    </w:p>
    <w:p>
      <w:pPr>
        <w:rPr>
          <w:rFonts w:hint="default"/>
          <w:lang w:val="en-US" w:eastAsia="zh-CN"/>
        </w:rPr>
      </w:pPr>
      <w:r>
        <w:rPr>
          <w:rFonts w:hint="default"/>
          <w:lang w:val="en-US" w:eastAsia="zh-CN"/>
        </w:rPr>
        <w:br w:type="page"/>
      </w:r>
    </w:p>
    <w:p>
      <w:pPr>
        <w:pStyle w:val="2"/>
        <w:bidi w:val="0"/>
        <w:rPr>
          <w:rFonts w:hint="default"/>
          <w:lang w:val="en-US" w:eastAsia="zh-CN"/>
        </w:rPr>
      </w:pPr>
      <w:bookmarkStart w:id="26" w:name="_Toc9329"/>
      <w:r>
        <w:drawing>
          <wp:anchor distT="0" distB="0" distL="114300" distR="114300" simplePos="0" relativeHeight="251662336" behindDoc="0" locked="0" layoutInCell="1" allowOverlap="1">
            <wp:simplePos x="0" y="0"/>
            <wp:positionH relativeFrom="column">
              <wp:posOffset>292100</wp:posOffset>
            </wp:positionH>
            <wp:positionV relativeFrom="paragraph">
              <wp:posOffset>1106170</wp:posOffset>
            </wp:positionV>
            <wp:extent cx="5248275" cy="4457700"/>
            <wp:effectExtent l="0" t="0" r="9525" b="0"/>
            <wp:wrapSquare wrapText="bothSides"/>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1"/>
                    <a:stretch>
                      <a:fillRect/>
                    </a:stretch>
                  </pic:blipFill>
                  <pic:spPr>
                    <a:xfrm>
                      <a:off x="0" y="0"/>
                      <a:ext cx="5248275" cy="4457700"/>
                    </a:xfrm>
                    <a:prstGeom prst="rect">
                      <a:avLst/>
                    </a:prstGeom>
                    <a:noFill/>
                    <a:ln>
                      <a:noFill/>
                    </a:ln>
                  </pic:spPr>
                </pic:pic>
              </a:graphicData>
            </a:graphic>
          </wp:anchor>
        </w:drawing>
      </w:r>
      <w:r>
        <w:rPr>
          <w:rFonts w:hint="default"/>
          <w:lang w:val="en-US" w:eastAsia="zh-CN"/>
        </w:rPr>
        <w:t>益阳市第二届职业技能大赛</w:t>
      </w:r>
      <w:bookmarkEnd w:id="26"/>
    </w:p>
    <w:p>
      <w:pPr>
        <w:pStyle w:val="3"/>
        <w:bidi w:val="0"/>
        <w:ind w:left="0" w:leftChars="0" w:firstLine="0" w:firstLineChars="0"/>
        <w:jc w:val="center"/>
        <w:outlineLvl w:val="0"/>
        <w:rPr>
          <w:rFonts w:hint="default"/>
          <w:lang w:val="en-US" w:eastAsia="zh-CN"/>
        </w:rPr>
      </w:pPr>
      <w:bookmarkStart w:id="27" w:name="_Toc15664"/>
      <w:r>
        <w:rPr>
          <w:rFonts w:hint="default"/>
          <w:lang w:val="en-US" w:eastAsia="zh-CN"/>
        </w:rPr>
        <w:t>模块C板对接横位焊</w:t>
      </w:r>
      <w:bookmarkEnd w:id="27"/>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r>
        <w:rPr>
          <w:rFonts w:hint="default"/>
          <w:lang w:val="en-US" w:eastAsia="zh-CN"/>
        </w:rPr>
        <w:br w:type="page"/>
      </w:r>
    </w:p>
    <w:p>
      <w:pPr>
        <w:bidi w:val="0"/>
        <w:rPr>
          <w:rFonts w:hint="default"/>
          <w:lang w:val="en-US" w:eastAsia="zh-CN"/>
        </w:rPr>
      </w:pPr>
      <w:r>
        <w:drawing>
          <wp:anchor distT="0" distB="0" distL="114300" distR="114300" simplePos="0" relativeHeight="251663360" behindDoc="0" locked="0" layoutInCell="1" allowOverlap="1">
            <wp:simplePos x="0" y="0"/>
            <wp:positionH relativeFrom="column">
              <wp:posOffset>-82550</wp:posOffset>
            </wp:positionH>
            <wp:positionV relativeFrom="paragraph">
              <wp:posOffset>-6985</wp:posOffset>
            </wp:positionV>
            <wp:extent cx="5795010" cy="7985760"/>
            <wp:effectExtent l="0" t="0" r="15240" b="15240"/>
            <wp:wrapSquare wrapText="bothSides"/>
            <wp:docPr id="39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104"/>
                    <pic:cNvPicPr>
                      <a:picLocks noChangeAspect="1"/>
                    </pic:cNvPicPr>
                  </pic:nvPicPr>
                  <pic:blipFill>
                    <a:blip r:embed="rId12"/>
                    <a:stretch>
                      <a:fillRect/>
                    </a:stretch>
                  </pic:blipFill>
                  <pic:spPr>
                    <a:xfrm>
                      <a:off x="0" y="0"/>
                      <a:ext cx="5795010" cy="7985760"/>
                    </a:xfrm>
                    <a:prstGeom prst="rect">
                      <a:avLst/>
                    </a:prstGeom>
                    <a:noFill/>
                    <a:ln>
                      <a:noFill/>
                    </a:ln>
                  </pic:spPr>
                </pic:pic>
              </a:graphicData>
            </a:graphic>
          </wp:anchor>
        </w:drawing>
      </w:r>
    </w:p>
    <w:p>
      <w:pPr>
        <w:bidi w:val="0"/>
        <w:ind w:left="0" w:leftChars="0" w:firstLine="0" w:firstLineChars="0"/>
        <w:jc w:val="both"/>
        <w:rPr>
          <w:rFonts w:hint="default"/>
          <w:lang w:val="en-US" w:eastAsia="zh-CN"/>
        </w:rPr>
      </w:pPr>
      <w:r>
        <w:drawing>
          <wp:anchor distT="0" distB="0" distL="114300" distR="114300" simplePos="0" relativeHeight="251664384" behindDoc="0" locked="0" layoutInCell="1" allowOverlap="1">
            <wp:simplePos x="0" y="0"/>
            <wp:positionH relativeFrom="column">
              <wp:posOffset>-27305</wp:posOffset>
            </wp:positionH>
            <wp:positionV relativeFrom="paragraph">
              <wp:posOffset>-69850</wp:posOffset>
            </wp:positionV>
            <wp:extent cx="5727700" cy="7952105"/>
            <wp:effectExtent l="0" t="0" r="6350" b="10795"/>
            <wp:wrapSquare wrapText="bothSides"/>
            <wp:docPr id="39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05"/>
                    <pic:cNvPicPr>
                      <a:picLocks noChangeAspect="1"/>
                    </pic:cNvPicPr>
                  </pic:nvPicPr>
                  <pic:blipFill>
                    <a:blip r:embed="rId13"/>
                    <a:stretch>
                      <a:fillRect/>
                    </a:stretch>
                  </pic:blipFill>
                  <pic:spPr>
                    <a:xfrm>
                      <a:off x="0" y="0"/>
                      <a:ext cx="5727700" cy="7952105"/>
                    </a:xfrm>
                    <a:prstGeom prst="rect">
                      <a:avLst/>
                    </a:prstGeom>
                    <a:noFill/>
                    <a:ln>
                      <a:noFill/>
                    </a:ln>
                  </pic:spPr>
                </pic:pic>
              </a:graphicData>
            </a:graphic>
          </wp:anchor>
        </w:drawing>
      </w:r>
    </w:p>
    <w:p>
      <w:pPr>
        <w:bidi w:val="0"/>
        <w:ind w:left="0" w:leftChars="0" w:firstLine="0" w:firstLineChars="0"/>
        <w:jc w:val="both"/>
        <w:rPr>
          <w:rFonts w:hint="default"/>
          <w:lang w:val="en-US" w:eastAsia="zh-CN"/>
        </w:rPr>
      </w:pPr>
      <w:r>
        <w:drawing>
          <wp:anchor distT="0" distB="0" distL="114300" distR="114300" simplePos="0" relativeHeight="251665408" behindDoc="0" locked="0" layoutInCell="1" allowOverlap="1">
            <wp:simplePos x="0" y="0"/>
            <wp:positionH relativeFrom="column">
              <wp:posOffset>-38735</wp:posOffset>
            </wp:positionH>
            <wp:positionV relativeFrom="paragraph">
              <wp:posOffset>-65405</wp:posOffset>
            </wp:positionV>
            <wp:extent cx="5668645" cy="7891780"/>
            <wp:effectExtent l="0" t="0" r="8255" b="13970"/>
            <wp:wrapSquare wrapText="bothSides"/>
            <wp:docPr id="39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06"/>
                    <pic:cNvPicPr>
                      <a:picLocks noChangeAspect="1"/>
                    </pic:cNvPicPr>
                  </pic:nvPicPr>
                  <pic:blipFill>
                    <a:blip r:embed="rId14"/>
                    <a:stretch>
                      <a:fillRect/>
                    </a:stretch>
                  </pic:blipFill>
                  <pic:spPr>
                    <a:xfrm>
                      <a:off x="0" y="0"/>
                      <a:ext cx="5668645" cy="7891780"/>
                    </a:xfrm>
                    <a:prstGeom prst="rect">
                      <a:avLst/>
                    </a:prstGeom>
                    <a:noFill/>
                    <a:ln>
                      <a:noFill/>
                    </a:ln>
                  </pic:spPr>
                </pic:pic>
              </a:graphicData>
            </a:graphic>
          </wp:anchor>
        </w:drawing>
      </w:r>
    </w:p>
    <w:p>
      <w:pPr>
        <w:bidi w:val="0"/>
        <w:ind w:left="0" w:leftChars="0" w:firstLine="0" w:firstLineChars="0"/>
        <w:jc w:val="both"/>
        <w:rPr>
          <w:rFonts w:hint="default"/>
          <w:lang w:val="en-US" w:eastAsia="zh-CN"/>
        </w:rPr>
      </w:pPr>
      <w:r>
        <w:drawing>
          <wp:anchor distT="0" distB="0" distL="114300" distR="114300" simplePos="0" relativeHeight="251666432" behindDoc="0" locked="0" layoutInCell="1" allowOverlap="1">
            <wp:simplePos x="0" y="0"/>
            <wp:positionH relativeFrom="column">
              <wp:posOffset>-34290</wp:posOffset>
            </wp:positionH>
            <wp:positionV relativeFrom="paragraph">
              <wp:posOffset>-56515</wp:posOffset>
            </wp:positionV>
            <wp:extent cx="5699125" cy="8375015"/>
            <wp:effectExtent l="0" t="0" r="15875" b="6985"/>
            <wp:wrapSquare wrapText="bothSides"/>
            <wp:docPr id="40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07"/>
                    <pic:cNvPicPr>
                      <a:picLocks noChangeAspect="1"/>
                    </pic:cNvPicPr>
                  </pic:nvPicPr>
                  <pic:blipFill>
                    <a:blip r:embed="rId15"/>
                    <a:stretch>
                      <a:fillRect/>
                    </a:stretch>
                  </pic:blipFill>
                  <pic:spPr>
                    <a:xfrm>
                      <a:off x="0" y="0"/>
                      <a:ext cx="5699125" cy="8375015"/>
                    </a:xfrm>
                    <a:prstGeom prst="rect">
                      <a:avLst/>
                    </a:prstGeom>
                    <a:noFill/>
                    <a:ln>
                      <a:noFill/>
                    </a:ln>
                  </pic:spPr>
                </pic:pic>
              </a:graphicData>
            </a:graphic>
          </wp:anchor>
        </w:drawing>
      </w:r>
    </w:p>
    <w:p>
      <w:pPr>
        <w:bidi w:val="0"/>
        <w:ind w:left="0" w:leftChars="0" w:firstLine="0" w:firstLineChars="0"/>
        <w:jc w:val="both"/>
        <w:rPr>
          <w:rFonts w:hint="default"/>
          <w:lang w:val="en-US" w:eastAsia="zh-CN"/>
        </w:rPr>
      </w:pPr>
      <w:r>
        <w:drawing>
          <wp:anchor distT="0" distB="0" distL="114300" distR="114300" simplePos="0" relativeHeight="251667456" behindDoc="0" locked="0" layoutInCell="1" allowOverlap="1">
            <wp:simplePos x="0" y="0"/>
            <wp:positionH relativeFrom="column">
              <wp:posOffset>9525</wp:posOffset>
            </wp:positionH>
            <wp:positionV relativeFrom="paragraph">
              <wp:posOffset>-27305</wp:posOffset>
            </wp:positionV>
            <wp:extent cx="5614035" cy="7780020"/>
            <wp:effectExtent l="0" t="0" r="5715" b="11430"/>
            <wp:wrapSquare wrapText="bothSides"/>
            <wp:docPr id="40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08"/>
                    <pic:cNvPicPr>
                      <a:picLocks noChangeAspect="1"/>
                    </pic:cNvPicPr>
                  </pic:nvPicPr>
                  <pic:blipFill>
                    <a:blip r:embed="rId16"/>
                    <a:stretch>
                      <a:fillRect/>
                    </a:stretch>
                  </pic:blipFill>
                  <pic:spPr>
                    <a:xfrm>
                      <a:off x="0" y="0"/>
                      <a:ext cx="5614035" cy="7780020"/>
                    </a:xfrm>
                    <a:prstGeom prst="rect">
                      <a:avLst/>
                    </a:prstGeom>
                    <a:noFill/>
                    <a:ln>
                      <a:noFill/>
                    </a:ln>
                  </pic:spPr>
                </pic:pic>
              </a:graphicData>
            </a:graphic>
          </wp:anchor>
        </w:drawing>
      </w:r>
    </w:p>
    <w:p>
      <w:pPr>
        <w:bidi w:val="0"/>
        <w:ind w:left="0" w:leftChars="0" w:firstLine="0" w:firstLineChars="0"/>
        <w:jc w:val="both"/>
        <w:rPr>
          <w:rFonts w:hint="default"/>
          <w:lang w:val="en-US" w:eastAsia="zh-CN"/>
        </w:rPr>
      </w:pPr>
      <w:r>
        <w:drawing>
          <wp:anchor distT="0" distB="0" distL="114300" distR="114300" simplePos="0" relativeHeight="251668480" behindDoc="0" locked="0" layoutInCell="1" allowOverlap="1">
            <wp:simplePos x="0" y="0"/>
            <wp:positionH relativeFrom="column">
              <wp:posOffset>9525</wp:posOffset>
            </wp:positionH>
            <wp:positionV relativeFrom="paragraph">
              <wp:posOffset>-27305</wp:posOffset>
            </wp:positionV>
            <wp:extent cx="5615305" cy="7813040"/>
            <wp:effectExtent l="0" t="0" r="4445" b="16510"/>
            <wp:wrapSquare wrapText="bothSides"/>
            <wp:docPr id="40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09"/>
                    <pic:cNvPicPr>
                      <a:picLocks noChangeAspect="1"/>
                    </pic:cNvPicPr>
                  </pic:nvPicPr>
                  <pic:blipFill>
                    <a:blip r:embed="rId17"/>
                    <a:stretch>
                      <a:fillRect/>
                    </a:stretch>
                  </pic:blipFill>
                  <pic:spPr>
                    <a:xfrm>
                      <a:off x="0" y="0"/>
                      <a:ext cx="5615305" cy="7813040"/>
                    </a:xfrm>
                    <a:prstGeom prst="rect">
                      <a:avLst/>
                    </a:prstGeom>
                    <a:noFill/>
                    <a:ln>
                      <a:noFill/>
                    </a:ln>
                  </pic:spPr>
                </pic:pic>
              </a:graphicData>
            </a:graphic>
          </wp:anchor>
        </w:drawing>
      </w:r>
    </w:p>
    <w:p>
      <w:pPr>
        <w:rPr>
          <w:rFonts w:hint="default"/>
          <w:lang w:val="en-US" w:eastAsia="zh-CN"/>
        </w:rPr>
      </w:pPr>
      <w:r>
        <w:drawing>
          <wp:anchor distT="0" distB="0" distL="114300" distR="114300" simplePos="0" relativeHeight="251669504" behindDoc="0" locked="0" layoutInCell="1" allowOverlap="1">
            <wp:simplePos x="0" y="0"/>
            <wp:positionH relativeFrom="column">
              <wp:posOffset>25400</wp:posOffset>
            </wp:positionH>
            <wp:positionV relativeFrom="paragraph">
              <wp:posOffset>-46355</wp:posOffset>
            </wp:positionV>
            <wp:extent cx="5609590" cy="7760970"/>
            <wp:effectExtent l="0" t="0" r="10160" b="11430"/>
            <wp:wrapSquare wrapText="bothSides"/>
            <wp:docPr id="40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10"/>
                    <pic:cNvPicPr>
                      <a:picLocks noChangeAspect="1"/>
                    </pic:cNvPicPr>
                  </pic:nvPicPr>
                  <pic:blipFill>
                    <a:blip r:embed="rId18"/>
                    <a:stretch>
                      <a:fillRect/>
                    </a:stretch>
                  </pic:blipFill>
                  <pic:spPr>
                    <a:xfrm>
                      <a:off x="0" y="0"/>
                      <a:ext cx="5609590" cy="7760970"/>
                    </a:xfrm>
                    <a:prstGeom prst="rect">
                      <a:avLst/>
                    </a:prstGeom>
                    <a:noFill/>
                    <a:ln>
                      <a:noFill/>
                    </a:ln>
                  </pic:spPr>
                </pic:pic>
              </a:graphicData>
            </a:graphic>
          </wp:anchor>
        </w:drawing>
      </w:r>
    </w:p>
    <w:p>
      <w:pPr>
        <w:rPr>
          <w:rFonts w:hint="default"/>
          <w:lang w:val="en-US" w:eastAsia="zh-CN"/>
        </w:rPr>
      </w:pPr>
      <w:r>
        <w:drawing>
          <wp:anchor distT="0" distB="0" distL="114300" distR="114300" simplePos="0" relativeHeight="251670528" behindDoc="0" locked="0" layoutInCell="1" allowOverlap="1">
            <wp:simplePos x="0" y="0"/>
            <wp:positionH relativeFrom="column">
              <wp:posOffset>-69850</wp:posOffset>
            </wp:positionH>
            <wp:positionV relativeFrom="paragraph">
              <wp:posOffset>-26035</wp:posOffset>
            </wp:positionV>
            <wp:extent cx="5608320" cy="7818755"/>
            <wp:effectExtent l="0" t="0" r="11430" b="10795"/>
            <wp:wrapSquare wrapText="bothSides"/>
            <wp:docPr id="40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111"/>
                    <pic:cNvPicPr>
                      <a:picLocks noChangeAspect="1"/>
                    </pic:cNvPicPr>
                  </pic:nvPicPr>
                  <pic:blipFill>
                    <a:blip r:embed="rId19"/>
                    <a:stretch>
                      <a:fillRect/>
                    </a:stretch>
                  </pic:blipFill>
                  <pic:spPr>
                    <a:xfrm>
                      <a:off x="0" y="0"/>
                      <a:ext cx="5608320" cy="7818755"/>
                    </a:xfrm>
                    <a:prstGeom prst="rect">
                      <a:avLst/>
                    </a:prstGeom>
                    <a:noFill/>
                    <a:ln>
                      <a:noFill/>
                    </a:ln>
                  </pic:spPr>
                </pic:pic>
              </a:graphicData>
            </a:graphic>
          </wp:anchor>
        </w:drawing>
      </w:r>
    </w:p>
    <w:p>
      <w:pPr>
        <w:rPr>
          <w:rFonts w:hint="default"/>
          <w:lang w:val="en-US" w:eastAsia="zh-CN"/>
        </w:rPr>
      </w:pPr>
      <w:r>
        <w:drawing>
          <wp:anchor distT="0" distB="0" distL="114300" distR="114300" simplePos="0" relativeHeight="251671552" behindDoc="0" locked="0" layoutInCell="1" allowOverlap="1">
            <wp:simplePos x="0" y="0"/>
            <wp:positionH relativeFrom="column">
              <wp:posOffset>-42545</wp:posOffset>
            </wp:positionH>
            <wp:positionV relativeFrom="paragraph">
              <wp:posOffset>-26035</wp:posOffset>
            </wp:positionV>
            <wp:extent cx="5608320" cy="7780655"/>
            <wp:effectExtent l="0" t="0" r="11430" b="10795"/>
            <wp:wrapSquare wrapText="bothSides"/>
            <wp:docPr id="40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12"/>
                    <pic:cNvPicPr>
                      <a:picLocks noChangeAspect="1"/>
                    </pic:cNvPicPr>
                  </pic:nvPicPr>
                  <pic:blipFill>
                    <a:blip r:embed="rId20"/>
                    <a:stretch>
                      <a:fillRect/>
                    </a:stretch>
                  </pic:blipFill>
                  <pic:spPr>
                    <a:xfrm>
                      <a:off x="0" y="0"/>
                      <a:ext cx="5608320" cy="7780655"/>
                    </a:xfrm>
                    <a:prstGeom prst="rect">
                      <a:avLst/>
                    </a:prstGeom>
                    <a:noFill/>
                    <a:ln>
                      <a:noFill/>
                    </a:ln>
                  </pic:spPr>
                </pic:pic>
              </a:graphicData>
            </a:graphic>
          </wp:anchor>
        </w:drawing>
      </w:r>
      <w:r>
        <w:rPr>
          <w:rFonts w:hint="default"/>
          <w:lang w:val="en-US" w:eastAsia="zh-CN"/>
        </w:rPr>
        <w:br w:type="page"/>
      </w:r>
    </w:p>
    <w:p>
      <w:pPr>
        <w:bidi w:val="0"/>
        <w:ind w:left="0" w:leftChars="0" w:firstLine="0" w:firstLineChars="0"/>
        <w:jc w:val="both"/>
        <w:rPr>
          <w:rFonts w:hint="default"/>
          <w:lang w:val="en-US" w:eastAsia="zh-CN"/>
        </w:rPr>
        <w:sectPr>
          <w:footerReference r:id="rId6" w:type="default"/>
          <w:pgSz w:w="11906" w:h="16838"/>
          <w:pgMar w:top="2098" w:right="1474" w:bottom="1984" w:left="1587" w:header="851" w:footer="1417" w:gutter="0"/>
          <w:pgNumType w:fmt="decimal" w:start="1"/>
          <w:cols w:space="425" w:num="1"/>
          <w:docGrid w:type="lines" w:linePitch="312" w:charSpace="0"/>
        </w:sectPr>
      </w:pPr>
    </w:p>
    <w:p>
      <w:pPr>
        <w:rPr>
          <w:rFonts w:hint="default"/>
          <w:lang w:val="en-US" w:eastAsia="zh-CN"/>
        </w:rPr>
      </w:pPr>
      <w:r>
        <w:drawing>
          <wp:anchor distT="0" distB="0" distL="114300" distR="114300" simplePos="0" relativeHeight="251672576" behindDoc="0" locked="0" layoutInCell="1" allowOverlap="1">
            <wp:simplePos x="0" y="0"/>
            <wp:positionH relativeFrom="column">
              <wp:posOffset>52705</wp:posOffset>
            </wp:positionH>
            <wp:positionV relativeFrom="paragraph">
              <wp:posOffset>-67310</wp:posOffset>
            </wp:positionV>
            <wp:extent cx="5610860" cy="7851140"/>
            <wp:effectExtent l="0" t="0" r="8890" b="16510"/>
            <wp:wrapSquare wrapText="bothSides"/>
            <wp:docPr id="40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13"/>
                    <pic:cNvPicPr>
                      <a:picLocks noChangeAspect="1"/>
                    </pic:cNvPicPr>
                  </pic:nvPicPr>
                  <pic:blipFill>
                    <a:blip r:embed="rId21"/>
                    <a:stretch>
                      <a:fillRect/>
                    </a:stretch>
                  </pic:blipFill>
                  <pic:spPr>
                    <a:xfrm>
                      <a:off x="0" y="0"/>
                      <a:ext cx="5610860" cy="7851140"/>
                    </a:xfrm>
                    <a:prstGeom prst="rect">
                      <a:avLst/>
                    </a:prstGeom>
                    <a:noFill/>
                    <a:ln>
                      <a:noFill/>
                    </a:ln>
                  </pic:spPr>
                </pic:pic>
              </a:graphicData>
            </a:graphic>
          </wp:anchor>
        </w:drawing>
      </w:r>
      <w:r>
        <w:rPr>
          <w:rFonts w:hint="default"/>
          <w:lang w:val="en-US" w:eastAsia="zh-CN"/>
        </w:rPr>
        <w:br w:type="page"/>
      </w:r>
    </w:p>
    <w:p>
      <w:pPr>
        <w:rPr>
          <w:rFonts w:hint="default"/>
          <w:lang w:val="en-US" w:eastAsia="zh-CN"/>
        </w:rPr>
      </w:pPr>
      <w:r>
        <w:drawing>
          <wp:anchor distT="0" distB="0" distL="114300" distR="114300" simplePos="0" relativeHeight="251673600" behindDoc="0" locked="0" layoutInCell="1" allowOverlap="1">
            <wp:simplePos x="0" y="0"/>
            <wp:positionH relativeFrom="column">
              <wp:posOffset>-29210</wp:posOffset>
            </wp:positionH>
            <wp:positionV relativeFrom="paragraph">
              <wp:posOffset>-28575</wp:posOffset>
            </wp:positionV>
            <wp:extent cx="5732780" cy="7854950"/>
            <wp:effectExtent l="0" t="0" r="1270" b="12700"/>
            <wp:wrapSquare wrapText="bothSides"/>
            <wp:docPr id="40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14"/>
                    <pic:cNvPicPr>
                      <a:picLocks noChangeAspect="1"/>
                    </pic:cNvPicPr>
                  </pic:nvPicPr>
                  <pic:blipFill>
                    <a:blip r:embed="rId22"/>
                    <a:stretch>
                      <a:fillRect/>
                    </a:stretch>
                  </pic:blipFill>
                  <pic:spPr>
                    <a:xfrm>
                      <a:off x="0" y="0"/>
                      <a:ext cx="5732780" cy="7854950"/>
                    </a:xfrm>
                    <a:prstGeom prst="rect">
                      <a:avLst/>
                    </a:prstGeom>
                    <a:noFill/>
                    <a:ln>
                      <a:noFill/>
                    </a:ln>
                  </pic:spPr>
                </pic:pic>
              </a:graphicData>
            </a:graphic>
          </wp:anchor>
        </w:drawing>
      </w:r>
    </w:p>
    <w:sectPr>
      <w:pgSz w:w="11906" w:h="16838"/>
      <w:pgMar w:top="2098" w:right="1474" w:bottom="1984" w:left="1587" w:header="851" w:footer="1417"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roma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swiss"/>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86"/>
    <w:family w:val="roman"/>
    <w:pitch w:val="default"/>
    <w:sig w:usb0="E00006FF" w:usb1="400004FF" w:usb2="00000000"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left="0" w:leftChars="0" w:firstLine="0" w:firstLineChars="0"/>
      <w:rPr>
        <w:rFonts w:ascii="宋体" w:hAnsi="宋体" w:eastAsia="宋体" w:cs="宋体"/>
        <w:sz w:val="31"/>
        <w:szCs w:val="3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left="0" w:leftChars="0" w:firstLine="0" w:firstLineChars="0"/>
      <w:rPr>
        <w:rFonts w:ascii="宋体" w:hAnsi="宋体" w:eastAsia="宋体" w:cs="宋体"/>
        <w:sz w:val="31"/>
        <w:szCs w:val="31"/>
      </w:rPr>
    </w:pPr>
    <w:r>
      <w:rPr>
        <w:sz w:val="3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44"/>
                            </w:rPr>
                          </w:pPr>
                          <w:r>
                            <w:rPr>
                              <w:sz w:val="28"/>
                              <w:szCs w:val="44"/>
                            </w:rPr>
                            <w:t>—</w:t>
                          </w:r>
                          <w:r>
                            <w:rPr>
                              <w:sz w:val="28"/>
                              <w:szCs w:val="44"/>
                            </w:rPr>
                            <w:fldChar w:fldCharType="begin"/>
                          </w:r>
                          <w:r>
                            <w:rPr>
                              <w:sz w:val="28"/>
                              <w:szCs w:val="44"/>
                            </w:rPr>
                            <w:instrText xml:space="preserve"> PAGE  \* MERGEFORMAT </w:instrText>
                          </w:r>
                          <w:r>
                            <w:rPr>
                              <w:sz w:val="28"/>
                              <w:szCs w:val="44"/>
                            </w:rPr>
                            <w:fldChar w:fldCharType="separate"/>
                          </w:r>
                          <w:r>
                            <w:rPr>
                              <w:sz w:val="28"/>
                              <w:szCs w:val="44"/>
                            </w:rPr>
                            <w:t>1</w:t>
                          </w:r>
                          <w:r>
                            <w:rPr>
                              <w:sz w:val="28"/>
                              <w:szCs w:val="44"/>
                            </w:rPr>
                            <w:fldChar w:fldCharType="end"/>
                          </w:r>
                          <w:r>
                            <w:rPr>
                              <w:sz w:val="28"/>
                              <w:szCs w:val="44"/>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rPr>
                        <w:sz w:val="28"/>
                        <w:szCs w:val="44"/>
                      </w:rPr>
                    </w:pPr>
                    <w:r>
                      <w:rPr>
                        <w:sz w:val="28"/>
                        <w:szCs w:val="44"/>
                      </w:rPr>
                      <w:t>—</w:t>
                    </w:r>
                    <w:r>
                      <w:rPr>
                        <w:sz w:val="28"/>
                        <w:szCs w:val="44"/>
                      </w:rPr>
                      <w:fldChar w:fldCharType="begin"/>
                    </w:r>
                    <w:r>
                      <w:rPr>
                        <w:sz w:val="28"/>
                        <w:szCs w:val="44"/>
                      </w:rPr>
                      <w:instrText xml:space="preserve"> PAGE  \* MERGEFORMAT </w:instrText>
                    </w:r>
                    <w:r>
                      <w:rPr>
                        <w:sz w:val="28"/>
                        <w:szCs w:val="44"/>
                      </w:rPr>
                      <w:fldChar w:fldCharType="separate"/>
                    </w:r>
                    <w:r>
                      <w:rPr>
                        <w:sz w:val="28"/>
                        <w:szCs w:val="44"/>
                      </w:rPr>
                      <w:t>1</w:t>
                    </w:r>
                    <w:r>
                      <w:rPr>
                        <w:sz w:val="28"/>
                        <w:szCs w:val="44"/>
                      </w:rPr>
                      <w:fldChar w:fldCharType="end"/>
                    </w:r>
                    <w:r>
                      <w:rPr>
                        <w:sz w:val="28"/>
                        <w:szCs w:val="44"/>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210087"/>
    <w:multiLevelType w:val="multilevel"/>
    <w:tmpl w:val="3C210087"/>
    <w:lvl w:ilvl="0" w:tentative="0">
      <w:start w:val="1"/>
      <w:numFmt w:val="upperRoman"/>
      <w:pStyle w:val="58"/>
      <w:lvlText w:val="%1."/>
      <w:lvlJc w:val="left"/>
      <w:pPr>
        <w:ind w:left="704" w:hanging="420"/>
      </w:pPr>
      <w:rPr>
        <w:rFonts w:hint="eastAsia"/>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ODNiOGYzZTZiZmRkMzJmNTlmMzVjMDgzNjM3NzUifQ=="/>
  </w:docVars>
  <w:rsids>
    <w:rsidRoot w:val="00172A27"/>
    <w:rsid w:val="001E1410"/>
    <w:rsid w:val="00201427"/>
    <w:rsid w:val="0042071A"/>
    <w:rsid w:val="005E0AA6"/>
    <w:rsid w:val="008E63A7"/>
    <w:rsid w:val="0096608F"/>
    <w:rsid w:val="009849DE"/>
    <w:rsid w:val="009B6DC5"/>
    <w:rsid w:val="00A34135"/>
    <w:rsid w:val="00CB6942"/>
    <w:rsid w:val="00DA5C53"/>
    <w:rsid w:val="01062EEC"/>
    <w:rsid w:val="01311D17"/>
    <w:rsid w:val="01947A76"/>
    <w:rsid w:val="019F1471"/>
    <w:rsid w:val="01BE45D6"/>
    <w:rsid w:val="01C20BC1"/>
    <w:rsid w:val="01E90844"/>
    <w:rsid w:val="02063A29"/>
    <w:rsid w:val="024617F2"/>
    <w:rsid w:val="03074923"/>
    <w:rsid w:val="0320379A"/>
    <w:rsid w:val="03993BA4"/>
    <w:rsid w:val="03A26EFC"/>
    <w:rsid w:val="03AB0FDE"/>
    <w:rsid w:val="03B44E81"/>
    <w:rsid w:val="03C338BD"/>
    <w:rsid w:val="03EA08A3"/>
    <w:rsid w:val="040A2CF3"/>
    <w:rsid w:val="0442423B"/>
    <w:rsid w:val="044C6E68"/>
    <w:rsid w:val="04504BAA"/>
    <w:rsid w:val="04515ACC"/>
    <w:rsid w:val="045A77D7"/>
    <w:rsid w:val="0466617C"/>
    <w:rsid w:val="049449AF"/>
    <w:rsid w:val="04C3537C"/>
    <w:rsid w:val="04DB3935"/>
    <w:rsid w:val="04E470A0"/>
    <w:rsid w:val="04F574FF"/>
    <w:rsid w:val="05154ABB"/>
    <w:rsid w:val="05322502"/>
    <w:rsid w:val="0581621B"/>
    <w:rsid w:val="05DD06BF"/>
    <w:rsid w:val="05EF03F3"/>
    <w:rsid w:val="05F31C91"/>
    <w:rsid w:val="05F55F54"/>
    <w:rsid w:val="063409FE"/>
    <w:rsid w:val="06400C4E"/>
    <w:rsid w:val="06913258"/>
    <w:rsid w:val="06B93F8A"/>
    <w:rsid w:val="06E415DA"/>
    <w:rsid w:val="06E94E42"/>
    <w:rsid w:val="06EB52D5"/>
    <w:rsid w:val="06F74F86"/>
    <w:rsid w:val="07351E35"/>
    <w:rsid w:val="073A569E"/>
    <w:rsid w:val="076C4269"/>
    <w:rsid w:val="076F3599"/>
    <w:rsid w:val="07D16F07"/>
    <w:rsid w:val="08000695"/>
    <w:rsid w:val="080C0DE8"/>
    <w:rsid w:val="082149F0"/>
    <w:rsid w:val="08316AA1"/>
    <w:rsid w:val="08415460"/>
    <w:rsid w:val="085D7896"/>
    <w:rsid w:val="08840611"/>
    <w:rsid w:val="08A74FB5"/>
    <w:rsid w:val="08F17FDE"/>
    <w:rsid w:val="092E4F0C"/>
    <w:rsid w:val="09BC1744"/>
    <w:rsid w:val="09D771D4"/>
    <w:rsid w:val="0A40746F"/>
    <w:rsid w:val="0A6631B9"/>
    <w:rsid w:val="0A6716F2"/>
    <w:rsid w:val="0A6C0360"/>
    <w:rsid w:val="0AE154BC"/>
    <w:rsid w:val="0AF65BAA"/>
    <w:rsid w:val="0AFA5DE6"/>
    <w:rsid w:val="0B0022A0"/>
    <w:rsid w:val="0B0E4E77"/>
    <w:rsid w:val="0B310B66"/>
    <w:rsid w:val="0B724225"/>
    <w:rsid w:val="0BB80D2C"/>
    <w:rsid w:val="0BD76D33"/>
    <w:rsid w:val="0C2801BA"/>
    <w:rsid w:val="0C286919"/>
    <w:rsid w:val="0CB55D16"/>
    <w:rsid w:val="0CB657C6"/>
    <w:rsid w:val="0CBF0B1F"/>
    <w:rsid w:val="0CF32576"/>
    <w:rsid w:val="0CF54541"/>
    <w:rsid w:val="0CF85DDF"/>
    <w:rsid w:val="0D605732"/>
    <w:rsid w:val="0D933D59"/>
    <w:rsid w:val="0D995C1B"/>
    <w:rsid w:val="0DAE2941"/>
    <w:rsid w:val="0E6877C9"/>
    <w:rsid w:val="0E73440E"/>
    <w:rsid w:val="0E7D4279"/>
    <w:rsid w:val="0E8042DE"/>
    <w:rsid w:val="0E8D620E"/>
    <w:rsid w:val="0E981627"/>
    <w:rsid w:val="0EA27136"/>
    <w:rsid w:val="0EBB5316"/>
    <w:rsid w:val="0EC95AAB"/>
    <w:rsid w:val="0EDA1DA1"/>
    <w:rsid w:val="0F1B7208"/>
    <w:rsid w:val="0F1E54F9"/>
    <w:rsid w:val="0F205179"/>
    <w:rsid w:val="0F2F5A0A"/>
    <w:rsid w:val="0F3E4AFC"/>
    <w:rsid w:val="0F5F3EF3"/>
    <w:rsid w:val="0F8E2A2A"/>
    <w:rsid w:val="0F9222C6"/>
    <w:rsid w:val="0FB9440B"/>
    <w:rsid w:val="0FEB39D9"/>
    <w:rsid w:val="102F1D27"/>
    <w:rsid w:val="1045133B"/>
    <w:rsid w:val="105C48D7"/>
    <w:rsid w:val="10AB4F16"/>
    <w:rsid w:val="10AC13BA"/>
    <w:rsid w:val="10DB1C9F"/>
    <w:rsid w:val="10FB5E9E"/>
    <w:rsid w:val="11007AFF"/>
    <w:rsid w:val="11390774"/>
    <w:rsid w:val="114333A1"/>
    <w:rsid w:val="119A3908"/>
    <w:rsid w:val="11BA7B07"/>
    <w:rsid w:val="12064343"/>
    <w:rsid w:val="123C051C"/>
    <w:rsid w:val="1288550F"/>
    <w:rsid w:val="12A460C1"/>
    <w:rsid w:val="12B7251B"/>
    <w:rsid w:val="13233FA4"/>
    <w:rsid w:val="13280AA0"/>
    <w:rsid w:val="13392CAD"/>
    <w:rsid w:val="133B4C77"/>
    <w:rsid w:val="133D277A"/>
    <w:rsid w:val="133E0E6F"/>
    <w:rsid w:val="135C3BCF"/>
    <w:rsid w:val="13605B3B"/>
    <w:rsid w:val="137F4B64"/>
    <w:rsid w:val="139C19AE"/>
    <w:rsid w:val="13AA7707"/>
    <w:rsid w:val="13C44C6D"/>
    <w:rsid w:val="13CA1E68"/>
    <w:rsid w:val="13DD5D2E"/>
    <w:rsid w:val="14096B23"/>
    <w:rsid w:val="141554C8"/>
    <w:rsid w:val="141D2312"/>
    <w:rsid w:val="144C07BE"/>
    <w:rsid w:val="14751297"/>
    <w:rsid w:val="14802C1D"/>
    <w:rsid w:val="14A01236"/>
    <w:rsid w:val="14C17ED5"/>
    <w:rsid w:val="14CD56AD"/>
    <w:rsid w:val="14D4798A"/>
    <w:rsid w:val="14E05AD6"/>
    <w:rsid w:val="14FB1132"/>
    <w:rsid w:val="152D239E"/>
    <w:rsid w:val="153E3C3B"/>
    <w:rsid w:val="154F67B8"/>
    <w:rsid w:val="157306F8"/>
    <w:rsid w:val="15932B49"/>
    <w:rsid w:val="159B48F0"/>
    <w:rsid w:val="159B7C4F"/>
    <w:rsid w:val="15AA3487"/>
    <w:rsid w:val="15B66837"/>
    <w:rsid w:val="15C52D87"/>
    <w:rsid w:val="15CC5523"/>
    <w:rsid w:val="15D849FF"/>
    <w:rsid w:val="15DA6411"/>
    <w:rsid w:val="16331C36"/>
    <w:rsid w:val="163F4A7E"/>
    <w:rsid w:val="165D4F05"/>
    <w:rsid w:val="16832BBD"/>
    <w:rsid w:val="16C60CFC"/>
    <w:rsid w:val="16C64858"/>
    <w:rsid w:val="16CC523F"/>
    <w:rsid w:val="16E92044"/>
    <w:rsid w:val="16F21AF1"/>
    <w:rsid w:val="16F92E7F"/>
    <w:rsid w:val="174C7453"/>
    <w:rsid w:val="176802D7"/>
    <w:rsid w:val="17716EB9"/>
    <w:rsid w:val="177F00CF"/>
    <w:rsid w:val="178060DE"/>
    <w:rsid w:val="17982698"/>
    <w:rsid w:val="17B63B9B"/>
    <w:rsid w:val="17C849A7"/>
    <w:rsid w:val="17E458DD"/>
    <w:rsid w:val="17F6116D"/>
    <w:rsid w:val="182A1B90"/>
    <w:rsid w:val="183A54FD"/>
    <w:rsid w:val="18422604"/>
    <w:rsid w:val="18511085"/>
    <w:rsid w:val="185C36C6"/>
    <w:rsid w:val="185F3DD1"/>
    <w:rsid w:val="186802BC"/>
    <w:rsid w:val="187A1D9E"/>
    <w:rsid w:val="187E2872"/>
    <w:rsid w:val="18934C0E"/>
    <w:rsid w:val="18DF02BC"/>
    <w:rsid w:val="19215BDC"/>
    <w:rsid w:val="192166BD"/>
    <w:rsid w:val="192D0BBE"/>
    <w:rsid w:val="1937087B"/>
    <w:rsid w:val="196B5C44"/>
    <w:rsid w:val="1980213D"/>
    <w:rsid w:val="19831126"/>
    <w:rsid w:val="19B412DF"/>
    <w:rsid w:val="19CB52B6"/>
    <w:rsid w:val="19F33BB6"/>
    <w:rsid w:val="1A183B50"/>
    <w:rsid w:val="1A1B465B"/>
    <w:rsid w:val="1A4E2830"/>
    <w:rsid w:val="1A756CC1"/>
    <w:rsid w:val="1A900B59"/>
    <w:rsid w:val="1ABF39A0"/>
    <w:rsid w:val="1B162736"/>
    <w:rsid w:val="1B171B26"/>
    <w:rsid w:val="1B2B1D84"/>
    <w:rsid w:val="1B2D1349"/>
    <w:rsid w:val="1B684130"/>
    <w:rsid w:val="1B8F54BD"/>
    <w:rsid w:val="1BD9502D"/>
    <w:rsid w:val="1BE91714"/>
    <w:rsid w:val="1BFE4A94"/>
    <w:rsid w:val="1C1523D1"/>
    <w:rsid w:val="1C4A1A87"/>
    <w:rsid w:val="1C782A98"/>
    <w:rsid w:val="1CBB4733"/>
    <w:rsid w:val="1CD346B4"/>
    <w:rsid w:val="1D0D0583"/>
    <w:rsid w:val="1D13456F"/>
    <w:rsid w:val="1D2633F0"/>
    <w:rsid w:val="1D496968"/>
    <w:rsid w:val="1D545578"/>
    <w:rsid w:val="1D9762A6"/>
    <w:rsid w:val="1DE82C1C"/>
    <w:rsid w:val="1E21051B"/>
    <w:rsid w:val="1E27531B"/>
    <w:rsid w:val="1E9331F6"/>
    <w:rsid w:val="1E9B1C91"/>
    <w:rsid w:val="1EBD633A"/>
    <w:rsid w:val="1EDE4548"/>
    <w:rsid w:val="1EE61F3B"/>
    <w:rsid w:val="1F0028D1"/>
    <w:rsid w:val="1F1F6936"/>
    <w:rsid w:val="1F262B56"/>
    <w:rsid w:val="1F394761"/>
    <w:rsid w:val="1F83778A"/>
    <w:rsid w:val="1FCF53A4"/>
    <w:rsid w:val="200C3C23"/>
    <w:rsid w:val="20115428"/>
    <w:rsid w:val="204D5FEA"/>
    <w:rsid w:val="208539D6"/>
    <w:rsid w:val="20BB11A5"/>
    <w:rsid w:val="20E35484"/>
    <w:rsid w:val="20F10CA9"/>
    <w:rsid w:val="212E5E92"/>
    <w:rsid w:val="21353FAA"/>
    <w:rsid w:val="21463165"/>
    <w:rsid w:val="21795DD8"/>
    <w:rsid w:val="21867A08"/>
    <w:rsid w:val="218B501C"/>
    <w:rsid w:val="21A67760"/>
    <w:rsid w:val="21B207FA"/>
    <w:rsid w:val="21CD2A4F"/>
    <w:rsid w:val="21CF5ACF"/>
    <w:rsid w:val="21DC7625"/>
    <w:rsid w:val="221559B0"/>
    <w:rsid w:val="22162B37"/>
    <w:rsid w:val="221C1D24"/>
    <w:rsid w:val="2221772E"/>
    <w:rsid w:val="22244B28"/>
    <w:rsid w:val="225D0766"/>
    <w:rsid w:val="22635EAC"/>
    <w:rsid w:val="22B3482A"/>
    <w:rsid w:val="22BB723B"/>
    <w:rsid w:val="22C02DD1"/>
    <w:rsid w:val="22CB0398"/>
    <w:rsid w:val="22EA1CD0"/>
    <w:rsid w:val="22FE4C9E"/>
    <w:rsid w:val="230F39BA"/>
    <w:rsid w:val="232B0864"/>
    <w:rsid w:val="234D33B5"/>
    <w:rsid w:val="234E6301"/>
    <w:rsid w:val="236023B6"/>
    <w:rsid w:val="23621DAC"/>
    <w:rsid w:val="23696C97"/>
    <w:rsid w:val="237A70F6"/>
    <w:rsid w:val="23AB3753"/>
    <w:rsid w:val="23B5012E"/>
    <w:rsid w:val="241832FC"/>
    <w:rsid w:val="244D0366"/>
    <w:rsid w:val="24562742"/>
    <w:rsid w:val="24926448"/>
    <w:rsid w:val="24B41987"/>
    <w:rsid w:val="24BB79C6"/>
    <w:rsid w:val="24E8350B"/>
    <w:rsid w:val="24EF141E"/>
    <w:rsid w:val="24F42ED8"/>
    <w:rsid w:val="255A0F8D"/>
    <w:rsid w:val="25791349"/>
    <w:rsid w:val="257F6C45"/>
    <w:rsid w:val="25830797"/>
    <w:rsid w:val="2601765A"/>
    <w:rsid w:val="266B71CA"/>
    <w:rsid w:val="26A83F7A"/>
    <w:rsid w:val="27315D1D"/>
    <w:rsid w:val="273D42E3"/>
    <w:rsid w:val="27693709"/>
    <w:rsid w:val="27A23469"/>
    <w:rsid w:val="27A46372"/>
    <w:rsid w:val="27AF30E6"/>
    <w:rsid w:val="27E21561"/>
    <w:rsid w:val="282615FA"/>
    <w:rsid w:val="286650B3"/>
    <w:rsid w:val="286C6F77"/>
    <w:rsid w:val="2885273C"/>
    <w:rsid w:val="2895052E"/>
    <w:rsid w:val="289B1FE8"/>
    <w:rsid w:val="28B766F6"/>
    <w:rsid w:val="28E97F17"/>
    <w:rsid w:val="292813A2"/>
    <w:rsid w:val="293358C4"/>
    <w:rsid w:val="297665B1"/>
    <w:rsid w:val="297B7724"/>
    <w:rsid w:val="29802F8C"/>
    <w:rsid w:val="29AD6695"/>
    <w:rsid w:val="29B669AE"/>
    <w:rsid w:val="2A1927A2"/>
    <w:rsid w:val="2A3D0E7D"/>
    <w:rsid w:val="2A46446D"/>
    <w:rsid w:val="2A713442"/>
    <w:rsid w:val="2A81031B"/>
    <w:rsid w:val="2A8F792B"/>
    <w:rsid w:val="2AAB228B"/>
    <w:rsid w:val="2ABE5B1A"/>
    <w:rsid w:val="2ACE00E4"/>
    <w:rsid w:val="2AD76BDC"/>
    <w:rsid w:val="2AEC0472"/>
    <w:rsid w:val="2B0310C3"/>
    <w:rsid w:val="2B1A4D1A"/>
    <w:rsid w:val="2B230073"/>
    <w:rsid w:val="2B285689"/>
    <w:rsid w:val="2B364258"/>
    <w:rsid w:val="2B376855"/>
    <w:rsid w:val="2B3869FB"/>
    <w:rsid w:val="2B741F5F"/>
    <w:rsid w:val="2B797C93"/>
    <w:rsid w:val="2B85324D"/>
    <w:rsid w:val="2BA02EDA"/>
    <w:rsid w:val="2BB03572"/>
    <w:rsid w:val="2BC202E1"/>
    <w:rsid w:val="2BCC070B"/>
    <w:rsid w:val="2BCE74A7"/>
    <w:rsid w:val="2BED6AEE"/>
    <w:rsid w:val="2BEE593E"/>
    <w:rsid w:val="2BF13CCD"/>
    <w:rsid w:val="2C5B55EB"/>
    <w:rsid w:val="2CA11ADB"/>
    <w:rsid w:val="2CC14D50"/>
    <w:rsid w:val="2CD94E8D"/>
    <w:rsid w:val="2CF2794B"/>
    <w:rsid w:val="2CF80CFB"/>
    <w:rsid w:val="2D39175C"/>
    <w:rsid w:val="2D4D13D7"/>
    <w:rsid w:val="2D74105A"/>
    <w:rsid w:val="2D962D7E"/>
    <w:rsid w:val="2D986AF6"/>
    <w:rsid w:val="2DB04B6F"/>
    <w:rsid w:val="2DD93479"/>
    <w:rsid w:val="2DE31A25"/>
    <w:rsid w:val="2E140163"/>
    <w:rsid w:val="2E1A39AF"/>
    <w:rsid w:val="2E586286"/>
    <w:rsid w:val="2EE04211"/>
    <w:rsid w:val="2EEA0D4B"/>
    <w:rsid w:val="2F087CAC"/>
    <w:rsid w:val="2F1228D8"/>
    <w:rsid w:val="2F1D51F6"/>
    <w:rsid w:val="2F262F41"/>
    <w:rsid w:val="2F3B49F0"/>
    <w:rsid w:val="2F546A4D"/>
    <w:rsid w:val="2F6078A4"/>
    <w:rsid w:val="2F8A2159"/>
    <w:rsid w:val="2F9C489C"/>
    <w:rsid w:val="2FBE036A"/>
    <w:rsid w:val="2FC242FE"/>
    <w:rsid w:val="2FC33BD3"/>
    <w:rsid w:val="2FC67A85"/>
    <w:rsid w:val="2FFB15BE"/>
    <w:rsid w:val="30073ABF"/>
    <w:rsid w:val="30183F1E"/>
    <w:rsid w:val="301A5EE8"/>
    <w:rsid w:val="302E3CED"/>
    <w:rsid w:val="3045283A"/>
    <w:rsid w:val="30514F10"/>
    <w:rsid w:val="306C14C6"/>
    <w:rsid w:val="308415B4"/>
    <w:rsid w:val="30BF02A8"/>
    <w:rsid w:val="30C3584C"/>
    <w:rsid w:val="30DD2A72"/>
    <w:rsid w:val="30EB1633"/>
    <w:rsid w:val="30F6510D"/>
    <w:rsid w:val="312720AD"/>
    <w:rsid w:val="31796C3F"/>
    <w:rsid w:val="318B6972"/>
    <w:rsid w:val="320D1002"/>
    <w:rsid w:val="322F60DF"/>
    <w:rsid w:val="32377041"/>
    <w:rsid w:val="32625925"/>
    <w:rsid w:val="32747406"/>
    <w:rsid w:val="328F6E83"/>
    <w:rsid w:val="329A7D64"/>
    <w:rsid w:val="32B06690"/>
    <w:rsid w:val="32B53CA7"/>
    <w:rsid w:val="32B73E06"/>
    <w:rsid w:val="32BB71AA"/>
    <w:rsid w:val="32BF42E1"/>
    <w:rsid w:val="32C12A0D"/>
    <w:rsid w:val="32D23EF0"/>
    <w:rsid w:val="32D305D1"/>
    <w:rsid w:val="32D81743"/>
    <w:rsid w:val="32E409DE"/>
    <w:rsid w:val="330242E5"/>
    <w:rsid w:val="3308545A"/>
    <w:rsid w:val="33150BE9"/>
    <w:rsid w:val="3328091C"/>
    <w:rsid w:val="338B4A07"/>
    <w:rsid w:val="338E53F8"/>
    <w:rsid w:val="33DA14EB"/>
    <w:rsid w:val="33E13A0E"/>
    <w:rsid w:val="34052A0C"/>
    <w:rsid w:val="340F037E"/>
    <w:rsid w:val="3411315F"/>
    <w:rsid w:val="347436ED"/>
    <w:rsid w:val="34761214"/>
    <w:rsid w:val="347D07F4"/>
    <w:rsid w:val="34B85CD0"/>
    <w:rsid w:val="34CE54F3"/>
    <w:rsid w:val="34E61A2F"/>
    <w:rsid w:val="34EE524E"/>
    <w:rsid w:val="35111E45"/>
    <w:rsid w:val="355527EC"/>
    <w:rsid w:val="35690E42"/>
    <w:rsid w:val="357C4F4F"/>
    <w:rsid w:val="35CB1129"/>
    <w:rsid w:val="35D703D8"/>
    <w:rsid w:val="35E87EEF"/>
    <w:rsid w:val="35F47491"/>
    <w:rsid w:val="361C51A2"/>
    <w:rsid w:val="361E641D"/>
    <w:rsid w:val="365D2ED0"/>
    <w:rsid w:val="367E0853"/>
    <w:rsid w:val="369167D9"/>
    <w:rsid w:val="36A361D1"/>
    <w:rsid w:val="36AA789A"/>
    <w:rsid w:val="36C546D4"/>
    <w:rsid w:val="374A66EF"/>
    <w:rsid w:val="37517D16"/>
    <w:rsid w:val="37531CE0"/>
    <w:rsid w:val="3760154E"/>
    <w:rsid w:val="37896FC1"/>
    <w:rsid w:val="378F58A4"/>
    <w:rsid w:val="37B22EAA"/>
    <w:rsid w:val="37C33F68"/>
    <w:rsid w:val="385366D3"/>
    <w:rsid w:val="385F275A"/>
    <w:rsid w:val="386D78F8"/>
    <w:rsid w:val="38BD7A52"/>
    <w:rsid w:val="38F640DE"/>
    <w:rsid w:val="39017807"/>
    <w:rsid w:val="39403976"/>
    <w:rsid w:val="394A0EC1"/>
    <w:rsid w:val="398443D3"/>
    <w:rsid w:val="39B86B9C"/>
    <w:rsid w:val="39BE097C"/>
    <w:rsid w:val="39C60BC1"/>
    <w:rsid w:val="39E76710"/>
    <w:rsid w:val="39EC2F95"/>
    <w:rsid w:val="3A594B0B"/>
    <w:rsid w:val="3A600D8D"/>
    <w:rsid w:val="3A8F73F4"/>
    <w:rsid w:val="3AA82343"/>
    <w:rsid w:val="3AC3717D"/>
    <w:rsid w:val="3AD06868"/>
    <w:rsid w:val="3AE710BD"/>
    <w:rsid w:val="3AEE244B"/>
    <w:rsid w:val="3AF13CEA"/>
    <w:rsid w:val="3B0C5D64"/>
    <w:rsid w:val="3B4F27BE"/>
    <w:rsid w:val="3B6E160F"/>
    <w:rsid w:val="3B81017B"/>
    <w:rsid w:val="3B96663F"/>
    <w:rsid w:val="3B971E28"/>
    <w:rsid w:val="3BBD0278"/>
    <w:rsid w:val="3BBD1E1E"/>
    <w:rsid w:val="3BF517E5"/>
    <w:rsid w:val="3C0E2679"/>
    <w:rsid w:val="3C123F18"/>
    <w:rsid w:val="3C177780"/>
    <w:rsid w:val="3C483AA3"/>
    <w:rsid w:val="3C5F2530"/>
    <w:rsid w:val="3C6127A9"/>
    <w:rsid w:val="3C7613D4"/>
    <w:rsid w:val="3C991F43"/>
    <w:rsid w:val="3C9C7C85"/>
    <w:rsid w:val="3CA60EB7"/>
    <w:rsid w:val="3CB86DF2"/>
    <w:rsid w:val="3CF03B2D"/>
    <w:rsid w:val="3D0F7AD8"/>
    <w:rsid w:val="3D3B749E"/>
    <w:rsid w:val="3D6F7148"/>
    <w:rsid w:val="3D7801D0"/>
    <w:rsid w:val="3E35213F"/>
    <w:rsid w:val="3E5A7DF8"/>
    <w:rsid w:val="3E88226F"/>
    <w:rsid w:val="3E94330A"/>
    <w:rsid w:val="3E9876AB"/>
    <w:rsid w:val="3EA80B63"/>
    <w:rsid w:val="3EC12500"/>
    <w:rsid w:val="3EDC1176"/>
    <w:rsid w:val="3F0F1FBD"/>
    <w:rsid w:val="3F1157CD"/>
    <w:rsid w:val="3F294E7B"/>
    <w:rsid w:val="3F3348D1"/>
    <w:rsid w:val="3F36616F"/>
    <w:rsid w:val="3F4C5993"/>
    <w:rsid w:val="3F75355D"/>
    <w:rsid w:val="3F88629F"/>
    <w:rsid w:val="3F887C4F"/>
    <w:rsid w:val="3F917849"/>
    <w:rsid w:val="3F936526"/>
    <w:rsid w:val="3FB87DDA"/>
    <w:rsid w:val="3FC627FB"/>
    <w:rsid w:val="403F72A5"/>
    <w:rsid w:val="404C551E"/>
    <w:rsid w:val="4089175F"/>
    <w:rsid w:val="409171F5"/>
    <w:rsid w:val="40A91259"/>
    <w:rsid w:val="417E3FAB"/>
    <w:rsid w:val="41AC44C7"/>
    <w:rsid w:val="41F43F27"/>
    <w:rsid w:val="42022339"/>
    <w:rsid w:val="42026C2E"/>
    <w:rsid w:val="421718DA"/>
    <w:rsid w:val="4246443A"/>
    <w:rsid w:val="42725710"/>
    <w:rsid w:val="42BF46CD"/>
    <w:rsid w:val="42CB4E20"/>
    <w:rsid w:val="43947BBB"/>
    <w:rsid w:val="43A85705"/>
    <w:rsid w:val="43C26008"/>
    <w:rsid w:val="43DE0B83"/>
    <w:rsid w:val="43F95829"/>
    <w:rsid w:val="440B3EE6"/>
    <w:rsid w:val="44197D57"/>
    <w:rsid w:val="441A20EA"/>
    <w:rsid w:val="441A7E0D"/>
    <w:rsid w:val="444C3FF6"/>
    <w:rsid w:val="445175A7"/>
    <w:rsid w:val="446B0669"/>
    <w:rsid w:val="44906321"/>
    <w:rsid w:val="44B13B32"/>
    <w:rsid w:val="44B244EA"/>
    <w:rsid w:val="452151CC"/>
    <w:rsid w:val="452E2A75"/>
    <w:rsid w:val="4550785F"/>
    <w:rsid w:val="455E1F7C"/>
    <w:rsid w:val="45704A09"/>
    <w:rsid w:val="458B6AE9"/>
    <w:rsid w:val="45C30031"/>
    <w:rsid w:val="460743C1"/>
    <w:rsid w:val="4646666F"/>
    <w:rsid w:val="469B0FAE"/>
    <w:rsid w:val="469C7200"/>
    <w:rsid w:val="46A56C5A"/>
    <w:rsid w:val="46C52171"/>
    <w:rsid w:val="46D324F5"/>
    <w:rsid w:val="46DF70EC"/>
    <w:rsid w:val="46F10BCE"/>
    <w:rsid w:val="470B1C8F"/>
    <w:rsid w:val="471A0124"/>
    <w:rsid w:val="472C7AD0"/>
    <w:rsid w:val="47392CA0"/>
    <w:rsid w:val="47501D98"/>
    <w:rsid w:val="475630E3"/>
    <w:rsid w:val="475A2C17"/>
    <w:rsid w:val="476F79AB"/>
    <w:rsid w:val="47770A9F"/>
    <w:rsid w:val="47906638"/>
    <w:rsid w:val="47946CDD"/>
    <w:rsid w:val="47A31EE7"/>
    <w:rsid w:val="47B70069"/>
    <w:rsid w:val="47B71E17"/>
    <w:rsid w:val="47C90257"/>
    <w:rsid w:val="47CF7161"/>
    <w:rsid w:val="47EB6190"/>
    <w:rsid w:val="48137327"/>
    <w:rsid w:val="48221986"/>
    <w:rsid w:val="4823225B"/>
    <w:rsid w:val="485B27A2"/>
    <w:rsid w:val="48654451"/>
    <w:rsid w:val="486755EB"/>
    <w:rsid w:val="48AC1250"/>
    <w:rsid w:val="48BD345D"/>
    <w:rsid w:val="48CB5B7A"/>
    <w:rsid w:val="48D22F2E"/>
    <w:rsid w:val="48D569F9"/>
    <w:rsid w:val="48FA32DD"/>
    <w:rsid w:val="491F2383"/>
    <w:rsid w:val="49282FCC"/>
    <w:rsid w:val="497A134E"/>
    <w:rsid w:val="49902920"/>
    <w:rsid w:val="499F0DB5"/>
    <w:rsid w:val="49AF724A"/>
    <w:rsid w:val="49B87F36"/>
    <w:rsid w:val="49CF669A"/>
    <w:rsid w:val="49E40DA8"/>
    <w:rsid w:val="49F44C5D"/>
    <w:rsid w:val="4A244C3F"/>
    <w:rsid w:val="4A286FFC"/>
    <w:rsid w:val="4A563B69"/>
    <w:rsid w:val="4A5B4CDC"/>
    <w:rsid w:val="4A5D0A54"/>
    <w:rsid w:val="4A5E2A1E"/>
    <w:rsid w:val="4A8555A9"/>
    <w:rsid w:val="4A930919"/>
    <w:rsid w:val="4A9804CE"/>
    <w:rsid w:val="4AB034AB"/>
    <w:rsid w:val="4AB34B18"/>
    <w:rsid w:val="4AC94D68"/>
    <w:rsid w:val="4ACD6045"/>
    <w:rsid w:val="4AD52CE0"/>
    <w:rsid w:val="4ADD1B95"/>
    <w:rsid w:val="4AEE3DA2"/>
    <w:rsid w:val="4AF40C8C"/>
    <w:rsid w:val="4B010B05"/>
    <w:rsid w:val="4B1C090F"/>
    <w:rsid w:val="4B3701E6"/>
    <w:rsid w:val="4B5D397A"/>
    <w:rsid w:val="4B5D6832"/>
    <w:rsid w:val="4BA426B2"/>
    <w:rsid w:val="4BB072A9"/>
    <w:rsid w:val="4C106794"/>
    <w:rsid w:val="4CEA3DF8"/>
    <w:rsid w:val="4CF5766A"/>
    <w:rsid w:val="4CFD5F79"/>
    <w:rsid w:val="4D300AF1"/>
    <w:rsid w:val="4D331F40"/>
    <w:rsid w:val="4D3605CB"/>
    <w:rsid w:val="4D814A59"/>
    <w:rsid w:val="4D8C1650"/>
    <w:rsid w:val="4DA055A6"/>
    <w:rsid w:val="4DBE5C1B"/>
    <w:rsid w:val="4DBF1A26"/>
    <w:rsid w:val="4DE90EB2"/>
    <w:rsid w:val="4E3E10AE"/>
    <w:rsid w:val="4E61488B"/>
    <w:rsid w:val="4E9B7D9D"/>
    <w:rsid w:val="4E9C3B15"/>
    <w:rsid w:val="4EA07161"/>
    <w:rsid w:val="4EB15812"/>
    <w:rsid w:val="4ED27537"/>
    <w:rsid w:val="4F062D3E"/>
    <w:rsid w:val="4F254080"/>
    <w:rsid w:val="4F432980"/>
    <w:rsid w:val="4F4620BA"/>
    <w:rsid w:val="4F555977"/>
    <w:rsid w:val="4F5607EC"/>
    <w:rsid w:val="4FA113E3"/>
    <w:rsid w:val="4FFF2824"/>
    <w:rsid w:val="500B71A4"/>
    <w:rsid w:val="502E69EF"/>
    <w:rsid w:val="503C5CFC"/>
    <w:rsid w:val="504306EC"/>
    <w:rsid w:val="505622BB"/>
    <w:rsid w:val="507C1E50"/>
    <w:rsid w:val="50A3118B"/>
    <w:rsid w:val="50D650BC"/>
    <w:rsid w:val="510A705E"/>
    <w:rsid w:val="5117221A"/>
    <w:rsid w:val="514F4E6E"/>
    <w:rsid w:val="516A1CA8"/>
    <w:rsid w:val="51823496"/>
    <w:rsid w:val="51874608"/>
    <w:rsid w:val="51D33CF1"/>
    <w:rsid w:val="51DF61F2"/>
    <w:rsid w:val="51E90DED"/>
    <w:rsid w:val="51EB103B"/>
    <w:rsid w:val="51F37EF0"/>
    <w:rsid w:val="52195BA8"/>
    <w:rsid w:val="5224454D"/>
    <w:rsid w:val="522B716E"/>
    <w:rsid w:val="52314F89"/>
    <w:rsid w:val="5245109E"/>
    <w:rsid w:val="52554706"/>
    <w:rsid w:val="52B130D1"/>
    <w:rsid w:val="52B551A5"/>
    <w:rsid w:val="52C06024"/>
    <w:rsid w:val="52CC08C8"/>
    <w:rsid w:val="534A1D91"/>
    <w:rsid w:val="53642E53"/>
    <w:rsid w:val="537B019D"/>
    <w:rsid w:val="538345FB"/>
    <w:rsid w:val="538E1C7E"/>
    <w:rsid w:val="53982AFD"/>
    <w:rsid w:val="53993858"/>
    <w:rsid w:val="539B01A9"/>
    <w:rsid w:val="53DD6A5D"/>
    <w:rsid w:val="53E73A84"/>
    <w:rsid w:val="53F73CC7"/>
    <w:rsid w:val="53F97C37"/>
    <w:rsid w:val="5449029B"/>
    <w:rsid w:val="544B4013"/>
    <w:rsid w:val="54F93A6F"/>
    <w:rsid w:val="55207C15"/>
    <w:rsid w:val="554051FA"/>
    <w:rsid w:val="55572544"/>
    <w:rsid w:val="55624A5B"/>
    <w:rsid w:val="55805F3E"/>
    <w:rsid w:val="5587107B"/>
    <w:rsid w:val="55937A20"/>
    <w:rsid w:val="55990DAE"/>
    <w:rsid w:val="55C00DCF"/>
    <w:rsid w:val="55CC4CE0"/>
    <w:rsid w:val="562B1266"/>
    <w:rsid w:val="566969D2"/>
    <w:rsid w:val="567C0C5D"/>
    <w:rsid w:val="56B32934"/>
    <w:rsid w:val="57106E4E"/>
    <w:rsid w:val="57174680"/>
    <w:rsid w:val="572F5526"/>
    <w:rsid w:val="573B036F"/>
    <w:rsid w:val="575C02E5"/>
    <w:rsid w:val="576A03E9"/>
    <w:rsid w:val="578147DD"/>
    <w:rsid w:val="57A474A5"/>
    <w:rsid w:val="57C71C02"/>
    <w:rsid w:val="57E57F14"/>
    <w:rsid w:val="57E66869"/>
    <w:rsid w:val="57FF6B31"/>
    <w:rsid w:val="58044C05"/>
    <w:rsid w:val="580C2769"/>
    <w:rsid w:val="580D4B64"/>
    <w:rsid w:val="5838665C"/>
    <w:rsid w:val="58660F97"/>
    <w:rsid w:val="586D09FC"/>
    <w:rsid w:val="58956C97"/>
    <w:rsid w:val="58A40F94"/>
    <w:rsid w:val="58CE59D8"/>
    <w:rsid w:val="58CF11A3"/>
    <w:rsid w:val="5959432D"/>
    <w:rsid w:val="595C45CC"/>
    <w:rsid w:val="599F42A2"/>
    <w:rsid w:val="59A55FE0"/>
    <w:rsid w:val="59B63CDD"/>
    <w:rsid w:val="59FB5B93"/>
    <w:rsid w:val="5A1804F3"/>
    <w:rsid w:val="5A315A59"/>
    <w:rsid w:val="5A4067D2"/>
    <w:rsid w:val="5A537461"/>
    <w:rsid w:val="5A8C6E0D"/>
    <w:rsid w:val="5A972811"/>
    <w:rsid w:val="5AA12AF6"/>
    <w:rsid w:val="5AAB25CA"/>
    <w:rsid w:val="5AAC50E0"/>
    <w:rsid w:val="5ABE7051"/>
    <w:rsid w:val="5ACE5056"/>
    <w:rsid w:val="5AD16543"/>
    <w:rsid w:val="5AD92379"/>
    <w:rsid w:val="5B03178A"/>
    <w:rsid w:val="5B266C40"/>
    <w:rsid w:val="5B370E4D"/>
    <w:rsid w:val="5B9938B6"/>
    <w:rsid w:val="5BE22FB3"/>
    <w:rsid w:val="5C341831"/>
    <w:rsid w:val="5C9D48B8"/>
    <w:rsid w:val="5CBE17E8"/>
    <w:rsid w:val="5CC04E72"/>
    <w:rsid w:val="5D026560"/>
    <w:rsid w:val="5D10417A"/>
    <w:rsid w:val="5D452DF5"/>
    <w:rsid w:val="5D755C5D"/>
    <w:rsid w:val="5D9F2CDA"/>
    <w:rsid w:val="5DA90FAB"/>
    <w:rsid w:val="5DB20C5F"/>
    <w:rsid w:val="5DD07337"/>
    <w:rsid w:val="5DD559A5"/>
    <w:rsid w:val="5DF03535"/>
    <w:rsid w:val="5E521731"/>
    <w:rsid w:val="5E744166"/>
    <w:rsid w:val="5E84084D"/>
    <w:rsid w:val="5E8E5228"/>
    <w:rsid w:val="5E9434BE"/>
    <w:rsid w:val="5EA3509D"/>
    <w:rsid w:val="5EBD5B0D"/>
    <w:rsid w:val="5EF86B45"/>
    <w:rsid w:val="5F320B59"/>
    <w:rsid w:val="5F3A53B0"/>
    <w:rsid w:val="5F7C1524"/>
    <w:rsid w:val="5F8B5E60"/>
    <w:rsid w:val="5FAF5212"/>
    <w:rsid w:val="5FC15189"/>
    <w:rsid w:val="5FC8476A"/>
    <w:rsid w:val="5FD4310E"/>
    <w:rsid w:val="5FD650D9"/>
    <w:rsid w:val="5FF27A39"/>
    <w:rsid w:val="5FF7504F"/>
    <w:rsid w:val="60344652"/>
    <w:rsid w:val="60430294"/>
    <w:rsid w:val="604A1623"/>
    <w:rsid w:val="604D2EC1"/>
    <w:rsid w:val="604D3502"/>
    <w:rsid w:val="604E10BD"/>
    <w:rsid w:val="6089495F"/>
    <w:rsid w:val="60A70823"/>
    <w:rsid w:val="60AC6B22"/>
    <w:rsid w:val="60EA5B24"/>
    <w:rsid w:val="6142679E"/>
    <w:rsid w:val="61573FF7"/>
    <w:rsid w:val="616109D2"/>
    <w:rsid w:val="61B76844"/>
    <w:rsid w:val="61B80D8C"/>
    <w:rsid w:val="61CF6026"/>
    <w:rsid w:val="620C1C83"/>
    <w:rsid w:val="6239194F"/>
    <w:rsid w:val="62483940"/>
    <w:rsid w:val="626A7D5A"/>
    <w:rsid w:val="62831868"/>
    <w:rsid w:val="628C3CE6"/>
    <w:rsid w:val="629772A1"/>
    <w:rsid w:val="62C84A81"/>
    <w:rsid w:val="630B1AB1"/>
    <w:rsid w:val="634B3CB9"/>
    <w:rsid w:val="63696264"/>
    <w:rsid w:val="637F0ADE"/>
    <w:rsid w:val="643E58FA"/>
    <w:rsid w:val="64507A64"/>
    <w:rsid w:val="64656A2B"/>
    <w:rsid w:val="64852C29"/>
    <w:rsid w:val="648C220A"/>
    <w:rsid w:val="64947310"/>
    <w:rsid w:val="64A357A5"/>
    <w:rsid w:val="64E8140A"/>
    <w:rsid w:val="6502427A"/>
    <w:rsid w:val="651C569A"/>
    <w:rsid w:val="655B270F"/>
    <w:rsid w:val="656C5B97"/>
    <w:rsid w:val="65BB7B8B"/>
    <w:rsid w:val="65CD6F3F"/>
    <w:rsid w:val="65CE0600"/>
    <w:rsid w:val="661324B7"/>
    <w:rsid w:val="665578FF"/>
    <w:rsid w:val="666F2245"/>
    <w:rsid w:val="669453A6"/>
    <w:rsid w:val="66A852F5"/>
    <w:rsid w:val="66AD6467"/>
    <w:rsid w:val="66E4496D"/>
    <w:rsid w:val="66ED54CE"/>
    <w:rsid w:val="672524A2"/>
    <w:rsid w:val="67424E02"/>
    <w:rsid w:val="67615074"/>
    <w:rsid w:val="677156E7"/>
    <w:rsid w:val="6779703B"/>
    <w:rsid w:val="67A55390"/>
    <w:rsid w:val="67AC212D"/>
    <w:rsid w:val="67B216C7"/>
    <w:rsid w:val="67C1666E"/>
    <w:rsid w:val="6806079B"/>
    <w:rsid w:val="681A7B2C"/>
    <w:rsid w:val="683227FE"/>
    <w:rsid w:val="68442DFB"/>
    <w:rsid w:val="68615828"/>
    <w:rsid w:val="68683DE7"/>
    <w:rsid w:val="68723B13"/>
    <w:rsid w:val="688240E9"/>
    <w:rsid w:val="68EF2D67"/>
    <w:rsid w:val="69036813"/>
    <w:rsid w:val="69194288"/>
    <w:rsid w:val="693764BC"/>
    <w:rsid w:val="6949691B"/>
    <w:rsid w:val="69724444"/>
    <w:rsid w:val="69936754"/>
    <w:rsid w:val="69F30635"/>
    <w:rsid w:val="6A024D1C"/>
    <w:rsid w:val="6A1707C7"/>
    <w:rsid w:val="6A4B28AA"/>
    <w:rsid w:val="6A5424B9"/>
    <w:rsid w:val="6A554E4C"/>
    <w:rsid w:val="6AB22834"/>
    <w:rsid w:val="6AB9362D"/>
    <w:rsid w:val="6ACB7742"/>
    <w:rsid w:val="6AEC241B"/>
    <w:rsid w:val="6AF723A7"/>
    <w:rsid w:val="6AFD1D62"/>
    <w:rsid w:val="6AFE0987"/>
    <w:rsid w:val="6B166CD1"/>
    <w:rsid w:val="6B6A0DCB"/>
    <w:rsid w:val="6B932501"/>
    <w:rsid w:val="6BAF67DE"/>
    <w:rsid w:val="6BBF2659"/>
    <w:rsid w:val="6BF60044"/>
    <w:rsid w:val="6C042FCD"/>
    <w:rsid w:val="6C182ED1"/>
    <w:rsid w:val="6C1A634D"/>
    <w:rsid w:val="6C517895"/>
    <w:rsid w:val="6C951E77"/>
    <w:rsid w:val="6CDE3780"/>
    <w:rsid w:val="6CE93F71"/>
    <w:rsid w:val="6CF272CA"/>
    <w:rsid w:val="6CF625AC"/>
    <w:rsid w:val="6CFA1CDB"/>
    <w:rsid w:val="6CFC6731"/>
    <w:rsid w:val="6D08105F"/>
    <w:rsid w:val="6D154D66"/>
    <w:rsid w:val="6D464F20"/>
    <w:rsid w:val="6D821C9F"/>
    <w:rsid w:val="6DA34120"/>
    <w:rsid w:val="6DC42A14"/>
    <w:rsid w:val="6DC615E8"/>
    <w:rsid w:val="6DD8026E"/>
    <w:rsid w:val="6DD90074"/>
    <w:rsid w:val="6DEE33AC"/>
    <w:rsid w:val="6DF20BCA"/>
    <w:rsid w:val="6E1374F8"/>
    <w:rsid w:val="6E146DCC"/>
    <w:rsid w:val="6E300BBD"/>
    <w:rsid w:val="6E337B9A"/>
    <w:rsid w:val="6E5A3800"/>
    <w:rsid w:val="6E74460B"/>
    <w:rsid w:val="6EB56815"/>
    <w:rsid w:val="6EBA3E17"/>
    <w:rsid w:val="6ED924EF"/>
    <w:rsid w:val="6EEA6705"/>
    <w:rsid w:val="6EEF6F36"/>
    <w:rsid w:val="6EF07839"/>
    <w:rsid w:val="6F00098A"/>
    <w:rsid w:val="6F174DC6"/>
    <w:rsid w:val="6F2673B9"/>
    <w:rsid w:val="6F394D3C"/>
    <w:rsid w:val="6F677833"/>
    <w:rsid w:val="6F6C459D"/>
    <w:rsid w:val="6F6E5E2D"/>
    <w:rsid w:val="6FE25F9A"/>
    <w:rsid w:val="6FE769C0"/>
    <w:rsid w:val="6FF1340C"/>
    <w:rsid w:val="6FFA58DA"/>
    <w:rsid w:val="701B0414"/>
    <w:rsid w:val="701E3F32"/>
    <w:rsid w:val="70957B36"/>
    <w:rsid w:val="70D72A5F"/>
    <w:rsid w:val="70E80619"/>
    <w:rsid w:val="7141612A"/>
    <w:rsid w:val="71744751"/>
    <w:rsid w:val="71D1098B"/>
    <w:rsid w:val="71D379C1"/>
    <w:rsid w:val="71FD4747"/>
    <w:rsid w:val="72451C4A"/>
    <w:rsid w:val="724F4877"/>
    <w:rsid w:val="726712B8"/>
    <w:rsid w:val="726F6CC7"/>
    <w:rsid w:val="728E539F"/>
    <w:rsid w:val="7298446F"/>
    <w:rsid w:val="729D0C65"/>
    <w:rsid w:val="729E46B1"/>
    <w:rsid w:val="72B55050"/>
    <w:rsid w:val="72D336FA"/>
    <w:rsid w:val="72EE22E1"/>
    <w:rsid w:val="730E04B9"/>
    <w:rsid w:val="732C6966"/>
    <w:rsid w:val="73700F48"/>
    <w:rsid w:val="73820D8E"/>
    <w:rsid w:val="73E443B4"/>
    <w:rsid w:val="73E47CE2"/>
    <w:rsid w:val="7463335E"/>
    <w:rsid w:val="746C5BB4"/>
    <w:rsid w:val="7483315C"/>
    <w:rsid w:val="748A603A"/>
    <w:rsid w:val="74C552BF"/>
    <w:rsid w:val="74E10D62"/>
    <w:rsid w:val="74EB6AD9"/>
    <w:rsid w:val="74EF5F37"/>
    <w:rsid w:val="74FC0CE6"/>
    <w:rsid w:val="74FE1728"/>
    <w:rsid w:val="75260C91"/>
    <w:rsid w:val="75347C5E"/>
    <w:rsid w:val="75371D1E"/>
    <w:rsid w:val="75834F63"/>
    <w:rsid w:val="75C90C9C"/>
    <w:rsid w:val="75CD4719"/>
    <w:rsid w:val="75FF5735"/>
    <w:rsid w:val="760439A8"/>
    <w:rsid w:val="762941A2"/>
    <w:rsid w:val="76342701"/>
    <w:rsid w:val="76345393"/>
    <w:rsid w:val="768A4CDF"/>
    <w:rsid w:val="76CD1EF5"/>
    <w:rsid w:val="76CE66B2"/>
    <w:rsid w:val="76DA5057"/>
    <w:rsid w:val="76EC08E6"/>
    <w:rsid w:val="770A2150"/>
    <w:rsid w:val="773A38CF"/>
    <w:rsid w:val="77421282"/>
    <w:rsid w:val="77586ECB"/>
    <w:rsid w:val="77855B80"/>
    <w:rsid w:val="77EE5092"/>
    <w:rsid w:val="77F03E6F"/>
    <w:rsid w:val="77F205C7"/>
    <w:rsid w:val="77FE796C"/>
    <w:rsid w:val="780F5CDE"/>
    <w:rsid w:val="781F4CEB"/>
    <w:rsid w:val="782D565A"/>
    <w:rsid w:val="783267CC"/>
    <w:rsid w:val="78336561"/>
    <w:rsid w:val="785726D7"/>
    <w:rsid w:val="79090999"/>
    <w:rsid w:val="79277A2D"/>
    <w:rsid w:val="79654CA0"/>
    <w:rsid w:val="798B17CB"/>
    <w:rsid w:val="79975481"/>
    <w:rsid w:val="79AC00AE"/>
    <w:rsid w:val="79AC0800"/>
    <w:rsid w:val="79CD0EA3"/>
    <w:rsid w:val="79DD09BA"/>
    <w:rsid w:val="7A0A61FA"/>
    <w:rsid w:val="7A0B3779"/>
    <w:rsid w:val="7A24483B"/>
    <w:rsid w:val="7A2465E9"/>
    <w:rsid w:val="7A2B63E0"/>
    <w:rsid w:val="7A4A24F3"/>
    <w:rsid w:val="7A505630"/>
    <w:rsid w:val="7A943974"/>
    <w:rsid w:val="7AEA5B51"/>
    <w:rsid w:val="7AFF2BC3"/>
    <w:rsid w:val="7B046B46"/>
    <w:rsid w:val="7B116B6D"/>
    <w:rsid w:val="7B5761A4"/>
    <w:rsid w:val="7B6F1AE6"/>
    <w:rsid w:val="7B8F030B"/>
    <w:rsid w:val="7B931C78"/>
    <w:rsid w:val="7BA90E03"/>
    <w:rsid w:val="7BEF1322"/>
    <w:rsid w:val="7C030BAC"/>
    <w:rsid w:val="7C605FFE"/>
    <w:rsid w:val="7C6A2867"/>
    <w:rsid w:val="7C736FC7"/>
    <w:rsid w:val="7C7575D0"/>
    <w:rsid w:val="7C8F2245"/>
    <w:rsid w:val="7CBB76D8"/>
    <w:rsid w:val="7CCA791B"/>
    <w:rsid w:val="7CE83493"/>
    <w:rsid w:val="7D0273F1"/>
    <w:rsid w:val="7D0D2AD0"/>
    <w:rsid w:val="7D1E1A15"/>
    <w:rsid w:val="7D32101D"/>
    <w:rsid w:val="7D567401"/>
    <w:rsid w:val="7D7B6E68"/>
    <w:rsid w:val="7D9A18AA"/>
    <w:rsid w:val="7DAC5273"/>
    <w:rsid w:val="7DC600E3"/>
    <w:rsid w:val="7DDD367E"/>
    <w:rsid w:val="7DEF0124"/>
    <w:rsid w:val="7E247B4B"/>
    <w:rsid w:val="7E327526"/>
    <w:rsid w:val="7E5849D9"/>
    <w:rsid w:val="7E730D4D"/>
    <w:rsid w:val="7ED01D98"/>
    <w:rsid w:val="7F076063"/>
    <w:rsid w:val="7F2552DD"/>
    <w:rsid w:val="7F392B36"/>
    <w:rsid w:val="7F413799"/>
    <w:rsid w:val="7F6672E9"/>
    <w:rsid w:val="7F765B38"/>
    <w:rsid w:val="7F86304D"/>
    <w:rsid w:val="7F963AE5"/>
    <w:rsid w:val="7F9C388A"/>
    <w:rsid w:val="7FD0349B"/>
    <w:rsid w:val="7FF65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560" w:lineRule="exact"/>
      <w:ind w:firstLine="640" w:firstLineChars="200"/>
      <w:jc w:val="both"/>
    </w:pPr>
    <w:rPr>
      <w:rFonts w:ascii="Times New Roman" w:hAnsi="Times New Roman" w:eastAsia="仿宋" w:cstheme="minorBidi"/>
      <w:kern w:val="2"/>
      <w:sz w:val="32"/>
      <w:szCs w:val="24"/>
      <w:lang w:val="en-US" w:eastAsia="zh-CN" w:bidi="ar-SA"/>
    </w:rPr>
  </w:style>
  <w:style w:type="paragraph" w:styleId="2">
    <w:name w:val="heading 1"/>
    <w:basedOn w:val="1"/>
    <w:next w:val="1"/>
    <w:link w:val="35"/>
    <w:qFormat/>
    <w:uiPriority w:val="0"/>
    <w:pPr>
      <w:keepNext w:val="0"/>
      <w:keepLines w:val="0"/>
      <w:kinsoku w:val="0"/>
      <w:overflowPunct w:val="0"/>
      <w:autoSpaceDE w:val="0"/>
      <w:autoSpaceDN w:val="0"/>
      <w:spacing w:beforeLines="0" w:beforeAutospacing="0" w:afterLines="0" w:afterAutospacing="0" w:line="560" w:lineRule="exact"/>
      <w:ind w:firstLine="0" w:firstLineChars="0"/>
      <w:jc w:val="center"/>
      <w:outlineLvl w:val="0"/>
    </w:pPr>
    <w:rPr>
      <w:rFonts w:eastAsia="方正小标宋简体"/>
      <w:kern w:val="44"/>
      <w:sz w:val="44"/>
    </w:rPr>
  </w:style>
  <w:style w:type="paragraph" w:styleId="3">
    <w:name w:val="heading 2"/>
    <w:basedOn w:val="1"/>
    <w:next w:val="1"/>
    <w:link w:val="34"/>
    <w:unhideWhenUsed/>
    <w:qFormat/>
    <w:uiPriority w:val="0"/>
    <w:pPr>
      <w:keepNext w:val="0"/>
      <w:keepLines w:val="0"/>
      <w:kinsoku w:val="0"/>
      <w:overflowPunct w:val="0"/>
      <w:autoSpaceDE w:val="0"/>
      <w:autoSpaceDN w:val="0"/>
      <w:spacing w:beforeLines="0" w:beforeAutospacing="0" w:afterLines="0" w:afterAutospacing="0" w:line="560" w:lineRule="exact"/>
      <w:outlineLvl w:val="1"/>
    </w:pPr>
    <w:rPr>
      <w:rFonts w:ascii="Arial" w:hAnsi="Arial" w:eastAsia="黑体"/>
    </w:rPr>
  </w:style>
  <w:style w:type="paragraph" w:styleId="4">
    <w:name w:val="heading 3"/>
    <w:basedOn w:val="1"/>
    <w:next w:val="1"/>
    <w:link w:val="33"/>
    <w:unhideWhenUsed/>
    <w:qFormat/>
    <w:uiPriority w:val="0"/>
    <w:pPr>
      <w:keepNext w:val="0"/>
      <w:keepLines w:val="0"/>
      <w:kinsoku w:val="0"/>
      <w:overflowPunct w:val="0"/>
      <w:autoSpaceDE w:val="0"/>
      <w:autoSpaceDN w:val="0"/>
      <w:spacing w:beforeLines="0" w:beforeAutospacing="0" w:afterLines="0" w:afterAutospacing="0" w:line="560" w:lineRule="exact"/>
      <w:outlineLvl w:val="2"/>
    </w:pPr>
    <w:rPr>
      <w:rFonts w:eastAsia="楷体"/>
    </w:rPr>
  </w:style>
  <w:style w:type="paragraph" w:styleId="5">
    <w:name w:val="heading 4"/>
    <w:basedOn w:val="1"/>
    <w:next w:val="1"/>
    <w:link w:val="74"/>
    <w:unhideWhenUsed/>
    <w:qFormat/>
    <w:uiPriority w:val="0"/>
    <w:pPr>
      <w:keepNext/>
      <w:keepLines/>
      <w:spacing w:beforeLines="0" w:beforeAutospacing="0" w:afterLines="0" w:afterAutospacing="0" w:line="560" w:lineRule="exact"/>
      <w:outlineLvl w:val="3"/>
    </w:pPr>
    <w:rPr>
      <w:rFonts w:ascii="Times New Roman" w:hAnsi="Times New Roman"/>
      <w:b/>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Body Text"/>
    <w:basedOn w:val="1"/>
    <w:next w:val="7"/>
    <w:qFormat/>
    <w:uiPriority w:val="0"/>
    <w:pPr>
      <w:widowControl/>
      <w:suppressAutoHyphens w:val="0"/>
      <w:bidi w:val="0"/>
      <w:spacing w:beforeLines="0" w:beforeAutospacing="0" w:afterLines="58" w:afterAutospacing="0" w:line="240" w:lineRule="auto"/>
      <w:jc w:val="both"/>
    </w:pPr>
    <w:rPr>
      <w:rFonts w:ascii="等线" w:hAnsi="等线" w:cs="等线" w:eastAsiaTheme="minorEastAsia"/>
      <w:color w:val="auto"/>
      <w:kern w:val="0"/>
      <w:sz w:val="21"/>
      <w:szCs w:val="21"/>
      <w:lang w:val="en-US" w:eastAsia="zh-CN" w:bidi="hi-IN"/>
    </w:rPr>
  </w:style>
  <w:style w:type="paragraph" w:styleId="7">
    <w:name w:val="toc 2"/>
    <w:basedOn w:val="1"/>
    <w:next w:val="1"/>
    <w:qFormat/>
    <w:uiPriority w:val="0"/>
    <w:pPr>
      <w:ind w:left="420" w:leftChars="200"/>
    </w:pPr>
  </w:style>
  <w:style w:type="paragraph" w:styleId="8">
    <w:name w:val="toc 3"/>
    <w:basedOn w:val="1"/>
    <w:next w:val="1"/>
    <w:qFormat/>
    <w:uiPriority w:val="0"/>
    <w:pPr>
      <w:ind w:left="840" w:leftChars="400"/>
    </w:p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qFormat/>
    <w:uiPriority w:val="0"/>
    <w:pPr>
      <w:spacing w:beforeAutospacing="0" w:afterAutospacing="0" w:line="600" w:lineRule="exact"/>
      <w:ind w:firstLine="880" w:firstLineChars="200"/>
      <w:jc w:val="both"/>
      <w:outlineLvl w:val="0"/>
    </w:pPr>
    <w:rPr>
      <w:rFonts w:ascii="仿宋" w:hAnsi="仿宋" w:cs="方正小标宋简体"/>
      <w:szCs w:val="44"/>
    </w:rPr>
  </w:style>
  <w:style w:type="paragraph" w:styleId="16">
    <w:name w:val="Body Text First Indent 2"/>
    <w:basedOn w:val="1"/>
    <w:qFormat/>
    <w:uiPriority w:val="0"/>
    <w:pPr>
      <w:widowControl w:val="0"/>
      <w:spacing w:before="0" w:after="0" w:line="540" w:lineRule="exact"/>
      <w:ind w:left="0" w:right="0" w:firstLine="420"/>
      <w:jc w:val="both"/>
    </w:pPr>
    <w:rPr>
      <w:rFonts w:ascii="Calibri" w:hAnsi="Calibri" w:eastAsia="仿宋_GB2312" w:cs="Times New Roman"/>
      <w:kern w:val="2"/>
      <w:sz w:val="21"/>
      <w:szCs w:val="24"/>
      <w:lang w:val="en-US" w:eastAsia="zh-CN" w:bidi="ar-SA"/>
    </w:rPr>
  </w:style>
  <w:style w:type="table" w:styleId="18">
    <w:name w:val="Table Grid"/>
    <w:basedOn w:val="17"/>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qFormat/>
    <w:uiPriority w:val="0"/>
    <w:rPr>
      <w:color w:val="576B95"/>
      <w:u w:val="none"/>
    </w:rPr>
  </w:style>
  <w:style w:type="character" w:styleId="23">
    <w:name w:val="Emphasis"/>
    <w:basedOn w:val="19"/>
    <w:qFormat/>
    <w:uiPriority w:val="0"/>
  </w:style>
  <w:style w:type="character" w:styleId="24">
    <w:name w:val="HTML Definition"/>
    <w:basedOn w:val="19"/>
    <w:qFormat/>
    <w:uiPriority w:val="0"/>
    <w:rPr>
      <w:i/>
      <w:iCs/>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basedOn w:val="19"/>
    <w:qFormat/>
    <w:uiPriority w:val="0"/>
    <w:rPr>
      <w:color w:val="576B95"/>
      <w:u w:val="none"/>
    </w:rPr>
  </w:style>
  <w:style w:type="character" w:styleId="28">
    <w:name w:val="HTML Code"/>
    <w:basedOn w:val="19"/>
    <w:qFormat/>
    <w:uiPriority w:val="0"/>
    <w:rPr>
      <w:rFonts w:hint="default" w:ascii="monospace" w:hAnsi="monospace" w:eastAsia="monospace" w:cs="monospace"/>
      <w:sz w:val="21"/>
      <w:szCs w:val="21"/>
    </w:rPr>
  </w:style>
  <w:style w:type="character" w:styleId="29">
    <w:name w:val="HTML Cite"/>
    <w:basedOn w:val="19"/>
    <w:qFormat/>
    <w:uiPriority w:val="0"/>
  </w:style>
  <w:style w:type="character" w:styleId="30">
    <w:name w:val="HTML Keyboard"/>
    <w:basedOn w:val="19"/>
    <w:qFormat/>
    <w:uiPriority w:val="0"/>
    <w:rPr>
      <w:rFonts w:hint="default" w:ascii="monospace" w:hAnsi="monospace" w:eastAsia="monospace" w:cs="monospace"/>
      <w:sz w:val="21"/>
      <w:szCs w:val="21"/>
    </w:rPr>
  </w:style>
  <w:style w:type="character" w:styleId="31">
    <w:name w:val="HTML Sample"/>
    <w:basedOn w:val="19"/>
    <w:qFormat/>
    <w:uiPriority w:val="0"/>
    <w:rPr>
      <w:rFonts w:ascii="monospace" w:hAnsi="monospace" w:eastAsia="monospace" w:cs="monospace"/>
      <w:sz w:val="21"/>
      <w:szCs w:val="21"/>
    </w:rPr>
  </w:style>
  <w:style w:type="paragraph" w:customStyle="1" w:styleId="32">
    <w:name w:val="正文111"/>
    <w:qFormat/>
    <w:uiPriority w:val="0"/>
    <w:pPr>
      <w:widowControl w:val="0"/>
      <w:suppressAutoHyphens w:val="0"/>
      <w:bidi w:val="0"/>
      <w:spacing w:beforeLines="0" w:beforeAutospacing="0" w:afterLines="0" w:afterAutospacing="0"/>
      <w:jc w:val="both"/>
    </w:pPr>
    <w:rPr>
      <w:rFonts w:asciiTheme="minorHAnsi" w:hAnsiTheme="minorHAnsi" w:eastAsiaTheme="minorEastAsia" w:cstheme="minorBidi"/>
      <w:color w:val="auto"/>
      <w:kern w:val="0"/>
      <w:sz w:val="20"/>
      <w:szCs w:val="20"/>
      <w:lang w:val="en-US" w:eastAsia="zh-CN" w:bidi="hi-IN"/>
    </w:rPr>
  </w:style>
  <w:style w:type="character" w:customStyle="1" w:styleId="33">
    <w:name w:val="标题 3 Char"/>
    <w:link w:val="4"/>
    <w:qFormat/>
    <w:uiPriority w:val="0"/>
    <w:rPr>
      <w:rFonts w:eastAsia="楷体"/>
    </w:rPr>
  </w:style>
  <w:style w:type="character" w:customStyle="1" w:styleId="34">
    <w:name w:val="标题 2 Char"/>
    <w:link w:val="3"/>
    <w:qFormat/>
    <w:uiPriority w:val="0"/>
    <w:rPr>
      <w:rFonts w:ascii="Arial" w:hAnsi="Arial" w:eastAsia="黑体"/>
    </w:rPr>
  </w:style>
  <w:style w:type="character" w:customStyle="1" w:styleId="35">
    <w:name w:val="标题 1 Char"/>
    <w:link w:val="2"/>
    <w:qFormat/>
    <w:uiPriority w:val="0"/>
    <w:rPr>
      <w:rFonts w:ascii="Times New Roman" w:hAnsi="Times New Roman" w:eastAsia="方正小标宋简体"/>
      <w:kern w:val="44"/>
      <w:sz w:val="44"/>
    </w:rPr>
  </w:style>
  <w:style w:type="paragraph" w:customStyle="1" w:styleId="36">
    <w:name w:val="页脚1"/>
    <w:basedOn w:val="32"/>
    <w:qFormat/>
    <w:uiPriority w:val="0"/>
    <w:pPr>
      <w:tabs>
        <w:tab w:val="center" w:pos="4153"/>
        <w:tab w:val="right" w:pos="8306"/>
      </w:tabs>
      <w:snapToGrid w:val="0"/>
      <w:jc w:val="left"/>
    </w:pPr>
    <w:rPr>
      <w:sz w:val="18"/>
    </w:rPr>
  </w:style>
  <w:style w:type="paragraph" w:customStyle="1" w:styleId="37">
    <w:name w:val="标题 111"/>
    <w:basedOn w:val="32"/>
    <w:next w:val="32"/>
    <w:qFormat/>
    <w:uiPriority w:val="0"/>
    <w:pPr>
      <w:keepNext/>
      <w:keepLines/>
      <w:spacing w:line="576" w:lineRule="auto"/>
      <w:jc w:val="both"/>
      <w:outlineLvl w:val="0"/>
    </w:pPr>
    <w:rPr>
      <w:rFonts w:ascii="Calibri" w:hAnsi="Calibri" w:eastAsia="等线" w:cs="Times New Roman"/>
      <w:b/>
      <w:sz w:val="44"/>
      <w:szCs w:val="24"/>
    </w:rPr>
  </w:style>
  <w:style w:type="paragraph" w:customStyle="1" w:styleId="38">
    <w:name w:val="正文1"/>
    <w:qFormat/>
    <w:uiPriority w:val="0"/>
    <w:pPr>
      <w:widowControl w:val="0"/>
      <w:suppressAutoHyphens w:val="0"/>
      <w:kinsoku/>
      <w:overflowPunct/>
      <w:bidi w:val="0"/>
      <w:spacing w:beforeLines="0" w:beforeAutospacing="0" w:afterLines="0" w:afterAutospacing="0"/>
      <w:jc w:val="both"/>
    </w:pPr>
    <w:rPr>
      <w:rFonts w:ascii="Calibri" w:hAnsi="Calibri" w:eastAsia="宋体" w:cs="宋体"/>
      <w:color w:val="auto"/>
      <w:kern w:val="0"/>
      <w:sz w:val="20"/>
      <w:szCs w:val="20"/>
      <w:lang w:val="en-US" w:eastAsia="zh-CN" w:bidi="hi-IN"/>
    </w:rPr>
  </w:style>
  <w:style w:type="paragraph" w:customStyle="1" w:styleId="39">
    <w:name w:val="正文11"/>
    <w:qFormat/>
    <w:uiPriority w:val="0"/>
    <w:pPr>
      <w:widowControl w:val="0"/>
      <w:suppressAutoHyphens w:val="0"/>
      <w:kinsoku/>
      <w:overflowPunct/>
      <w:bidi w:val="0"/>
      <w:spacing w:beforeLines="0" w:beforeAutospacing="0" w:afterLines="0" w:afterAutospacing="0"/>
      <w:jc w:val="both"/>
    </w:pPr>
    <w:rPr>
      <w:rFonts w:ascii="Calibri" w:hAnsi="Calibri" w:eastAsia="宋体" w:cs="宋体"/>
      <w:color w:val="auto"/>
      <w:kern w:val="0"/>
      <w:sz w:val="20"/>
      <w:szCs w:val="20"/>
      <w:lang w:val="en-US" w:eastAsia="zh-CN" w:bidi="hi-IN"/>
    </w:rPr>
  </w:style>
  <w:style w:type="paragraph" w:customStyle="1" w:styleId="40">
    <w:name w:val="页眉1"/>
    <w:basedOn w:val="32"/>
    <w:qFormat/>
    <w:uiPriority w:val="0"/>
    <w:pPr>
      <w:tabs>
        <w:tab w:val="center" w:pos="4153"/>
        <w:tab w:val="right" w:pos="8306"/>
      </w:tabs>
      <w:snapToGrid w:val="0"/>
    </w:pPr>
    <w:rPr>
      <w:sz w:val="18"/>
    </w:rPr>
  </w:style>
  <w:style w:type="paragraph" w:customStyle="1" w:styleId="41">
    <w:name w:val="框架内容"/>
    <w:basedOn w:val="32"/>
    <w:qFormat/>
    <w:uiPriority w:val="0"/>
  </w:style>
  <w:style w:type="paragraph" w:customStyle="1" w:styleId="42">
    <w:name w:val="正文12"/>
    <w:qFormat/>
    <w:uiPriority w:val="0"/>
    <w:pPr>
      <w:widowControl w:val="0"/>
      <w:jc w:val="both"/>
    </w:pPr>
    <w:rPr>
      <w:rFonts w:ascii="Calibri" w:hAnsi="Calibri" w:eastAsia="等线" w:cs="Times New Roman"/>
      <w:kern w:val="2"/>
      <w:sz w:val="21"/>
      <w:szCs w:val="24"/>
      <w:lang w:val="en-US" w:eastAsia="zh-CN" w:bidi="hi-IN"/>
    </w:rPr>
  </w:style>
  <w:style w:type="paragraph" w:customStyle="1" w:styleId="43">
    <w:name w:val="ql-block"/>
    <w:basedOn w:val="1"/>
    <w:qFormat/>
    <w:uiPriority w:val="0"/>
    <w:pPr>
      <w:jc w:val="left"/>
    </w:pPr>
    <w:rPr>
      <w:kern w:val="0"/>
      <w:lang w:val="en-US" w:eastAsia="zh-CN" w:bidi="ar"/>
    </w:rPr>
  </w:style>
  <w:style w:type="paragraph" w:customStyle="1" w:styleId="44">
    <w:name w:val="ql-block2"/>
    <w:basedOn w:val="1"/>
    <w:qFormat/>
    <w:uiPriority w:val="0"/>
    <w:pPr>
      <w:jc w:val="left"/>
    </w:pPr>
    <w:rPr>
      <w:kern w:val="0"/>
      <w:lang w:val="en-US" w:eastAsia="zh-CN" w:bidi="ar"/>
    </w:rPr>
  </w:style>
  <w:style w:type="paragraph" w:customStyle="1" w:styleId="45">
    <w:name w:val="ql-block4"/>
    <w:basedOn w:val="1"/>
    <w:qFormat/>
    <w:uiPriority w:val="0"/>
    <w:pPr>
      <w:jc w:val="left"/>
    </w:pPr>
    <w:rPr>
      <w:kern w:val="0"/>
      <w:lang w:val="en-US" w:eastAsia="zh-CN" w:bidi="ar"/>
    </w:rPr>
  </w:style>
  <w:style w:type="character" w:customStyle="1" w:styleId="46">
    <w:name w:val="nub"/>
    <w:basedOn w:val="19"/>
    <w:qFormat/>
    <w:uiPriority w:val="0"/>
  </w:style>
  <w:style w:type="paragraph" w:styleId="47">
    <w:name w:val="List Paragraph"/>
    <w:basedOn w:val="1"/>
    <w:qFormat/>
    <w:uiPriority w:val="34"/>
    <w:pPr>
      <w:ind w:firstLine="420" w:firstLineChars="200"/>
    </w:pPr>
  </w:style>
  <w:style w:type="character" w:customStyle="1" w:styleId="48">
    <w:name w:val="yunting"/>
    <w:basedOn w:val="19"/>
    <w:qFormat/>
    <w:uiPriority w:val="0"/>
  </w:style>
  <w:style w:type="character" w:customStyle="1" w:styleId="49">
    <w:name w:val="tag"/>
    <w:basedOn w:val="19"/>
    <w:qFormat/>
    <w:uiPriority w:val="0"/>
    <w:rPr>
      <w:sz w:val="0"/>
      <w:szCs w:val="0"/>
    </w:rPr>
  </w:style>
  <w:style w:type="character" w:customStyle="1" w:styleId="50">
    <w:name w:val="tag1"/>
    <w:basedOn w:val="19"/>
    <w:qFormat/>
    <w:uiPriority w:val="0"/>
    <w:rPr>
      <w:sz w:val="0"/>
      <w:szCs w:val="0"/>
    </w:rPr>
  </w:style>
  <w:style w:type="character" w:customStyle="1" w:styleId="51">
    <w:name w:val="pic"/>
    <w:basedOn w:val="19"/>
    <w:qFormat/>
    <w:uiPriority w:val="0"/>
    <w:rPr>
      <w:sz w:val="0"/>
      <w:szCs w:val="0"/>
    </w:rPr>
  </w:style>
  <w:style w:type="paragraph" w:customStyle="1" w:styleId="52">
    <w:name w:val="contentfont"/>
    <w:basedOn w:val="1"/>
    <w:qFormat/>
    <w:uiPriority w:val="0"/>
    <w:pPr>
      <w:jc w:val="left"/>
    </w:pPr>
    <w:rPr>
      <w:kern w:val="0"/>
      <w:lang w:val="en-US" w:eastAsia="zh-CN" w:bidi="ar"/>
    </w:rPr>
  </w:style>
  <w:style w:type="paragraph" w:customStyle="1" w:styleId="53">
    <w:name w:val="contentfont2"/>
    <w:basedOn w:val="1"/>
    <w:qFormat/>
    <w:uiPriority w:val="0"/>
    <w:pPr>
      <w:jc w:val="left"/>
    </w:pPr>
    <w:rPr>
      <w:kern w:val="0"/>
      <w:lang w:val="en-US" w:eastAsia="zh-CN" w:bidi="ar"/>
    </w:rPr>
  </w:style>
  <w:style w:type="paragraph" w:customStyle="1" w:styleId="54">
    <w:name w:val="contentfont4"/>
    <w:basedOn w:val="1"/>
    <w:qFormat/>
    <w:uiPriority w:val="0"/>
    <w:pPr>
      <w:pBdr>
        <w:left w:val="none" w:color="auto" w:sz="0" w:space="0"/>
        <w:right w:val="none" w:color="auto" w:sz="0" w:space="0"/>
      </w:pBdr>
      <w:jc w:val="both"/>
    </w:pPr>
    <w:rPr>
      <w:kern w:val="0"/>
      <w:lang w:val="en-US" w:eastAsia="zh-CN" w:bidi="ar"/>
    </w:rPr>
  </w:style>
  <w:style w:type="paragraph" w:customStyle="1" w:styleId="55">
    <w:name w:val="contentfont6"/>
    <w:basedOn w:val="1"/>
    <w:qFormat/>
    <w:uiPriority w:val="0"/>
    <w:pPr>
      <w:jc w:val="left"/>
    </w:pPr>
    <w:rPr>
      <w:kern w:val="0"/>
      <w:lang w:val="en-US" w:eastAsia="zh-CN" w:bidi="ar"/>
    </w:rPr>
  </w:style>
  <w:style w:type="paragraph" w:customStyle="1" w:styleId="56">
    <w:name w:val="contentfont8"/>
    <w:basedOn w:val="1"/>
    <w:qFormat/>
    <w:uiPriority w:val="0"/>
    <w:pPr>
      <w:jc w:val="left"/>
    </w:pPr>
    <w:rPr>
      <w:kern w:val="0"/>
      <w:lang w:val="en-US" w:eastAsia="zh-CN" w:bidi="ar"/>
    </w:rPr>
  </w:style>
  <w:style w:type="paragraph" w:customStyle="1" w:styleId="57">
    <w:name w:val="contentfont10"/>
    <w:basedOn w:val="1"/>
    <w:qFormat/>
    <w:uiPriority w:val="0"/>
    <w:pPr>
      <w:jc w:val="left"/>
    </w:pPr>
    <w:rPr>
      <w:kern w:val="0"/>
      <w:lang w:val="en-US" w:eastAsia="zh-CN" w:bidi="ar"/>
    </w:rPr>
  </w:style>
  <w:style w:type="paragraph" w:customStyle="1" w:styleId="58">
    <w:name w:val="样式6"/>
    <w:basedOn w:val="2"/>
    <w:qFormat/>
    <w:uiPriority w:val="0"/>
    <w:pPr>
      <w:numPr>
        <w:ilvl w:val="0"/>
        <w:numId w:val="1"/>
      </w:numPr>
    </w:pPr>
  </w:style>
  <w:style w:type="paragraph" w:customStyle="1" w:styleId="59">
    <w:name w:val="Body text|1"/>
    <w:basedOn w:val="1"/>
    <w:qFormat/>
    <w:uiPriority w:val="0"/>
    <w:pPr>
      <w:spacing w:after="520" w:line="360" w:lineRule="auto"/>
      <w:ind w:firstLine="400"/>
    </w:pPr>
    <w:rPr>
      <w:rFonts w:ascii="宋体" w:hAnsi="宋体" w:eastAsia="宋体" w:cs="宋体"/>
      <w:color w:val="ADAFBC"/>
      <w:sz w:val="26"/>
      <w:szCs w:val="26"/>
      <w:lang w:val="zh-TW" w:eastAsia="zh-TW" w:bidi="zh-TW"/>
    </w:rPr>
  </w:style>
  <w:style w:type="paragraph" w:customStyle="1" w:styleId="60">
    <w:name w:val="Header or footer|2"/>
    <w:basedOn w:val="1"/>
    <w:qFormat/>
    <w:uiPriority w:val="0"/>
    <w:rPr>
      <w:sz w:val="20"/>
      <w:szCs w:val="20"/>
      <w:lang w:val="zh-CN"/>
    </w:rPr>
  </w:style>
  <w:style w:type="character" w:customStyle="1" w:styleId="61">
    <w:name w:val="datetime"/>
    <w:basedOn w:val="19"/>
    <w:qFormat/>
    <w:uiPriority w:val="0"/>
  </w:style>
  <w:style w:type="character" w:customStyle="1" w:styleId="62">
    <w:name w:val="datetime1"/>
    <w:basedOn w:val="19"/>
    <w:qFormat/>
    <w:uiPriority w:val="0"/>
  </w:style>
  <w:style w:type="character" w:customStyle="1" w:styleId="63">
    <w:name w:val="datetime2"/>
    <w:basedOn w:val="19"/>
    <w:qFormat/>
    <w:uiPriority w:val="0"/>
  </w:style>
  <w:style w:type="character" w:customStyle="1" w:styleId="64">
    <w:name w:val="datetime3"/>
    <w:basedOn w:val="19"/>
    <w:qFormat/>
    <w:uiPriority w:val="0"/>
  </w:style>
  <w:style w:type="character" w:customStyle="1" w:styleId="65">
    <w:name w:val="datetime4"/>
    <w:basedOn w:val="19"/>
    <w:qFormat/>
    <w:uiPriority w:val="0"/>
  </w:style>
  <w:style w:type="character" w:customStyle="1" w:styleId="66">
    <w:name w:val="datetime5"/>
    <w:basedOn w:val="19"/>
    <w:qFormat/>
    <w:uiPriority w:val="0"/>
  </w:style>
  <w:style w:type="character" w:customStyle="1" w:styleId="67">
    <w:name w:val="datetime6"/>
    <w:basedOn w:val="19"/>
    <w:qFormat/>
    <w:uiPriority w:val="0"/>
  </w:style>
  <w:style w:type="character" w:customStyle="1" w:styleId="68">
    <w:name w:val="datetime7"/>
    <w:basedOn w:val="19"/>
    <w:qFormat/>
    <w:uiPriority w:val="0"/>
  </w:style>
  <w:style w:type="character" w:customStyle="1" w:styleId="69">
    <w:name w:val="datetime8"/>
    <w:basedOn w:val="19"/>
    <w:qFormat/>
    <w:uiPriority w:val="0"/>
  </w:style>
  <w:style w:type="character" w:customStyle="1" w:styleId="70">
    <w:name w:val="datetime9"/>
    <w:basedOn w:val="19"/>
    <w:qFormat/>
    <w:uiPriority w:val="0"/>
  </w:style>
  <w:style w:type="character" w:customStyle="1" w:styleId="71">
    <w:name w:val="datetime10"/>
    <w:basedOn w:val="19"/>
    <w:qFormat/>
    <w:uiPriority w:val="0"/>
  </w:style>
  <w:style w:type="character" w:customStyle="1" w:styleId="72">
    <w:name w:val="datetime11"/>
    <w:basedOn w:val="19"/>
    <w:qFormat/>
    <w:uiPriority w:val="0"/>
  </w:style>
  <w:style w:type="paragraph" w:customStyle="1" w:styleId="73">
    <w:name w:val="18"/>
    <w:basedOn w:val="1"/>
    <w:qFormat/>
    <w:uiPriority w:val="0"/>
    <w:pPr>
      <w:keepNext w:val="0"/>
      <w:keepLines w:val="0"/>
      <w:widowControl w:val="0"/>
      <w:suppressLineNumbers w:val="0"/>
      <w:spacing w:before="0" w:beforeAutospacing="0" w:after="0" w:afterAutospacing="0"/>
      <w:ind w:left="0" w:right="0"/>
      <w:jc w:val="both"/>
    </w:pPr>
    <w:rPr>
      <w:rFonts w:hint="eastAsia" w:ascii="等线" w:hAnsi="等线" w:eastAsia="等线" w:cs="Times New Roman"/>
      <w:kern w:val="2"/>
      <w:sz w:val="21"/>
      <w:szCs w:val="22"/>
      <w:lang w:val="en-US" w:eastAsia="zh-CN" w:bidi="ar"/>
    </w:rPr>
  </w:style>
  <w:style w:type="character" w:customStyle="1" w:styleId="74">
    <w:name w:val="标题 4 Char"/>
    <w:link w:val="5"/>
    <w:qFormat/>
    <w:uiPriority w:val="0"/>
    <w:rPr>
      <w:rFonts w:ascii="Times New Roman" w:hAnsi="Times New Roman"/>
      <w:b/>
    </w:rPr>
  </w:style>
  <w:style w:type="paragraph" w:customStyle="1" w:styleId="75">
    <w:name w:val="TOC 标题"/>
    <w:basedOn w:val="76"/>
    <w:next w:val="38"/>
    <w:qFormat/>
    <w:uiPriority w:val="0"/>
    <w:pPr>
      <w:widowControl/>
      <w:numPr>
        <w:ilvl w:val="0"/>
        <w:numId w:val="0"/>
      </w:numPr>
      <w:spacing w:line="276" w:lineRule="auto"/>
      <w:jc w:val="left"/>
    </w:pPr>
    <w:rPr>
      <w:rFonts w:ascii="Cambria" w:hAnsi="Cambria" w:eastAsia="宋体" w:cs="Times New Roman"/>
      <w:color w:val="365F91"/>
      <w:kern w:val="0"/>
      <w:sz w:val="28"/>
      <w:szCs w:val="28"/>
    </w:rPr>
  </w:style>
  <w:style w:type="paragraph" w:customStyle="1" w:styleId="76">
    <w:name w:val="标题 11"/>
    <w:basedOn w:val="38"/>
    <w:next w:val="38"/>
    <w:qFormat/>
    <w:uiPriority w:val="0"/>
    <w:pPr>
      <w:keepNext/>
      <w:keepLines/>
      <w:spacing w:line="576" w:lineRule="auto"/>
      <w:outlineLvl w:val="0"/>
    </w:pPr>
    <w:rPr>
      <w:b/>
      <w:bCs/>
      <w:kern w:val="2"/>
      <w:sz w:val="44"/>
      <w:szCs w:val="44"/>
    </w:rPr>
  </w:style>
  <w:style w:type="paragraph" w:customStyle="1" w:styleId="77">
    <w:name w:val="目录 11"/>
    <w:basedOn w:val="38"/>
    <w:next w:val="38"/>
    <w:qFormat/>
    <w:uiPriority w:val="0"/>
    <w:pPr>
      <w:widowControl/>
      <w:tabs>
        <w:tab w:val="right" w:leader="dot" w:pos="9344"/>
      </w:tabs>
      <w:spacing w:line="276" w:lineRule="auto"/>
      <w:jc w:val="left"/>
    </w:pPr>
    <w:rPr>
      <w:rFonts w:ascii="Calibri" w:hAnsi="Calibri" w:cs="Calibri"/>
      <w:kern w:val="0"/>
      <w:sz w:val="24"/>
      <w:szCs w:val="22"/>
      <w:lang w:val="zh-CN" w:eastAsia="zh-CN"/>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正文文本1"/>
    <w:qFormat/>
    <w:uiPriority w:val="0"/>
    <w:pPr>
      <w:widowControl/>
      <w:suppressAutoHyphens w:val="0"/>
      <w:bidi w:val="0"/>
      <w:spacing w:beforeLines="0" w:beforeAutospacing="0" w:afterLines="0" w:afterAutospacing="0" w:line="240" w:lineRule="auto"/>
      <w:jc w:val="both"/>
    </w:pPr>
    <w:rPr>
      <w:rFonts w:ascii="等线" w:hAnsi="等线" w:eastAsia="等线" w:cs="等线"/>
      <w:color w:val="auto"/>
      <w:kern w:val="0"/>
      <w:sz w:val="21"/>
      <w:szCs w:val="21"/>
      <w:lang w:val="en-US" w:eastAsia="zh-CN" w:bidi="hi-IN"/>
    </w:rPr>
  </w:style>
  <w:style w:type="character" w:customStyle="1" w:styleId="80">
    <w:name w:val="页码1"/>
    <w:basedOn w:val="81"/>
    <w:qFormat/>
    <w:uiPriority w:val="0"/>
    <w:rPr>
      <w:rFonts w:cs="Times New Roman"/>
      <w:lang w:bidi="ar-SA"/>
    </w:rPr>
  </w:style>
  <w:style w:type="character" w:customStyle="1" w:styleId="81">
    <w:name w:val="默认段落字体1"/>
    <w:qFormat/>
    <w:uiPriority w:val="0"/>
  </w:style>
  <w:style w:type="paragraph" w:customStyle="1" w:styleId="82">
    <w:name w:val="Table Text"/>
    <w:basedOn w:val="1"/>
    <w:semiHidden/>
    <w:qFormat/>
    <w:uiPriority w:val="0"/>
    <w:rPr>
      <w:rFonts w:ascii="Times New Roman" w:hAnsi="Times New Roman" w:eastAsia="Times New Roman" w:cs="Times New Roman"/>
      <w:sz w:val="24"/>
      <w:szCs w:val="24"/>
      <w:lang w:val="en-US" w:eastAsia="en-US" w:bidi="ar-SA"/>
    </w:rPr>
  </w:style>
  <w:style w:type="character" w:customStyle="1" w:styleId="83">
    <w:name w:val="font11"/>
    <w:basedOn w:val="19"/>
    <w:qFormat/>
    <w:uiPriority w:val="0"/>
    <w:rPr>
      <w:rFonts w:hint="eastAsia" w:ascii="黑体" w:hAnsi="宋体" w:eastAsia="黑体" w:cs="黑体"/>
      <w:color w:val="000000"/>
      <w:sz w:val="24"/>
      <w:szCs w:val="24"/>
      <w:u w:val="none"/>
    </w:rPr>
  </w:style>
  <w:style w:type="character" w:customStyle="1" w:styleId="84">
    <w:name w:val="font31"/>
    <w:basedOn w:val="19"/>
    <w:uiPriority w:val="0"/>
    <w:rPr>
      <w:rFonts w:hint="eastAsia" w:ascii="仿宋" w:hAnsi="仿宋" w:eastAsia="仿宋" w:cs="仿宋"/>
      <w:color w:val="000000"/>
      <w:sz w:val="24"/>
      <w:szCs w:val="24"/>
      <w:u w:val="none"/>
    </w:rPr>
  </w:style>
  <w:style w:type="paragraph" w:customStyle="1" w:styleId="85">
    <w:name w:val="WPSOffice手动目录 2"/>
    <w:uiPriority w:val="0"/>
    <w:pPr>
      <w:ind w:leftChars="200"/>
    </w:pPr>
    <w:rPr>
      <w:sz w:val="20"/>
      <w:szCs w:val="20"/>
    </w:rPr>
  </w:style>
  <w:style w:type="paragraph" w:customStyle="1" w:styleId="86">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233</Words>
  <Characters>233</Characters>
  <Lines>1</Lines>
  <Paragraphs>1</Paragraphs>
  <TotalTime>1041</TotalTime>
  <ScaleCrop>false</ScaleCrop>
  <LinksUpToDate>false</LinksUpToDate>
  <CharactersWithSpaces>331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2022-01-29T01:29:00Z</dcterms:created>
  <dc:creator>Administrator</dc:creator>
  <cp:lastModifiedBy>蚊子</cp:lastModifiedBy>
  <cp:lastPrinted>2023-09-01T02:12:00Z</cp:lastPrinted>
  <dcterms:modified xsi:type="dcterms:W3CDTF">2023-09-13T02:32:08Z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6D92E7E650C54FA6B8B98AEFA4E43A51_13</vt:lpwstr>
  </property>
</Properties>
</file>