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86B93">
      <w:pPr>
        <w:spacing w:line="600" w:lineRule="exact"/>
        <w:rPr>
          <w:rFonts w:hint="default" w:ascii="Times New Roman" w:hAnsi="Times New Roman" w:eastAsia="黑体" w:cs="Times New Roman"/>
          <w:kern w:val="0"/>
          <w:sz w:val="32"/>
          <w:szCs w:val="32"/>
          <w:highlight w:val="none"/>
          <w:lang w:bidi="ar-SA"/>
        </w:rPr>
      </w:pPr>
    </w:p>
    <w:p w14:paraId="7A8E7D5C">
      <w:pPr>
        <w:spacing w:line="600" w:lineRule="exact"/>
        <w:rPr>
          <w:rFonts w:hint="default" w:ascii="Times New Roman" w:hAnsi="Times New Roman" w:eastAsia="黑体" w:cs="Times New Roman"/>
          <w:kern w:val="0"/>
          <w:sz w:val="32"/>
          <w:szCs w:val="32"/>
          <w:highlight w:val="none"/>
          <w:lang w:bidi="ar-SA"/>
        </w:rPr>
      </w:pPr>
    </w:p>
    <w:p w14:paraId="135FDFDC">
      <w:pPr>
        <w:spacing w:line="600" w:lineRule="exact"/>
        <w:rPr>
          <w:rFonts w:hint="default" w:ascii="Times New Roman" w:hAnsi="Times New Roman" w:eastAsia="仿宋" w:cs="Times New Roman"/>
          <w:kern w:val="0"/>
          <w:sz w:val="32"/>
          <w:szCs w:val="32"/>
          <w:highlight w:val="none"/>
          <w:lang w:bidi="ar-SA"/>
        </w:rPr>
      </w:pPr>
    </w:p>
    <w:p w14:paraId="67914D77">
      <w:pPr>
        <w:jc w:val="center"/>
        <w:rPr>
          <w:rFonts w:hint="default" w:ascii="Times New Roman" w:hAnsi="Times New Roman" w:eastAsia="方正小标宋简体" w:cs="Times New Roman"/>
          <w:sz w:val="44"/>
          <w:szCs w:val="44"/>
          <w:highlight w:val="none"/>
          <w:lang w:bidi="ar-SA"/>
        </w:rPr>
      </w:pPr>
      <w:r>
        <w:rPr>
          <w:rFonts w:hint="eastAsia" w:ascii="Times New Roman" w:hAnsi="Times New Roman" w:eastAsia="方正小标宋简体" w:cs="Times New Roman"/>
          <w:sz w:val="44"/>
          <w:szCs w:val="44"/>
          <w:highlight w:val="none"/>
          <w:lang w:val="en-US" w:eastAsia="zh-CN" w:bidi="ar-SA"/>
        </w:rPr>
        <w:t>2023</w:t>
      </w:r>
      <w:r>
        <w:rPr>
          <w:rFonts w:hint="default" w:ascii="Times New Roman" w:hAnsi="Times New Roman" w:eastAsia="方正小标宋简体" w:cs="Times New Roman"/>
          <w:sz w:val="44"/>
          <w:szCs w:val="44"/>
          <w:highlight w:val="none"/>
          <w:lang w:bidi="ar-SA"/>
        </w:rPr>
        <w:t>年度</w:t>
      </w:r>
      <w:r>
        <w:rPr>
          <w:rFonts w:hint="eastAsia" w:ascii="Times New Roman" w:hAnsi="Times New Roman" w:eastAsia="方正小标宋简体" w:cs="Times New Roman"/>
          <w:sz w:val="44"/>
          <w:szCs w:val="44"/>
          <w:highlight w:val="none"/>
          <w:lang w:val="en-US" w:eastAsia="zh-CN" w:bidi="ar-SA"/>
        </w:rPr>
        <w:t>益阳市儿童福利院</w:t>
      </w:r>
      <w:r>
        <w:rPr>
          <w:rFonts w:hint="default" w:ascii="Times New Roman" w:hAnsi="Times New Roman" w:eastAsia="方正小标宋简体" w:cs="Times New Roman"/>
          <w:sz w:val="44"/>
          <w:szCs w:val="44"/>
          <w:highlight w:val="none"/>
          <w:lang w:bidi="ar-SA"/>
        </w:rPr>
        <w:t>整体支出</w:t>
      </w:r>
    </w:p>
    <w:p w14:paraId="5FC6BB19">
      <w:pPr>
        <w:jc w:val="center"/>
        <w:rPr>
          <w:rFonts w:hint="default" w:ascii="Times New Roman" w:hAnsi="Times New Roman" w:eastAsia="方正小标宋简体" w:cs="Times New Roman"/>
          <w:sz w:val="44"/>
          <w:szCs w:val="44"/>
          <w:highlight w:val="none"/>
          <w:lang w:bidi="ar-SA"/>
        </w:rPr>
      </w:pPr>
      <w:r>
        <w:rPr>
          <w:rFonts w:hint="default" w:ascii="Times New Roman" w:hAnsi="Times New Roman" w:eastAsia="方正小标宋简体" w:cs="Times New Roman"/>
          <w:sz w:val="44"/>
          <w:szCs w:val="44"/>
          <w:highlight w:val="none"/>
          <w:lang w:bidi="ar-SA"/>
        </w:rPr>
        <w:t>绩效自评报告</w:t>
      </w:r>
    </w:p>
    <w:p w14:paraId="1E1DD32A">
      <w:pPr>
        <w:rPr>
          <w:rFonts w:hint="default" w:ascii="Times New Roman" w:hAnsi="Times New Roman" w:eastAsia="黑体" w:cs="Times New Roman"/>
          <w:sz w:val="32"/>
          <w:szCs w:val="32"/>
          <w:highlight w:val="none"/>
          <w:lang w:bidi="ar-SA"/>
        </w:rPr>
      </w:pPr>
    </w:p>
    <w:p w14:paraId="2ED7F991">
      <w:pPr>
        <w:jc w:val="center"/>
        <w:rPr>
          <w:rFonts w:hint="default" w:ascii="Times New Roman" w:hAnsi="Times New Roman" w:eastAsia="黑体" w:cs="Times New Roman"/>
          <w:sz w:val="32"/>
          <w:szCs w:val="32"/>
          <w:highlight w:val="none"/>
          <w:lang w:bidi="ar-SA"/>
        </w:rPr>
      </w:pPr>
    </w:p>
    <w:p w14:paraId="03682A4F">
      <w:pPr>
        <w:rPr>
          <w:rFonts w:hint="default" w:ascii="Times New Roman" w:hAnsi="Times New Roman" w:eastAsia="黑体" w:cs="Times New Roman"/>
          <w:sz w:val="32"/>
          <w:szCs w:val="32"/>
          <w:highlight w:val="none"/>
          <w:lang w:bidi="ar-SA"/>
        </w:rPr>
      </w:pPr>
    </w:p>
    <w:p w14:paraId="1A9AE684">
      <w:pPr>
        <w:rPr>
          <w:rFonts w:hint="default" w:ascii="Times New Roman" w:hAnsi="Times New Roman" w:eastAsia="黑体" w:cs="Times New Roman"/>
          <w:sz w:val="32"/>
          <w:szCs w:val="32"/>
          <w:highlight w:val="none"/>
          <w:lang w:bidi="ar-SA"/>
        </w:rPr>
      </w:pPr>
    </w:p>
    <w:p w14:paraId="26573C32">
      <w:pPr>
        <w:jc w:val="center"/>
        <w:rPr>
          <w:rFonts w:hint="default" w:ascii="Times New Roman" w:hAnsi="Times New Roman" w:eastAsia="黑体" w:cs="Times New Roman"/>
          <w:sz w:val="32"/>
          <w:szCs w:val="32"/>
          <w:highlight w:val="none"/>
          <w:lang w:bidi="ar-SA"/>
        </w:rPr>
      </w:pPr>
    </w:p>
    <w:p w14:paraId="5E46D18D">
      <w:pPr>
        <w:jc w:val="center"/>
        <w:rPr>
          <w:rFonts w:hint="default" w:ascii="Times New Roman" w:hAnsi="Times New Roman" w:eastAsia="黑体" w:cs="Times New Roman"/>
          <w:sz w:val="32"/>
          <w:szCs w:val="32"/>
          <w:highlight w:val="none"/>
          <w:lang w:bidi="ar-SA"/>
        </w:rPr>
      </w:pPr>
    </w:p>
    <w:p w14:paraId="25833AE8">
      <w:pPr>
        <w:jc w:val="center"/>
        <w:rPr>
          <w:rFonts w:hint="default" w:ascii="Times New Roman" w:hAnsi="Times New Roman" w:eastAsia="黑体" w:cs="Times New Roman"/>
          <w:sz w:val="32"/>
          <w:szCs w:val="32"/>
          <w:highlight w:val="none"/>
          <w:lang w:bidi="ar-SA"/>
        </w:rPr>
      </w:pPr>
    </w:p>
    <w:p w14:paraId="1587D705">
      <w:pPr>
        <w:jc w:val="center"/>
        <w:rPr>
          <w:rFonts w:hint="default" w:ascii="Times New Roman" w:hAnsi="Times New Roman" w:eastAsia="黑体" w:cs="Times New Roman"/>
          <w:sz w:val="32"/>
          <w:szCs w:val="32"/>
          <w:highlight w:val="none"/>
          <w:lang w:bidi="ar-SA"/>
        </w:rPr>
      </w:pPr>
    </w:p>
    <w:p w14:paraId="707E7B3B">
      <w:pPr>
        <w:jc w:val="center"/>
        <w:rPr>
          <w:rFonts w:hint="default" w:ascii="Times New Roman" w:hAnsi="Times New Roman" w:eastAsia="黑体" w:cs="Times New Roman"/>
          <w:sz w:val="32"/>
          <w:szCs w:val="32"/>
          <w:highlight w:val="none"/>
          <w:lang w:bidi="ar-SA"/>
        </w:rPr>
      </w:pPr>
    </w:p>
    <w:p w14:paraId="02B16424">
      <w:pPr>
        <w:jc w:val="center"/>
        <w:rPr>
          <w:rFonts w:hint="default" w:ascii="Times New Roman" w:hAnsi="Times New Roman" w:eastAsia="黑体" w:cs="Times New Roman"/>
          <w:sz w:val="32"/>
          <w:szCs w:val="32"/>
          <w:highlight w:val="none"/>
          <w:lang w:bidi="ar-SA"/>
        </w:rPr>
      </w:pPr>
    </w:p>
    <w:p w14:paraId="1D7AE40C">
      <w:pPr>
        <w:jc w:val="center"/>
        <w:rPr>
          <w:rFonts w:hint="default" w:ascii="Times New Roman" w:hAnsi="Times New Roman" w:eastAsia="黑体" w:cs="Times New Roman"/>
          <w:sz w:val="32"/>
          <w:szCs w:val="32"/>
          <w:highlight w:val="none"/>
          <w:lang w:bidi="ar-SA"/>
        </w:rPr>
      </w:pPr>
    </w:p>
    <w:p w14:paraId="70FB64B0">
      <w:pPr>
        <w:jc w:val="center"/>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单位名称（盖章）</w:t>
      </w:r>
    </w:p>
    <w:p w14:paraId="4816F85C">
      <w:pPr>
        <w:jc w:val="center"/>
        <w:rPr>
          <w:rFonts w:hint="default" w:ascii="Times New Roman" w:hAnsi="Times New Roman" w:eastAsia="黑体" w:cs="Times New Roman"/>
          <w:sz w:val="32"/>
          <w:szCs w:val="32"/>
          <w:highlight w:val="none"/>
          <w:lang w:bidi="ar-SA"/>
        </w:rPr>
      </w:pPr>
    </w:p>
    <w:p w14:paraId="034244FF">
      <w:pPr>
        <w:jc w:val="center"/>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br w:type="page"/>
      </w:r>
    </w:p>
    <w:p w14:paraId="05901323">
      <w:pPr>
        <w:ind w:firstLine="640" w:firstLineChars="200"/>
        <w:rPr>
          <w:rFonts w:hint="eastAsia" w:ascii="Times New Roman" w:hAnsi="Times New Roman" w:eastAsia="黑体" w:cs="Times New Roman"/>
          <w:sz w:val="32"/>
          <w:szCs w:val="32"/>
          <w:highlight w:val="none"/>
          <w:lang w:eastAsia="zh-CN" w:bidi="ar-SA"/>
        </w:rPr>
      </w:pPr>
      <w:r>
        <w:rPr>
          <w:rFonts w:hint="eastAsia" w:ascii="仿宋_GB2312" w:hAnsi="仿宋" w:eastAsia="仿宋_GB2312"/>
          <w:sz w:val="32"/>
          <w:szCs w:val="32"/>
        </w:rPr>
        <w:t>根据益阳市财政局下发的《关于开展2023年度部门绩效自评工作的通知》要求，我站积极组织对2023年度的部门整体支出开展绩效自评，现将情况汇报如下：</w:t>
      </w:r>
    </w:p>
    <w:p w14:paraId="2A3F5201">
      <w:pPr>
        <w:pStyle w:val="6"/>
        <w:widowControl/>
        <w:numPr>
          <w:ilvl w:val="0"/>
          <w:numId w:val="1"/>
        </w:numPr>
        <w:tabs>
          <w:tab w:val="left" w:pos="578"/>
        </w:tabs>
        <w:spacing w:line="600" w:lineRule="exact"/>
        <w:ind w:firstLineChars="0"/>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部门（单位）基本情况</w:t>
      </w:r>
    </w:p>
    <w:p w14:paraId="2B494D36">
      <w:pPr>
        <w:ind w:firstLine="640" w:firstLineChars="200"/>
        <w:rPr>
          <w:rFonts w:hint="default" w:ascii="Times New Roman" w:hAnsi="Times New Roman" w:eastAsia="黑体" w:cs="Times New Roman"/>
          <w:sz w:val="32"/>
          <w:szCs w:val="32"/>
          <w:highlight w:val="none"/>
          <w:lang w:bidi="ar-SA"/>
        </w:rPr>
      </w:pPr>
      <w:r>
        <w:rPr>
          <w:rFonts w:ascii="仿宋" w:hAnsi="仿宋" w:eastAsia="仿宋"/>
          <w:sz w:val="32"/>
          <w:szCs w:val="32"/>
        </w:rPr>
        <w:t>益阳市</w:t>
      </w:r>
      <w:r>
        <w:rPr>
          <w:rFonts w:hint="eastAsia" w:ascii="仿宋" w:hAnsi="仿宋" w:eastAsia="仿宋"/>
          <w:sz w:val="32"/>
          <w:szCs w:val="32"/>
        </w:rPr>
        <w:t>儿童福利院</w:t>
      </w:r>
      <w:r>
        <w:rPr>
          <w:rFonts w:ascii="仿宋" w:hAnsi="仿宋" w:eastAsia="仿宋"/>
          <w:sz w:val="32"/>
          <w:szCs w:val="32"/>
        </w:rPr>
        <w:t>是市民政局下属公益一类全额拨款事业单位</w:t>
      </w:r>
      <w:r>
        <w:rPr>
          <w:rFonts w:hint="eastAsia" w:ascii="仿宋" w:hAnsi="仿宋" w:eastAsia="仿宋"/>
          <w:sz w:val="32"/>
          <w:szCs w:val="32"/>
          <w:lang w:eastAsia="zh-CN"/>
        </w:rPr>
        <w:t>，</w:t>
      </w:r>
      <w:r>
        <w:rPr>
          <w:rFonts w:ascii="仿宋" w:hAnsi="仿宋" w:eastAsia="仿宋"/>
          <w:sz w:val="32"/>
          <w:szCs w:val="32"/>
        </w:rPr>
        <w:t>负责</w:t>
      </w:r>
      <w:r>
        <w:rPr>
          <w:rFonts w:hint="eastAsia" w:ascii="仿宋_GB2312" w:hAnsi="仿宋" w:eastAsia="仿宋_GB2312"/>
          <w:sz w:val="32"/>
          <w:szCs w:val="32"/>
          <w:lang w:eastAsia="zh-CN"/>
        </w:rPr>
        <w:t>为</w:t>
      </w:r>
      <w:r>
        <w:rPr>
          <w:rFonts w:hint="eastAsia" w:ascii="仿宋_GB2312" w:hAnsi="仿宋" w:eastAsia="仿宋_GB2312"/>
          <w:sz w:val="32"/>
          <w:szCs w:val="32"/>
          <w:lang w:val="en-US" w:eastAsia="zh-CN"/>
        </w:rPr>
        <w:t>全市</w:t>
      </w:r>
      <w:r>
        <w:rPr>
          <w:rFonts w:hint="eastAsia" w:ascii="仿宋_GB2312" w:hAnsi="仿宋" w:eastAsia="仿宋_GB2312"/>
          <w:sz w:val="32"/>
          <w:szCs w:val="32"/>
          <w:lang w:eastAsia="zh-CN"/>
        </w:rPr>
        <w:t>孤、弃等困境儿童提供养育、医疗、教育、康复、安置等服务；提供社会化儿童服务，</w:t>
      </w:r>
      <w:r>
        <w:rPr>
          <w:rFonts w:hint="eastAsia" w:ascii="仿宋_GB2312" w:hAnsi="仿宋" w:eastAsia="仿宋_GB2312"/>
          <w:sz w:val="32"/>
          <w:szCs w:val="32"/>
          <w:lang w:val="en-US" w:eastAsia="zh-CN"/>
        </w:rPr>
        <w:t>集中供养民政监护成年失智失能三无人员，提供社会化养老服务；对符合临时监护情况的未成年人实施帮扶救助</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内设机构包括：内设办公室、财务部、保育科、医务室4个部门。 共有编制人员8人，退休人员2人，临聘人员13人。</w:t>
      </w:r>
    </w:p>
    <w:p w14:paraId="11EEEB3A">
      <w:pPr>
        <w:pStyle w:val="6"/>
        <w:widowControl/>
        <w:numPr>
          <w:ilvl w:val="0"/>
          <w:numId w:val="1"/>
        </w:numPr>
        <w:spacing w:line="600" w:lineRule="exact"/>
        <w:ind w:firstLineChars="0"/>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一般公共预算支出情况</w:t>
      </w:r>
    </w:p>
    <w:p w14:paraId="45536090">
      <w:pPr>
        <w:pStyle w:val="6"/>
        <w:widowControl/>
        <w:numPr>
          <w:ilvl w:val="0"/>
          <w:numId w:val="0"/>
        </w:numPr>
        <w:spacing w:line="600" w:lineRule="exact"/>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2023年本单位一般公共预算支出503.01万元，其中基本支出170.6万元，项目支出332.41万元。</w:t>
      </w:r>
    </w:p>
    <w:p w14:paraId="59E848C7">
      <w:pPr>
        <w:pStyle w:val="6"/>
        <w:widowControl/>
        <w:numPr>
          <w:ilvl w:val="0"/>
          <w:numId w:val="2"/>
        </w:numPr>
        <w:spacing w:line="600" w:lineRule="exact"/>
        <w:ind w:firstLineChars="0"/>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基本支出情况</w:t>
      </w:r>
    </w:p>
    <w:p w14:paraId="12B444C4">
      <w:pPr>
        <w:pStyle w:val="6"/>
        <w:widowControl/>
        <w:numPr>
          <w:ilvl w:val="0"/>
          <w:numId w:val="0"/>
        </w:numPr>
        <w:spacing w:line="600" w:lineRule="exact"/>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2023年基本支出170.6万元，其中：工资福利支出125.77万元；商品服务支出38.67万元，对个人和家庭的补助6.16万元。</w:t>
      </w:r>
    </w:p>
    <w:p w14:paraId="4DCA01B8">
      <w:pPr>
        <w:pStyle w:val="6"/>
        <w:widowControl/>
        <w:numPr>
          <w:ilvl w:val="0"/>
          <w:numId w:val="0"/>
        </w:numPr>
        <w:spacing w:line="600" w:lineRule="exact"/>
        <w:ind w:left="640" w:leftChars="0"/>
        <w:rPr>
          <w:rFonts w:hint="default" w:ascii="Times New Roman" w:hAnsi="Times New Roman" w:eastAsia="黑体" w:cs="Times New Roman"/>
          <w:sz w:val="32"/>
          <w:szCs w:val="32"/>
          <w:highlight w:val="none"/>
          <w:lang w:bidi="ar-SA"/>
        </w:rPr>
      </w:pPr>
      <w:r>
        <w:rPr>
          <w:rFonts w:hint="eastAsia" w:ascii="Times New Roman" w:hAnsi="Times New Roman" w:eastAsia="黑体" w:cs="Times New Roman"/>
          <w:sz w:val="32"/>
          <w:szCs w:val="32"/>
          <w:highlight w:val="none"/>
          <w:lang w:eastAsia="zh-CN" w:bidi="ar-SA"/>
        </w:rPr>
        <w:t>（</w:t>
      </w:r>
      <w:r>
        <w:rPr>
          <w:rFonts w:hint="eastAsia" w:ascii="Times New Roman" w:hAnsi="Times New Roman" w:eastAsia="黑体" w:cs="Times New Roman"/>
          <w:sz w:val="32"/>
          <w:szCs w:val="32"/>
          <w:highlight w:val="none"/>
          <w:lang w:val="en-US" w:eastAsia="zh-CN" w:bidi="ar-SA"/>
        </w:rPr>
        <w:t>二</w:t>
      </w:r>
      <w:r>
        <w:rPr>
          <w:rFonts w:hint="eastAsia" w:ascii="Times New Roman" w:hAnsi="Times New Roman" w:eastAsia="黑体" w:cs="Times New Roman"/>
          <w:sz w:val="32"/>
          <w:szCs w:val="32"/>
          <w:highlight w:val="none"/>
          <w:lang w:eastAsia="zh-CN" w:bidi="ar-SA"/>
        </w:rPr>
        <w:t>）</w:t>
      </w:r>
      <w:r>
        <w:rPr>
          <w:rFonts w:hint="default" w:ascii="Times New Roman" w:hAnsi="Times New Roman" w:eastAsia="黑体" w:cs="Times New Roman"/>
          <w:sz w:val="32"/>
          <w:szCs w:val="32"/>
          <w:highlight w:val="none"/>
          <w:lang w:bidi="ar-SA"/>
        </w:rPr>
        <w:t>项目支出情况</w:t>
      </w:r>
    </w:p>
    <w:p w14:paraId="0D9A2187">
      <w:pPr>
        <w:pStyle w:val="6"/>
        <w:widowControl/>
        <w:numPr>
          <w:ilvl w:val="0"/>
          <w:numId w:val="0"/>
        </w:numPr>
        <w:spacing w:line="600" w:lineRule="exact"/>
        <w:ind w:firstLine="640" w:firstLineChars="200"/>
        <w:rPr>
          <w:rFonts w:hint="default" w:ascii="Times New Roman" w:hAnsi="Times New Roman" w:eastAsia="黑体" w:cs="Times New Roman"/>
          <w:sz w:val="32"/>
          <w:szCs w:val="32"/>
          <w:highlight w:val="none"/>
          <w:lang w:bidi="ar-SA"/>
        </w:rPr>
      </w:pPr>
      <w:r>
        <w:rPr>
          <w:rFonts w:hint="eastAsia" w:ascii="仿宋_GB2312" w:hAnsi="仿宋" w:eastAsia="仿宋_GB2312" w:cs="Times New Roman"/>
          <w:kern w:val="2"/>
          <w:sz w:val="32"/>
          <w:szCs w:val="32"/>
          <w:lang w:val="en-US" w:eastAsia="zh-CN" w:bidi="ar-SA"/>
        </w:rPr>
        <w:t>2023年项目支出332.41万元，其中： 孤儿基本生活保障75.30万元，</w:t>
      </w:r>
      <w:r>
        <w:rPr>
          <w:rFonts w:hint="default" w:ascii="仿宋_GB2312" w:hAnsi="仿宋" w:eastAsia="仿宋_GB2312" w:cs="Times New Roman"/>
          <w:kern w:val="2"/>
          <w:sz w:val="32"/>
          <w:szCs w:val="32"/>
          <w:lang w:val="en-US" w:eastAsia="zh-CN" w:bidi="ar-SA"/>
        </w:rPr>
        <w:t>城市特困人员救助供养</w:t>
      </w:r>
      <w:r>
        <w:rPr>
          <w:rFonts w:hint="eastAsia" w:ascii="仿宋_GB2312" w:hAnsi="仿宋" w:eastAsia="仿宋_GB2312" w:cs="Times New Roman"/>
          <w:kern w:val="2"/>
          <w:sz w:val="32"/>
          <w:szCs w:val="32"/>
          <w:lang w:val="en-US" w:eastAsia="zh-CN" w:bidi="ar-SA"/>
        </w:rPr>
        <w:t>100.06万元，彩票公益金儿童福利机构设施58.01万元，</w:t>
      </w:r>
      <w:r>
        <w:rPr>
          <w:rFonts w:hint="default" w:ascii="仿宋_GB2312" w:hAnsi="仿宋" w:eastAsia="仿宋_GB2312" w:cs="Times New Roman"/>
          <w:kern w:val="2"/>
          <w:sz w:val="32"/>
          <w:szCs w:val="32"/>
          <w:lang w:val="en-US" w:eastAsia="zh-CN" w:bidi="ar-SA"/>
        </w:rPr>
        <w:t>未成年人社会保护资金</w:t>
      </w:r>
      <w:r>
        <w:rPr>
          <w:rFonts w:hint="eastAsia" w:ascii="仿宋_GB2312" w:hAnsi="仿宋" w:eastAsia="仿宋_GB2312" w:cs="Times New Roman"/>
          <w:kern w:val="2"/>
          <w:sz w:val="32"/>
          <w:szCs w:val="32"/>
          <w:lang w:val="en-US" w:eastAsia="zh-CN" w:bidi="ar-SA"/>
        </w:rPr>
        <w:t>39.04，孤儿专项护理60万元。主要用于孤残儿童和城市特困人员生活费和护理人员的专项经费开支。</w:t>
      </w:r>
    </w:p>
    <w:p w14:paraId="7B2238F9">
      <w:pPr>
        <w:widowControl/>
        <w:numPr>
          <w:ilvl w:val="0"/>
          <w:numId w:val="1"/>
        </w:numPr>
        <w:spacing w:line="600" w:lineRule="exact"/>
        <w:ind w:left="1360" w:leftChars="0" w:hanging="720" w:firstLineChars="0"/>
        <w:jc w:val="left"/>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政府性基金预算支出情况</w:t>
      </w:r>
    </w:p>
    <w:p w14:paraId="0041624C">
      <w:pPr>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本部门2023年政府性基金安排的支出</w:t>
      </w:r>
      <w:r>
        <w:rPr>
          <w:rFonts w:hint="eastAsia" w:ascii="仿宋_GB2312" w:hAnsi="仿宋" w:eastAsia="仿宋_GB2312"/>
          <w:sz w:val="32"/>
          <w:szCs w:val="32"/>
          <w:lang w:val="en-US" w:eastAsia="zh-CN"/>
        </w:rPr>
        <w:t>58.01</w:t>
      </w:r>
      <w:r>
        <w:rPr>
          <w:rFonts w:hint="eastAsia" w:ascii="仿宋_GB2312" w:hAnsi="仿宋" w:eastAsia="仿宋_GB2312"/>
          <w:sz w:val="32"/>
          <w:szCs w:val="32"/>
        </w:rPr>
        <w:t>万元，主要用于社会福利的彩票公益金</w:t>
      </w:r>
      <w:r>
        <w:rPr>
          <w:rFonts w:hint="eastAsia" w:ascii="仿宋_GB2312" w:hAnsi="仿宋" w:eastAsia="仿宋_GB2312" w:cs="Times New Roman"/>
          <w:kern w:val="2"/>
          <w:sz w:val="32"/>
          <w:szCs w:val="32"/>
          <w:lang w:val="en-US" w:eastAsia="zh-CN" w:bidi="ar-SA"/>
        </w:rPr>
        <w:t>儿童福利机构设施设备支出。</w:t>
      </w:r>
    </w:p>
    <w:p w14:paraId="5EE46257">
      <w:pPr>
        <w:widowControl/>
        <w:numPr>
          <w:ilvl w:val="0"/>
          <w:numId w:val="1"/>
        </w:numPr>
        <w:spacing w:line="600" w:lineRule="exact"/>
        <w:ind w:left="1360" w:leftChars="0" w:hanging="720" w:firstLineChars="0"/>
        <w:jc w:val="left"/>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国有资本经营预算支出情况</w:t>
      </w:r>
    </w:p>
    <w:p w14:paraId="22F1FCAA">
      <w:pPr>
        <w:spacing w:after="2"/>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本部门无国有资本经营预算支出。</w:t>
      </w:r>
    </w:p>
    <w:p w14:paraId="6678DDBB">
      <w:pPr>
        <w:widowControl/>
        <w:numPr>
          <w:ilvl w:val="0"/>
          <w:numId w:val="1"/>
        </w:numPr>
        <w:spacing w:line="600" w:lineRule="exact"/>
        <w:ind w:left="1360" w:leftChars="0" w:hanging="720" w:firstLineChars="0"/>
        <w:jc w:val="left"/>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社会保险基金预算支出情况</w:t>
      </w:r>
    </w:p>
    <w:p w14:paraId="2934303A">
      <w:pPr>
        <w:spacing w:after="2"/>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本部门无社会保险基金预算支出。</w:t>
      </w:r>
    </w:p>
    <w:p w14:paraId="51109B04">
      <w:pPr>
        <w:widowControl/>
        <w:numPr>
          <w:ilvl w:val="0"/>
          <w:numId w:val="1"/>
        </w:numPr>
        <w:spacing w:line="600" w:lineRule="exact"/>
        <w:ind w:left="1360" w:leftChars="0" w:hanging="720" w:firstLineChars="0"/>
        <w:jc w:val="left"/>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部门整体支出绩效情况</w:t>
      </w:r>
    </w:p>
    <w:p w14:paraId="3B7BE393">
      <w:pPr>
        <w:widowControl/>
        <w:numPr>
          <w:ilvl w:val="0"/>
          <w:numId w:val="0"/>
        </w:numPr>
        <w:spacing w:line="600" w:lineRule="exact"/>
        <w:ind w:left="640" w:leftChars="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（一）整体支出情况</w:t>
      </w:r>
    </w:p>
    <w:p w14:paraId="49A113D5">
      <w:pPr>
        <w:pStyle w:val="6"/>
        <w:widowControl/>
        <w:numPr>
          <w:ilvl w:val="0"/>
          <w:numId w:val="0"/>
        </w:numPr>
        <w:spacing w:line="600" w:lineRule="exact"/>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2023年本单位年初一般公共预算收入162.25万元，年末决算一般公共预算收入503.01万元，其中一般公共预算收入418.84万元，政府基金收入58.01万元，其他往来资金收入26.16万元。</w:t>
      </w:r>
    </w:p>
    <w:p w14:paraId="3DCF208A">
      <w:pPr>
        <w:pStyle w:val="6"/>
        <w:widowControl/>
        <w:numPr>
          <w:ilvl w:val="0"/>
          <w:numId w:val="0"/>
        </w:numPr>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2023年财政拨款支出合计503.01万元，其中基本支出170.6万元，包括工资福利支出125.77万元；商品服务支出38.67万元，对个人和家庭的补助6.16万元；项目支出332.41万元，包括孤儿基本生活保障75.30万元，</w:t>
      </w:r>
      <w:r>
        <w:rPr>
          <w:rFonts w:hint="default" w:ascii="仿宋_GB2312" w:hAnsi="仿宋" w:eastAsia="仿宋_GB2312" w:cs="Times New Roman"/>
          <w:kern w:val="2"/>
          <w:sz w:val="32"/>
          <w:szCs w:val="32"/>
          <w:lang w:val="en-US" w:eastAsia="zh-CN" w:bidi="ar-SA"/>
        </w:rPr>
        <w:t>城市特困人员救助供养</w:t>
      </w:r>
      <w:r>
        <w:rPr>
          <w:rFonts w:hint="eastAsia" w:ascii="仿宋_GB2312" w:hAnsi="仿宋" w:eastAsia="仿宋_GB2312" w:cs="Times New Roman"/>
          <w:kern w:val="2"/>
          <w:sz w:val="32"/>
          <w:szCs w:val="32"/>
          <w:lang w:val="en-US" w:eastAsia="zh-CN" w:bidi="ar-SA"/>
        </w:rPr>
        <w:t>100.06万元，彩票公益金儿童福利机构设施58.01万元，</w:t>
      </w:r>
      <w:r>
        <w:rPr>
          <w:rFonts w:hint="default" w:ascii="仿宋_GB2312" w:hAnsi="仿宋" w:eastAsia="仿宋_GB2312" w:cs="Times New Roman"/>
          <w:kern w:val="2"/>
          <w:sz w:val="32"/>
          <w:szCs w:val="32"/>
          <w:lang w:val="en-US" w:eastAsia="zh-CN" w:bidi="ar-SA"/>
        </w:rPr>
        <w:t>未成年人社会保护资金</w:t>
      </w:r>
      <w:r>
        <w:rPr>
          <w:rFonts w:hint="eastAsia" w:ascii="仿宋_GB2312" w:hAnsi="仿宋" w:eastAsia="仿宋_GB2312" w:cs="Times New Roman"/>
          <w:kern w:val="2"/>
          <w:sz w:val="32"/>
          <w:szCs w:val="32"/>
          <w:lang w:val="en-US" w:eastAsia="zh-CN" w:bidi="ar-SA"/>
        </w:rPr>
        <w:t>39.04，孤儿专项护理60万元。主要用于孤残儿童和城市特困人员生活费和护理人员的专项经费开支。</w:t>
      </w:r>
    </w:p>
    <w:p w14:paraId="00E36F03">
      <w:pPr>
        <w:pStyle w:val="6"/>
        <w:widowControl/>
        <w:numPr>
          <w:ilvl w:val="0"/>
          <w:numId w:val="2"/>
        </w:numPr>
        <w:spacing w:line="600" w:lineRule="exact"/>
        <w:ind w:left="1720" w:leftChars="0" w:hanging="1080" w:firstLineChars="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整体绩效情况</w:t>
      </w:r>
    </w:p>
    <w:p w14:paraId="1C57EFC2">
      <w:pPr>
        <w:ind w:firstLine="640" w:firstLineChars="200"/>
        <w:rPr>
          <w:rFonts w:ascii="仿宋_GB2312" w:hAnsi="仿宋" w:eastAsia="仿宋_GB2312"/>
          <w:sz w:val="32"/>
          <w:szCs w:val="32"/>
        </w:rPr>
      </w:pPr>
      <w:r>
        <w:rPr>
          <w:rFonts w:hint="eastAsia" w:ascii="仿宋_GB2312" w:hAnsi="仿宋" w:eastAsia="仿宋_GB2312"/>
          <w:sz w:val="32"/>
          <w:szCs w:val="32"/>
        </w:rPr>
        <w:t>1、 预算配置控制较好。财政供养人员控制在预算编制以内，编制内在职人员控制率≦100%；“三公”经费预算总额较上年减少</w:t>
      </w:r>
      <w:r>
        <w:rPr>
          <w:rFonts w:hint="eastAsia" w:ascii="仿宋_GB2312" w:hAnsi="仿宋" w:eastAsia="仿宋_GB2312"/>
          <w:sz w:val="32"/>
          <w:szCs w:val="32"/>
          <w:lang w:val="en-US" w:eastAsia="zh-CN"/>
        </w:rPr>
        <w:t>80</w:t>
      </w:r>
      <w:r>
        <w:rPr>
          <w:rFonts w:hint="eastAsia" w:ascii="仿宋_GB2312" w:hAnsi="仿宋" w:eastAsia="仿宋_GB2312"/>
          <w:sz w:val="32"/>
          <w:szCs w:val="32"/>
        </w:rPr>
        <w:t>%，</w:t>
      </w:r>
      <w:r>
        <w:rPr>
          <w:rFonts w:hint="eastAsia" w:ascii="仿宋_GB2312" w:hAnsi="仿宋" w:eastAsia="仿宋_GB2312"/>
          <w:sz w:val="32"/>
          <w:szCs w:val="32"/>
          <w:lang w:val="en-US" w:eastAsia="zh-CN"/>
        </w:rPr>
        <w:t>主要是我单未属于封闭式管理单位，接待任务少，开源节流减少三公经费开支</w:t>
      </w:r>
      <w:r>
        <w:rPr>
          <w:rFonts w:hint="eastAsia" w:ascii="仿宋_GB2312" w:hAnsi="仿宋" w:eastAsia="仿宋_GB2312"/>
          <w:sz w:val="32"/>
          <w:szCs w:val="32"/>
        </w:rPr>
        <w:t>。</w:t>
      </w:r>
    </w:p>
    <w:p w14:paraId="2F18E246">
      <w:pPr>
        <w:ind w:firstLine="640" w:firstLineChars="200"/>
        <w:rPr>
          <w:rFonts w:ascii="仿宋_GB2312" w:hAnsi="仿宋" w:eastAsia="仿宋_GB2312"/>
          <w:sz w:val="32"/>
          <w:szCs w:val="32"/>
        </w:rPr>
      </w:pPr>
      <w:r>
        <w:rPr>
          <w:rFonts w:hint="eastAsia" w:ascii="仿宋_GB2312" w:hAnsi="仿宋" w:eastAsia="仿宋_GB2312"/>
          <w:sz w:val="32"/>
          <w:szCs w:val="32"/>
        </w:rPr>
        <w:t>2、 预算执行比较到位。支出总额控制在预算总额以内，预算完成率达到100%，全年无截留或滞留专项资金情况。</w:t>
      </w:r>
    </w:p>
    <w:p w14:paraId="0D56C6DE">
      <w:pPr>
        <w:ind w:firstLine="640" w:firstLineChars="200"/>
        <w:rPr>
          <w:rFonts w:ascii="仿宋_GB2312" w:hAnsi="仿宋" w:eastAsia="仿宋_GB2312"/>
          <w:sz w:val="32"/>
          <w:szCs w:val="32"/>
        </w:rPr>
      </w:pPr>
      <w:r>
        <w:rPr>
          <w:rFonts w:hint="eastAsia" w:ascii="仿宋_GB2312" w:hAnsi="仿宋" w:eastAsia="仿宋_GB2312"/>
          <w:sz w:val="32"/>
          <w:szCs w:val="32"/>
        </w:rPr>
        <w:t>3、预算管理较为理想。制度执行总体较为有效，但仍需进一步强化。全年公用经费控制率为100%；“三公”经费总体控制较好，未超过2023年预算，“三公”经费控制率为100%。</w:t>
      </w:r>
    </w:p>
    <w:p w14:paraId="609C8CC3">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政府采购项目，凡单位购买属于政府采购范围内的货物、工程和服务，严格遵守政府采购相关法律法规的规定办理相关审批手续，政府采购执行率达到100%。</w:t>
      </w:r>
    </w:p>
    <w:p w14:paraId="28D4D328">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管理制度健全。我们严格预算管理，坚持执行财经和财务制度，修改完善了《财务管理制度》、《资产管理制度》等工作制度，进一步明确了财政预算资金审批手续和拨付程序、部门行政经费审批手续和报销程序，加强了财务管理，规范了收支行为，保证了财务管理工作规范有序进行。</w:t>
      </w:r>
    </w:p>
    <w:p w14:paraId="6DE9486B">
      <w:pPr>
        <w:spacing w:after="2"/>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6、预算绩效目标说明：</w:t>
      </w:r>
    </w:p>
    <w:p w14:paraId="6EC72434">
      <w:pPr>
        <w:spacing w:after="2"/>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完善社会福利，提高孤残儿童和城市特困人员基本生活保障水平；开展对全市老年人、残疾人、孤残儿童的社会服务工作及对社区服务指导工作；整体支出严格依照相关财务管理规定执行，特别重视量财办事、量力而行，严格控制标准、注重节约，少花钱办好事。</w:t>
      </w:r>
    </w:p>
    <w:p w14:paraId="51CC9AA7">
      <w:pPr>
        <w:spacing w:after="2"/>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对于社会孤残儿童、城市特困人员和临时监护未成年人我单位做到应收尽收；保障每个救助孤儿生活达到1500元/月的标准，城市特困人员标准达到845元/月的标准。开展未成年保护活动策划宣传活动，不断强化未成年人保护和思想道德建设工作和法制宣传工作。给孤儿和城市特困人员营造快乐和谐的成长和生活环境；社会好评率达到100%；</w:t>
      </w:r>
    </w:p>
    <w:p w14:paraId="1D0CF67F">
      <w:pPr>
        <w:spacing w:after="2"/>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严格规范内部管理，加强了后勤保障与食品安全管理，消除了安全隐患，加强了消防安全管理，坚持了24小时值班与干部带班制度。</w:t>
      </w:r>
    </w:p>
    <w:p w14:paraId="0CD2C32D">
      <w:pPr>
        <w:pStyle w:val="6"/>
        <w:widowControl/>
        <w:numPr>
          <w:ilvl w:val="0"/>
          <w:numId w:val="1"/>
        </w:numPr>
        <w:spacing w:line="600" w:lineRule="exact"/>
        <w:ind w:left="1360" w:leftChars="0" w:hanging="720" w:firstLineChars="0"/>
        <w:jc w:val="left"/>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存在的问题及原因分析</w:t>
      </w:r>
    </w:p>
    <w:p w14:paraId="4FA3FDAB">
      <w:pPr>
        <w:ind w:firstLine="480" w:firstLineChars="150"/>
        <w:rPr>
          <w:rFonts w:hint="eastAsia" w:ascii="Times New Roman" w:hAnsi="Times New Roman" w:eastAsia="黑体" w:cs="Times New Roman"/>
          <w:sz w:val="32"/>
          <w:szCs w:val="32"/>
          <w:highlight w:val="none"/>
          <w:lang w:val="en-US" w:eastAsia="zh-CN" w:bidi="ar-SA"/>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益阳市儿童福利院增加了社会福利院和未成年保护中心职责</w:t>
      </w:r>
      <w:r>
        <w:rPr>
          <w:rFonts w:hint="eastAsia" w:ascii="仿宋_GB2312" w:hAnsi="仿宋" w:eastAsia="仿宋_GB2312"/>
          <w:sz w:val="32"/>
          <w:szCs w:val="32"/>
        </w:rPr>
        <w:t>范围</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业务范围</w:t>
      </w:r>
      <w:r>
        <w:rPr>
          <w:rFonts w:hint="eastAsia" w:ascii="仿宋_GB2312" w:hAnsi="仿宋" w:eastAsia="仿宋_GB2312"/>
          <w:sz w:val="32"/>
          <w:szCs w:val="32"/>
        </w:rPr>
        <w:t>扩大，</w:t>
      </w:r>
      <w:r>
        <w:rPr>
          <w:rFonts w:hint="eastAsia" w:ascii="仿宋_GB2312" w:hAnsi="仿宋" w:eastAsia="仿宋_GB2312"/>
          <w:sz w:val="32"/>
          <w:szCs w:val="32"/>
          <w:lang w:val="en-US" w:eastAsia="zh-CN"/>
        </w:rPr>
        <w:t>运转经费严重不足，不能满足日常工作需求。</w:t>
      </w:r>
    </w:p>
    <w:p w14:paraId="52C65C5E">
      <w:pPr>
        <w:widowControl/>
        <w:spacing w:line="600" w:lineRule="exact"/>
        <w:ind w:firstLine="640" w:firstLineChars="200"/>
        <w:jc w:val="left"/>
        <w:rPr>
          <w:rFonts w:hint="default"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2、</w:t>
      </w:r>
      <w:r>
        <w:rPr>
          <w:rFonts w:hint="eastAsia" w:ascii="Times New Roman" w:hAnsi="Times New Roman" w:eastAsia="仿宋_GB2312" w:cs="Times New Roman"/>
          <w:color w:val="000000"/>
          <w:sz w:val="32"/>
          <w:szCs w:val="32"/>
          <w:highlight w:val="none"/>
          <w:lang w:bidi="ar-SA"/>
        </w:rPr>
        <w:t>积极清理往来款项。对于常年挂账的往来，应与相关部门对接，分析形成的原因与现有状况，研究具体解决办法，在政策允许的范围内，尽可能的盘活资产，保障国有资产的安全。</w:t>
      </w:r>
    </w:p>
    <w:p w14:paraId="0E633687">
      <w:pPr>
        <w:widowControl/>
        <w:spacing w:line="600" w:lineRule="exact"/>
        <w:ind w:firstLine="640" w:firstLineChars="200"/>
        <w:jc w:val="left"/>
        <w:rPr>
          <w:rFonts w:hint="default" w:ascii="Times New Roman" w:hAnsi="Times New Roman" w:eastAsia="黑体" w:cs="Times New Roman"/>
          <w:sz w:val="32"/>
          <w:szCs w:val="32"/>
          <w:highlight w:val="none"/>
          <w:lang w:bidi="ar-SA"/>
        </w:rPr>
      </w:pPr>
      <w:r>
        <w:rPr>
          <w:rFonts w:hint="eastAsia" w:ascii="Times New Roman" w:hAnsi="Times New Roman" w:eastAsia="黑体" w:cs="Times New Roman"/>
          <w:sz w:val="32"/>
          <w:szCs w:val="32"/>
          <w:highlight w:val="none"/>
          <w:lang w:val="en-US" w:eastAsia="zh-CN" w:bidi="ar-SA"/>
        </w:rPr>
        <w:t>八</w:t>
      </w:r>
      <w:r>
        <w:rPr>
          <w:rFonts w:hint="default" w:ascii="Times New Roman" w:hAnsi="Times New Roman" w:eastAsia="黑体" w:cs="Times New Roman"/>
          <w:sz w:val="32"/>
          <w:szCs w:val="32"/>
          <w:highlight w:val="none"/>
          <w:lang w:bidi="ar-SA"/>
        </w:rPr>
        <w:t>、下一步改进措施</w:t>
      </w:r>
    </w:p>
    <w:p w14:paraId="654F37B9">
      <w:pPr>
        <w:widowControl/>
        <w:spacing w:line="600" w:lineRule="exact"/>
        <w:ind w:firstLine="645"/>
        <w:jc w:val="left"/>
        <w:rPr>
          <w:rFonts w:hint="eastAsia"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1、</w:t>
      </w:r>
      <w:r>
        <w:rPr>
          <w:rFonts w:hint="eastAsia" w:ascii="Times New Roman" w:hAnsi="Times New Roman" w:eastAsia="仿宋_GB2312" w:cs="Times New Roman"/>
          <w:color w:val="000000"/>
          <w:sz w:val="32"/>
          <w:szCs w:val="32"/>
          <w:highlight w:val="none"/>
          <w:lang w:bidi="ar-SA"/>
        </w:rPr>
        <w:t>加大福利服务基础设施建设。</w:t>
      </w:r>
    </w:p>
    <w:p w14:paraId="0DF21AD7">
      <w:pPr>
        <w:widowControl/>
        <w:spacing w:line="600" w:lineRule="exact"/>
        <w:ind w:firstLine="645"/>
        <w:jc w:val="left"/>
        <w:rPr>
          <w:rFonts w:hint="eastAsia"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2、</w:t>
      </w:r>
      <w:r>
        <w:rPr>
          <w:rFonts w:hint="eastAsia" w:ascii="Times New Roman" w:hAnsi="Times New Roman" w:eastAsia="仿宋_GB2312" w:cs="Times New Roman"/>
          <w:color w:val="000000"/>
          <w:sz w:val="32"/>
          <w:szCs w:val="32"/>
          <w:highlight w:val="none"/>
          <w:lang w:bidi="ar-SA"/>
        </w:rPr>
        <w:t>在预算、收支、政府采购、资产管理、工程管理、合同管理等方面严格遵守各项制度，共同推动单位内部控制水平的整体提升。</w:t>
      </w:r>
    </w:p>
    <w:p w14:paraId="4F04474A">
      <w:pPr>
        <w:widowControl/>
        <w:spacing w:line="600" w:lineRule="exact"/>
        <w:ind w:firstLine="645"/>
        <w:jc w:val="left"/>
        <w:rPr>
          <w:rFonts w:hint="default" w:ascii="Times New Roman" w:hAnsi="Times New Roman" w:eastAsia="黑体" w:cs="Times New Roman"/>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3、</w:t>
      </w:r>
      <w:r>
        <w:rPr>
          <w:rFonts w:hint="eastAsia" w:ascii="Times New Roman" w:hAnsi="Times New Roman" w:eastAsia="仿宋_GB2312" w:cs="Times New Roman"/>
          <w:color w:val="000000"/>
          <w:sz w:val="32"/>
          <w:szCs w:val="32"/>
          <w:highlight w:val="none"/>
          <w:lang w:bidi="ar-SA"/>
        </w:rPr>
        <w:t>积极清理往来款项</w:t>
      </w:r>
      <w:r>
        <w:rPr>
          <w:rFonts w:hint="eastAsia" w:ascii="Times New Roman" w:hAnsi="Times New Roman" w:eastAsia="仿宋_GB2312" w:cs="Times New Roman"/>
          <w:color w:val="000000"/>
          <w:sz w:val="32"/>
          <w:szCs w:val="32"/>
          <w:highlight w:val="none"/>
          <w:lang w:eastAsia="zh-CN" w:bidi="ar-SA"/>
        </w:rPr>
        <w:t>。</w:t>
      </w:r>
    </w:p>
    <w:p w14:paraId="29D1E407">
      <w:pPr>
        <w:widowControl/>
        <w:spacing w:line="600" w:lineRule="exact"/>
        <w:ind w:firstLine="645"/>
        <w:jc w:val="left"/>
        <w:rPr>
          <w:rFonts w:hint="default" w:ascii="Times New Roman" w:hAnsi="Times New Roman" w:eastAsia="黑体" w:cs="Times New Roman"/>
          <w:sz w:val="32"/>
          <w:szCs w:val="32"/>
          <w:highlight w:val="none"/>
          <w:lang w:bidi="ar-SA"/>
        </w:rPr>
      </w:pPr>
      <w:r>
        <w:rPr>
          <w:rFonts w:hint="eastAsia" w:ascii="Times New Roman" w:hAnsi="Times New Roman" w:eastAsia="黑体" w:cs="Times New Roman"/>
          <w:sz w:val="32"/>
          <w:szCs w:val="32"/>
          <w:highlight w:val="none"/>
          <w:lang w:val="en-US" w:eastAsia="zh-CN" w:bidi="ar-SA"/>
        </w:rPr>
        <w:t>九</w:t>
      </w:r>
      <w:r>
        <w:rPr>
          <w:rFonts w:hint="default" w:ascii="Times New Roman" w:hAnsi="Times New Roman" w:eastAsia="黑体" w:cs="Times New Roman"/>
          <w:sz w:val="32"/>
          <w:szCs w:val="32"/>
          <w:highlight w:val="none"/>
          <w:lang w:bidi="ar-SA"/>
        </w:rPr>
        <w:t>、绩效自评结果拟应用和公开情况</w:t>
      </w:r>
    </w:p>
    <w:p w14:paraId="2CCFFC05">
      <w:pPr>
        <w:ind w:firstLine="664" w:firstLineChars="200"/>
        <w:rPr>
          <w:rFonts w:hint="default" w:ascii="Times New Roman" w:hAnsi="Times New Roman" w:eastAsia="黑体" w:cs="Times New Roman"/>
          <w:sz w:val="32"/>
          <w:szCs w:val="32"/>
          <w:highlight w:val="none"/>
          <w:lang w:bidi="ar-SA"/>
        </w:rPr>
      </w:pPr>
      <w:r>
        <w:rPr>
          <w:rFonts w:hint="eastAsia" w:ascii="Times New Roman" w:hAnsi="Times New Roman" w:eastAsia="仿宋_GB2312" w:cs="Times New Roman"/>
          <w:spacing w:val="6"/>
          <w:sz w:val="32"/>
          <w:szCs w:val="32"/>
          <w:highlight w:val="none"/>
          <w:lang w:val="en-US" w:eastAsia="zh-CN" w:bidi="ar-SA"/>
        </w:rPr>
        <w:t>我单位根据绩效自评的要求</w:t>
      </w:r>
      <w:r>
        <w:rPr>
          <w:rFonts w:hint="default" w:ascii="Times New Roman" w:hAnsi="Times New Roman" w:eastAsia="仿宋_GB2312" w:cs="Times New Roman"/>
          <w:spacing w:val="6"/>
          <w:sz w:val="32"/>
          <w:szCs w:val="32"/>
          <w:highlight w:val="none"/>
          <w:lang w:val="en" w:eastAsia="en" w:bidi="ar-SA"/>
        </w:rPr>
        <w:t>成立绩效评价工作组。为保</w:t>
      </w:r>
      <w:r>
        <w:rPr>
          <w:rFonts w:hint="default" w:ascii="Times New Roman" w:hAnsi="Times New Roman" w:eastAsia="仿宋_GB2312" w:cs="Times New Roman"/>
          <w:spacing w:val="6"/>
          <w:sz w:val="32"/>
          <w:szCs w:val="32"/>
          <w:highlight w:val="none"/>
          <w:lang w:bidi="ar-SA"/>
        </w:rPr>
        <w:t>障本项目绩效评价工作顺利开展，</w:t>
      </w:r>
      <w:r>
        <w:rPr>
          <w:rFonts w:hint="eastAsia" w:ascii="Times New Roman" w:hAnsi="Times New Roman" w:eastAsia="仿宋_GB2312" w:cs="Times New Roman"/>
          <w:spacing w:val="6"/>
          <w:sz w:val="32"/>
          <w:szCs w:val="32"/>
          <w:highlight w:val="none"/>
          <w:lang w:val="en-US" w:eastAsia="zh-CN" w:bidi="ar-SA"/>
        </w:rPr>
        <w:t>由院长</w:t>
      </w:r>
      <w:r>
        <w:rPr>
          <w:rFonts w:hint="default" w:ascii="Times New Roman" w:hAnsi="Times New Roman" w:eastAsia="仿宋_GB2312" w:cs="Times New Roman"/>
          <w:spacing w:val="6"/>
          <w:sz w:val="32"/>
          <w:szCs w:val="32"/>
          <w:highlight w:val="none"/>
          <w:lang w:bidi="ar-SA"/>
        </w:rPr>
        <w:t>任组长，</w:t>
      </w:r>
      <w:r>
        <w:rPr>
          <w:rFonts w:hint="eastAsia" w:ascii="Times New Roman" w:hAnsi="Times New Roman" w:eastAsia="仿宋_GB2312" w:cs="Times New Roman"/>
          <w:spacing w:val="6"/>
          <w:sz w:val="32"/>
          <w:szCs w:val="32"/>
          <w:highlight w:val="none"/>
          <w:lang w:val="en-US" w:eastAsia="zh-CN" w:bidi="ar-SA"/>
        </w:rPr>
        <w:t>其他科室</w:t>
      </w:r>
      <w:r>
        <w:rPr>
          <w:rFonts w:hint="default" w:ascii="Times New Roman" w:hAnsi="Times New Roman" w:eastAsia="仿宋_GB2312" w:cs="Times New Roman"/>
          <w:spacing w:val="6"/>
          <w:sz w:val="32"/>
          <w:szCs w:val="32"/>
          <w:highlight w:val="none"/>
          <w:lang w:bidi="ar-SA"/>
        </w:rPr>
        <w:t>成员</w:t>
      </w:r>
      <w:r>
        <w:rPr>
          <w:rFonts w:hint="eastAsia" w:ascii="Times New Roman" w:hAnsi="Times New Roman" w:eastAsia="仿宋_GB2312" w:cs="Times New Roman"/>
          <w:spacing w:val="6"/>
          <w:sz w:val="32"/>
          <w:szCs w:val="32"/>
          <w:highlight w:val="none"/>
          <w:lang w:val="en-US" w:eastAsia="zh-CN" w:bidi="ar-SA"/>
        </w:rPr>
        <w:t>组成</w:t>
      </w:r>
      <w:r>
        <w:rPr>
          <w:rFonts w:hint="default" w:ascii="Times New Roman" w:hAnsi="Times New Roman" w:eastAsia="仿宋_GB2312" w:cs="Times New Roman"/>
          <w:spacing w:val="6"/>
          <w:sz w:val="32"/>
          <w:szCs w:val="32"/>
          <w:highlight w:val="none"/>
          <w:lang w:bidi="ar-SA"/>
        </w:rPr>
        <w:t>绩效评价</w:t>
      </w:r>
      <w:r>
        <w:rPr>
          <w:rFonts w:hint="default" w:ascii="Times New Roman" w:hAnsi="Times New Roman" w:eastAsia="仿宋_GB2312" w:cs="Times New Roman"/>
          <w:spacing w:val="6"/>
          <w:sz w:val="32"/>
          <w:szCs w:val="32"/>
          <w:highlight w:val="none"/>
          <w:lang w:val="en" w:eastAsia="en" w:bidi="ar-SA"/>
        </w:rPr>
        <w:t>工作</w:t>
      </w:r>
      <w:r>
        <w:rPr>
          <w:rFonts w:hint="default" w:ascii="Times New Roman" w:hAnsi="Times New Roman" w:eastAsia="仿宋_GB2312" w:cs="Times New Roman"/>
          <w:spacing w:val="6"/>
          <w:sz w:val="32"/>
          <w:szCs w:val="32"/>
          <w:highlight w:val="none"/>
          <w:lang w:bidi="ar-SA"/>
        </w:rPr>
        <w:t>小组。</w:t>
      </w:r>
      <w:r>
        <w:rPr>
          <w:rFonts w:ascii="仿宋_GB2312" w:hAnsi="仿宋" w:eastAsia="仿宋_GB2312"/>
          <w:sz w:val="32"/>
          <w:szCs w:val="32"/>
        </w:rPr>
        <w:t>围绕年度确定的重点工作目标及综合业绩考核的要求，梳理了各项工作的完成情况</w:t>
      </w:r>
      <w:r>
        <w:rPr>
          <w:rFonts w:hint="eastAsia" w:ascii="仿宋_GB2312" w:hAnsi="仿宋" w:eastAsia="仿宋_GB2312"/>
          <w:sz w:val="32"/>
          <w:szCs w:val="32"/>
        </w:rPr>
        <w:t>，组织实施和分析评价，采取座谈等方式听取情况，检查基本支出、项目支出有关账目，收集整理支出相关资料，并根据各部门报送的绩效自评材料进行分析，</w:t>
      </w:r>
      <w:r>
        <w:rPr>
          <w:rFonts w:ascii="仿宋_GB2312" w:hAnsi="仿宋" w:eastAsia="仿宋_GB2312"/>
          <w:sz w:val="32"/>
          <w:szCs w:val="32"/>
        </w:rPr>
        <w:t>撰写</w:t>
      </w:r>
      <w:r>
        <w:rPr>
          <w:rFonts w:hint="eastAsia" w:ascii="仿宋_GB2312" w:hAnsi="仿宋" w:eastAsia="仿宋_GB2312"/>
          <w:sz w:val="32"/>
          <w:szCs w:val="32"/>
        </w:rPr>
        <w:t>评价报告。</w:t>
      </w:r>
    </w:p>
    <w:p w14:paraId="6A2C4F94">
      <w:pPr>
        <w:widowControl/>
        <w:spacing w:line="600" w:lineRule="exact"/>
        <w:ind w:firstLine="645"/>
        <w:jc w:val="left"/>
        <w:rPr>
          <w:rFonts w:hint="eastAsia"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我单位绩效评价结果接受社会监督。同时，积极运用绩效评价结果，结合贯彻落实文件精神，完善资金的使用管理，提高绩效意识和财政资金的使用效益。</w:t>
      </w:r>
    </w:p>
    <w:p w14:paraId="360DD081">
      <w:bookmarkStart w:id="0" w:name="_GoBack"/>
      <w:bookmarkEnd w:id="0"/>
    </w:p>
    <w:sectPr>
      <w:footerReference r:id="rId3" w:type="default"/>
      <w:pgSz w:w="11906" w:h="16838"/>
      <w:pgMar w:top="2154" w:right="1474" w:bottom="1361" w:left="1587" w:header="0"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05DD">
    <w:pPr>
      <w:pStyle w:val="2"/>
      <w:framePr w:w="1161" w:wrap="around" w:vAnchor="text" w:hAnchor="margin" w:xAlign="outside" w:y="4"/>
      <w:jc w:val="center"/>
      <w:rPr>
        <w:rStyle w:val="5"/>
        <w:rFonts w:hint="eastAsia" w:ascii="宋体" w:eastAsia="宋体" w:cs="宋体"/>
        <w:sz w:val="28"/>
        <w:szCs w:val="28"/>
        <w:lang w:bidi="ar-SA"/>
      </w:rPr>
    </w:pPr>
    <w:r>
      <w:rPr>
        <w:rStyle w:val="5"/>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Style w:val="5"/>
        <w:rFonts w:hint="eastAsia" w:ascii="宋体" w:eastAsia="宋体" w:cs="宋体"/>
        <w:sz w:val="28"/>
        <w:szCs w:val="28"/>
        <w:lang w:bidi="ar-SA"/>
      </w:rPr>
      <w:instrText xml:space="preserve">PAGE  </w:instrText>
    </w:r>
    <w:r>
      <w:rPr>
        <w:rFonts w:hint="eastAsia" w:ascii="宋体" w:eastAsia="宋体" w:cs="宋体"/>
        <w:sz w:val="28"/>
        <w:szCs w:val="28"/>
        <w:lang w:bidi="ar-SA"/>
      </w:rPr>
      <w:fldChar w:fldCharType="separate"/>
    </w:r>
    <w:r>
      <w:rPr>
        <w:rStyle w:val="5"/>
        <w:rFonts w:hint="eastAsia" w:ascii="宋体" w:eastAsia="宋体" w:cs="宋体"/>
        <w:sz w:val="28"/>
        <w:szCs w:val="28"/>
        <w:lang w:bidi="ar-SA"/>
      </w:rPr>
      <w:t>1</w:t>
    </w:r>
    <w:r>
      <w:rPr>
        <w:rFonts w:hint="eastAsia" w:ascii="宋体" w:eastAsia="宋体" w:cs="宋体"/>
        <w:sz w:val="28"/>
        <w:szCs w:val="28"/>
        <w:lang w:bidi="ar-SA"/>
      </w:rPr>
      <w:fldChar w:fldCharType="end"/>
    </w:r>
    <w:r>
      <w:rPr>
        <w:rStyle w:val="5"/>
        <w:rFonts w:hint="eastAsia" w:ascii="宋体" w:eastAsia="宋体" w:cs="宋体"/>
        <w:sz w:val="28"/>
        <w:szCs w:val="28"/>
        <w:lang w:bidi="ar-SA"/>
      </w:rPr>
      <w:t xml:space="preserve"> —</w:t>
    </w:r>
  </w:p>
  <w:p w14:paraId="2B53849B">
    <w:pPr>
      <w:pStyle w:val="2"/>
      <w:wordWrap w:val="0"/>
      <w:ind w:right="360" w:firstLine="360"/>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206AD"/>
    <w:multiLevelType w:val="multilevel"/>
    <w:tmpl w:val="318206AD"/>
    <w:lvl w:ilvl="0" w:tentative="0">
      <w:start w:val="1"/>
      <w:numFmt w:val="japaneseCounting"/>
      <w:lvlText w:val="%1、"/>
      <w:lvlJc w:val="left"/>
      <w:pPr>
        <w:tabs>
          <w:tab w:val="left" w:pos="0"/>
        </w:tabs>
        <w:ind w:left="1360" w:hanging="72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1">
    <w:nsid w:val="79AC1E24"/>
    <w:multiLevelType w:val="multilevel"/>
    <w:tmpl w:val="79AC1E24"/>
    <w:lvl w:ilvl="0" w:tentative="0">
      <w:start w:val="1"/>
      <w:numFmt w:val="japaneseCounting"/>
      <w:lvlText w:val="（%1）"/>
      <w:lvlJc w:val="left"/>
      <w:pPr>
        <w:tabs>
          <w:tab w:val="left" w:pos="0"/>
        </w:tabs>
        <w:ind w:left="1720" w:hanging="108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TJlYTdmNDk4MGMwNmIyZmY0OTcwNjc1MmZmYTIifQ=="/>
  </w:docVars>
  <w:rsids>
    <w:rsidRoot w:val="10C55213"/>
    <w:rsid w:val="08FB36E6"/>
    <w:rsid w:val="0A27610A"/>
    <w:rsid w:val="10C55213"/>
    <w:rsid w:val="15051099"/>
    <w:rsid w:val="1767531A"/>
    <w:rsid w:val="1D152A87"/>
    <w:rsid w:val="23843155"/>
    <w:rsid w:val="29477907"/>
    <w:rsid w:val="37047B9C"/>
    <w:rsid w:val="37BA6C67"/>
    <w:rsid w:val="382C144D"/>
    <w:rsid w:val="3B8E3425"/>
    <w:rsid w:val="3C2B6C47"/>
    <w:rsid w:val="3F390E12"/>
    <w:rsid w:val="40A85DEB"/>
    <w:rsid w:val="5DEF74E2"/>
    <w:rsid w:val="5E7032AA"/>
    <w:rsid w:val="60202C27"/>
    <w:rsid w:val="61910E58"/>
    <w:rsid w:val="65F603A9"/>
    <w:rsid w:val="676E43BF"/>
    <w:rsid w:val="684F31FD"/>
    <w:rsid w:val="69BF40A3"/>
    <w:rsid w:val="79FEFBAB"/>
    <w:rsid w:val="7B934AC2"/>
    <w:rsid w:val="DF97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 w:type="paragraph" w:customStyle="1" w:styleId="6">
    <w:name w:val="列出段落"/>
    <w:basedOn w:val="1"/>
    <w:autoRedefine/>
    <w:qFormat/>
    <w:uiPriority w:val="0"/>
    <w:pPr>
      <w:ind w:firstLine="200" w:firstLineChars="200"/>
    </w:pPr>
  </w:style>
  <w:style w:type="character" w:customStyle="1" w:styleId="7">
    <w:name w:val="peoplefilling"/>
    <w:basedOn w:val="4"/>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2152</Words>
  <Characters>2333</Characters>
  <Lines>0</Lines>
  <Paragraphs>0</Paragraphs>
  <TotalTime>0</TotalTime>
  <ScaleCrop>false</ScaleCrop>
  <LinksUpToDate>false</LinksUpToDate>
  <CharactersWithSpaces>2337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2024-03-12T15:38:00Z</dcterms:created>
  <dc:creator>办公室</dc:creator>
  <cp:lastModifiedBy>Administrator</cp:lastModifiedBy>
  <cp:lastPrinted>2024-03-12T15:52:00Z</cp:lastPrinted>
  <dcterms:modified xsi:type="dcterms:W3CDTF">2024-11-06T01:45:34Z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D36301B7E93F47CC908EFAFE7DBA4389_13</vt:lpwstr>
  </property>
</Properties>
</file>