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D27C">
      <w:pPr>
        <w:rPr>
          <w:rFonts w:hint="eastAsia" w:asciiTheme="majorEastAsia" w:hAnsiTheme="majorEastAsia" w:eastAsiaTheme="majorEastAsia" w:cstheme="majorEastAsia"/>
          <w:b/>
          <w:bCs/>
          <w:sz w:val="44"/>
          <w:szCs w:val="44"/>
          <w:lang w:val="en-US" w:eastAsia="zh-CN"/>
        </w:rPr>
      </w:pPr>
    </w:p>
    <w:p w14:paraId="1BB2D86D">
      <w:pPr>
        <w:rPr>
          <w:rFonts w:hint="eastAsia" w:asciiTheme="majorEastAsia" w:hAnsiTheme="majorEastAsia" w:eastAsiaTheme="majorEastAsia" w:cstheme="majorEastAsia"/>
          <w:b/>
          <w:bCs/>
          <w:sz w:val="44"/>
          <w:szCs w:val="44"/>
          <w:lang w:val="en-US" w:eastAsia="zh-CN"/>
        </w:rPr>
      </w:pPr>
    </w:p>
    <w:p w14:paraId="6F4F12C4">
      <w:pPr>
        <w:rPr>
          <w:rFonts w:hint="eastAsia" w:asciiTheme="majorEastAsia" w:hAnsiTheme="majorEastAsia" w:eastAsiaTheme="majorEastAsia" w:cstheme="majorEastAsia"/>
          <w:b/>
          <w:bCs/>
          <w:sz w:val="44"/>
          <w:szCs w:val="44"/>
          <w:lang w:val="en-US" w:eastAsia="zh-CN"/>
        </w:rPr>
      </w:pPr>
    </w:p>
    <w:p w14:paraId="375AA250">
      <w:pPr>
        <w:rPr>
          <w:rFonts w:hint="eastAsia" w:asciiTheme="majorEastAsia" w:hAnsiTheme="majorEastAsia" w:eastAsiaTheme="majorEastAsia" w:cstheme="majorEastAsia"/>
          <w:b/>
          <w:bCs/>
          <w:sz w:val="44"/>
          <w:szCs w:val="44"/>
          <w:lang w:val="en-US" w:eastAsia="zh-CN"/>
        </w:rPr>
      </w:pPr>
    </w:p>
    <w:p w14:paraId="7A984629">
      <w:pPr>
        <w:rPr>
          <w:rFonts w:hint="eastAsia" w:asciiTheme="majorEastAsia" w:hAnsiTheme="majorEastAsia" w:eastAsiaTheme="majorEastAsia" w:cstheme="majorEastAsia"/>
          <w:b/>
          <w:bCs/>
          <w:sz w:val="44"/>
          <w:szCs w:val="44"/>
          <w:lang w:val="en-US" w:eastAsia="zh-CN"/>
        </w:rPr>
      </w:pPr>
    </w:p>
    <w:p w14:paraId="0FEB2581">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2024年度益阳市燃气安全事务中心</w:t>
      </w:r>
    </w:p>
    <w:p w14:paraId="0F48F213">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部门（单位）整体支出绩效自评报告</w:t>
      </w:r>
    </w:p>
    <w:p w14:paraId="20546ADC">
      <w:pPr>
        <w:rPr>
          <w:rFonts w:hint="eastAsia" w:asciiTheme="majorEastAsia" w:hAnsiTheme="majorEastAsia" w:eastAsiaTheme="majorEastAsia" w:cstheme="majorEastAsia"/>
          <w:b/>
          <w:bCs/>
          <w:sz w:val="48"/>
          <w:szCs w:val="48"/>
          <w:lang w:val="en-US" w:eastAsia="zh-CN"/>
        </w:rPr>
      </w:pPr>
    </w:p>
    <w:p w14:paraId="2A17CF43">
      <w:pPr>
        <w:rPr>
          <w:rFonts w:hint="eastAsia" w:asciiTheme="majorEastAsia" w:hAnsiTheme="majorEastAsia" w:eastAsiaTheme="majorEastAsia" w:cstheme="majorEastAsia"/>
          <w:b/>
          <w:bCs/>
          <w:sz w:val="28"/>
          <w:szCs w:val="28"/>
          <w:lang w:val="en-US" w:eastAsia="zh-CN"/>
        </w:rPr>
      </w:pPr>
    </w:p>
    <w:p w14:paraId="55D3B621">
      <w:pPr>
        <w:rPr>
          <w:rFonts w:hint="eastAsia" w:asciiTheme="majorEastAsia" w:hAnsiTheme="majorEastAsia" w:eastAsiaTheme="majorEastAsia" w:cstheme="majorEastAsia"/>
          <w:b/>
          <w:bCs/>
          <w:sz w:val="28"/>
          <w:szCs w:val="28"/>
          <w:lang w:val="en-US" w:eastAsia="zh-CN"/>
        </w:rPr>
      </w:pPr>
    </w:p>
    <w:p w14:paraId="0064154C">
      <w:pPr>
        <w:rPr>
          <w:rFonts w:hint="eastAsia" w:asciiTheme="majorEastAsia" w:hAnsiTheme="majorEastAsia" w:eastAsiaTheme="majorEastAsia" w:cstheme="majorEastAsia"/>
          <w:b/>
          <w:bCs/>
          <w:sz w:val="28"/>
          <w:szCs w:val="28"/>
          <w:lang w:val="en-US" w:eastAsia="zh-CN"/>
        </w:rPr>
      </w:pPr>
    </w:p>
    <w:p w14:paraId="09E4317E">
      <w:pPr>
        <w:rPr>
          <w:rFonts w:hint="eastAsia" w:asciiTheme="majorEastAsia" w:hAnsiTheme="majorEastAsia" w:eastAsiaTheme="majorEastAsia" w:cstheme="majorEastAsia"/>
          <w:b/>
          <w:bCs/>
          <w:sz w:val="28"/>
          <w:szCs w:val="28"/>
          <w:lang w:val="en-US" w:eastAsia="zh-CN"/>
        </w:rPr>
      </w:pPr>
    </w:p>
    <w:p w14:paraId="4C52B4E7">
      <w:pPr>
        <w:rPr>
          <w:rFonts w:hint="eastAsia" w:asciiTheme="majorEastAsia" w:hAnsiTheme="majorEastAsia" w:eastAsiaTheme="majorEastAsia" w:cstheme="majorEastAsia"/>
          <w:b/>
          <w:bCs/>
          <w:sz w:val="28"/>
          <w:szCs w:val="28"/>
          <w:lang w:val="en-US" w:eastAsia="zh-CN"/>
        </w:rPr>
      </w:pPr>
    </w:p>
    <w:p w14:paraId="18C6BA4B">
      <w:pPr>
        <w:rPr>
          <w:rFonts w:hint="eastAsia" w:asciiTheme="majorEastAsia" w:hAnsiTheme="majorEastAsia" w:eastAsiaTheme="majorEastAsia" w:cstheme="majorEastAsia"/>
          <w:b/>
          <w:bCs/>
          <w:sz w:val="28"/>
          <w:szCs w:val="28"/>
          <w:lang w:val="en-US" w:eastAsia="zh-CN"/>
        </w:rPr>
      </w:pPr>
    </w:p>
    <w:p w14:paraId="6D2E7AAB">
      <w:pPr>
        <w:rPr>
          <w:rFonts w:hint="eastAsia" w:asciiTheme="majorEastAsia" w:hAnsiTheme="majorEastAsia" w:eastAsiaTheme="majorEastAsia" w:cstheme="majorEastAsia"/>
          <w:b/>
          <w:bCs/>
          <w:sz w:val="28"/>
          <w:szCs w:val="28"/>
          <w:lang w:val="en-US" w:eastAsia="zh-CN"/>
        </w:rPr>
      </w:pPr>
    </w:p>
    <w:p w14:paraId="73678322">
      <w:pPr>
        <w:rPr>
          <w:rFonts w:hint="eastAsia" w:asciiTheme="majorEastAsia" w:hAnsiTheme="majorEastAsia" w:eastAsiaTheme="majorEastAsia" w:cstheme="majorEastAsia"/>
          <w:b/>
          <w:bCs/>
          <w:sz w:val="28"/>
          <w:szCs w:val="28"/>
          <w:lang w:val="en-US" w:eastAsia="zh-CN"/>
        </w:rPr>
      </w:pPr>
    </w:p>
    <w:p w14:paraId="00A73630">
      <w:pPr>
        <w:rPr>
          <w:rFonts w:hint="eastAsia" w:asciiTheme="majorEastAsia" w:hAnsiTheme="majorEastAsia" w:eastAsiaTheme="majorEastAsia" w:cstheme="majorEastAsia"/>
          <w:b/>
          <w:bCs/>
          <w:sz w:val="28"/>
          <w:szCs w:val="28"/>
          <w:lang w:val="en-US" w:eastAsia="zh-CN"/>
        </w:rPr>
      </w:pPr>
    </w:p>
    <w:p w14:paraId="679464BC">
      <w:pPr>
        <w:jc w:val="center"/>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部门（单位）名称：</w:t>
      </w:r>
      <w:r>
        <w:rPr>
          <w:rFonts w:hint="eastAsia" w:asciiTheme="majorEastAsia" w:hAnsiTheme="majorEastAsia" w:eastAsiaTheme="majorEastAsia" w:cstheme="majorEastAsia"/>
          <w:b/>
          <w:bCs/>
          <w:sz w:val="32"/>
          <w:szCs w:val="32"/>
          <w:u w:val="single"/>
          <w:lang w:val="en-US" w:eastAsia="zh-CN"/>
        </w:rPr>
        <w:t>益阳市燃气安全事务中心</w:t>
      </w:r>
    </w:p>
    <w:p w14:paraId="73C78162">
      <w:pPr>
        <w:jc w:val="center"/>
        <w:rPr>
          <w:rFonts w:hint="eastAsia" w:asciiTheme="majorEastAsia" w:hAnsiTheme="majorEastAsia" w:eastAsiaTheme="majorEastAsia" w:cstheme="majorEastAsia"/>
          <w:b/>
          <w:bCs/>
          <w:sz w:val="48"/>
          <w:szCs w:val="48"/>
          <w:lang w:val="en-US" w:eastAsia="zh-CN"/>
        </w:rPr>
      </w:pPr>
    </w:p>
    <w:p w14:paraId="75765EF9">
      <w:pPr>
        <w:jc w:val="center"/>
        <w:rPr>
          <w:rFonts w:hint="eastAsia" w:asciiTheme="majorEastAsia" w:hAnsiTheme="majorEastAsia" w:eastAsiaTheme="majorEastAsia" w:cstheme="majorEastAsia"/>
          <w:b/>
          <w:bCs/>
          <w:sz w:val="48"/>
          <w:szCs w:val="48"/>
          <w:lang w:val="en-US" w:eastAsia="zh-CN"/>
        </w:rPr>
      </w:pPr>
    </w:p>
    <w:p w14:paraId="4F971D3B">
      <w:pPr>
        <w:jc w:val="center"/>
        <w:rPr>
          <w:rFonts w:hint="eastAsia" w:asciiTheme="majorEastAsia" w:hAnsiTheme="majorEastAsia" w:eastAsiaTheme="majorEastAsia" w:cstheme="majorEastAsia"/>
          <w:b/>
          <w:bCs/>
          <w:sz w:val="48"/>
          <w:szCs w:val="48"/>
          <w:lang w:val="en-US" w:eastAsia="zh-CN"/>
        </w:rPr>
      </w:pPr>
    </w:p>
    <w:p w14:paraId="7BC03AE3">
      <w:pPr>
        <w:jc w:val="center"/>
        <w:rPr>
          <w:rFonts w:hint="eastAsia" w:asciiTheme="majorEastAsia" w:hAnsiTheme="majorEastAsia" w:eastAsiaTheme="majorEastAsia" w:cstheme="majorEastAsia"/>
          <w:b/>
          <w:bCs/>
          <w:sz w:val="48"/>
          <w:szCs w:val="48"/>
          <w:lang w:val="en-US" w:eastAsia="zh-CN"/>
        </w:rPr>
      </w:pPr>
    </w:p>
    <w:p w14:paraId="408A4050">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2024年度益阳市燃气安全事务中心</w:t>
      </w:r>
    </w:p>
    <w:p w14:paraId="37DFAB80">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部门（单位）整体支出绩效自评报告</w:t>
      </w:r>
    </w:p>
    <w:p w14:paraId="0446A300">
      <w:pPr>
        <w:jc w:val="center"/>
        <w:rPr>
          <w:rFonts w:hint="eastAsia" w:asciiTheme="majorEastAsia" w:hAnsiTheme="majorEastAsia" w:eastAsiaTheme="majorEastAsia" w:cstheme="majorEastAsia"/>
          <w:b/>
          <w:bCs/>
          <w:sz w:val="48"/>
          <w:szCs w:val="48"/>
          <w:lang w:val="en-US" w:eastAsia="zh-CN"/>
        </w:rPr>
      </w:pPr>
    </w:p>
    <w:p w14:paraId="2A1257B2">
      <w:pPr>
        <w:numPr>
          <w:ilvl w:val="0"/>
          <w:numId w:val="1"/>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部门（单位）基本情况</w:t>
      </w:r>
    </w:p>
    <w:p w14:paraId="13E38AA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主要职能：益阳市燃气安全事务中心是益阳市住房和城乡建设局下设二级机构，正科级公益一类事业单位。负责：1、宣传燃气安全管理的方针和政策、法律法规；协助主管部门对燃气经营者进行安全检查并调查、处理燃气安全事故、突发事件； 2、城镇燃气安全管理工作的信访投诉和矛盾纠纷处理、全市燃气经营者关键岗位的教育培训。</w:t>
      </w:r>
    </w:p>
    <w:p w14:paraId="79C4641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2．机构情况：益阳市燃气安全事务中心内设股室3个，分别为：综合股，瓶装液化气股，管道燃气股。</w:t>
      </w:r>
    </w:p>
    <w:p w14:paraId="1617821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3．人员情况：2024年12月在职在编人员9人，退休人员8人。</w:t>
      </w:r>
    </w:p>
    <w:p w14:paraId="1723AC0C">
      <w:pPr>
        <w:numPr>
          <w:ilvl w:val="0"/>
          <w:numId w:val="1"/>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一般公共预算支出情况</w:t>
      </w:r>
    </w:p>
    <w:p w14:paraId="18627172">
      <w:pPr>
        <w:numPr>
          <w:ilvl w:val="0"/>
          <w:numId w:val="2"/>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基本支出情况</w:t>
      </w:r>
    </w:p>
    <w:p w14:paraId="383A954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基本支出是保障我单位机构正常运转、完成日常工作任务而发生的各项支出，包括用于在职和离退休人员基本工资、津贴补贴等人员经费以及办公费、水电费等日常公用经费。</w:t>
      </w:r>
    </w:p>
    <w:p w14:paraId="0196827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2024年年初预算支出为222.01万元，其中：基本支出185.01万元。2024年年末决算支出为224.9万元，其中：基本支出206.23万元（全部为财政拨款）。年末决算数比年初决算数增加21.22万元，主要原因为：1、2023年在职人员绩效奖；2、2023年退休绩效奖；3、公积金单位部分；4、工伤保险；5、死亡抚恤费。2024年末决算基本支出主要构成为：工资福利支出159.75万元，商品和服务支出23.9万元，对个人和家庭的补助22.58万元，共206.23万元。</w:t>
      </w:r>
    </w:p>
    <w:p w14:paraId="1D96B8F5">
      <w:pPr>
        <w:numPr>
          <w:ilvl w:val="0"/>
          <w:numId w:val="2"/>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项目支出情况</w:t>
      </w:r>
    </w:p>
    <w:p w14:paraId="64DE759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我单位2024年末项目支出共有18.67万元。其中：益阳市住房和城乡建设局拨付我单位18.67万元为在公用经费中开支，是保障我单位正常运转的日常公用经费。</w:t>
      </w:r>
    </w:p>
    <w:p w14:paraId="68821A12">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政府性基金预算支出情况</w:t>
      </w:r>
    </w:p>
    <w:p w14:paraId="5AC3255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我单位无政府性基金。</w:t>
      </w:r>
    </w:p>
    <w:p w14:paraId="59463634">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国有资本经营预算支出情况</w:t>
      </w:r>
    </w:p>
    <w:p w14:paraId="3866313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我单位无国有资本经营。</w:t>
      </w:r>
    </w:p>
    <w:p w14:paraId="76A1B024">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社会保险基金预算支出情况</w:t>
      </w:r>
    </w:p>
    <w:p w14:paraId="61EF38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我单位无社会保险基金。</w:t>
      </w:r>
    </w:p>
    <w:p w14:paraId="0E7EB7DE">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部门整体支出绩效情况</w:t>
      </w:r>
    </w:p>
    <w:p w14:paraId="5907F79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根据2024年工作计划，认真履行职责，较好地完成了年初确定的各项工作任务。我单位从资金使用、产出指标、效益指标、满意度指标、成本指标等方面进行评价，全年绩效评价总评为99.98分，全年主要工作绩效如下：</w:t>
      </w:r>
    </w:p>
    <w:p w14:paraId="62B0490C">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资金使用：本年预算配置控制较好，编制内在职人员控制率为81.82%。2024年预算完成率为101.3%，主要原因是财政拨款收入增加：1、2023年在职人员绩效奖；2、2023年退休绩效奖；3、公积金单位部分；4、工伤保险；5、死亡抚恤费。2024年我单位全年执行数为224.9万元，其中财政拨款206.23万元，益阳市住房和城乡建设局拨付我单位18.67万元，我单位年末使用224.9万元并保证单位正常运转。评价得分10分。</w:t>
      </w:r>
    </w:p>
    <w:p w14:paraId="675664C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产出指标：我单位保证了单位的正常运转，按时足额发放了职工工资以及及时缴纳政策性社会保障资金。2024年我单位根据《城镇燃气管理条例》和《湖南省城镇燃气企业储气能力建设方案》等法规文件，经局党组研究决定，委托编制单位编制了《益阳市燃气发展规划（2021-2035年）》（以下简称《燃气发展规划》），《燃气发展规划》规划期限为2021年至2035年，分近期目标和远期目标；近期目标（2021－2025年）：益阳市中心城区管道燃气气化率达到90%，乡镇地区管道燃气气化率达到20%，液化石油气瓶装供应站数量控制在65个以内。益阳市中心城区瓶装燃气气化率为10%，乡镇地区瓶装燃气气化率为65%。远期目标（2026－2035年）：益阳市中心城区管道燃气气化率达到98%，乡镇地区管道燃气气化率达到50%。益阳市中心城区瓶装燃气气化率为2%，乡镇地区瓶装燃气气化率为45%，液化石油气瓶装供应站数量控制在60个以内。评价得分40分。</w:t>
      </w:r>
    </w:p>
    <w:p w14:paraId="53E520A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效益指标：按经济、社会、生态效益、可持续影响四方面评价：1、隐患排查治理减存量。进一步完善隐患排查治理机制。对照住建部《城镇燃气经营安全重大隐患判定标准》明确排查责任，排查范围、排查标准。采用多种检查方式，如日常巡检、专项检查和不定期抽查。对于排查出的隐患，详细登记建档，依据危害程度和整改难度分类。严格落实整改责任，确保每项隐患有专人负责，规定整改期限。整改过程中加强监督，完成后认真复查，形成闭环管理，真正实现存量隐患的减少；2、持续推进燃气经营企业“六化”标准化建设。严格落实上级文件精神，加强燃气经营企业的安全管理工作，实行企业源头标准化、输配送过程网格化、用户安全公开化、公众监督常态化、严格执法规范化、应急救援专业化的燃气安全管理制度，形成“全链条、全过程、全要素”的燃气安全管理工作机制。评价得分30分。</w:t>
      </w:r>
    </w:p>
    <w:p w14:paraId="36A1B56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4、满意度指标：2024年为加强益阳市瓶装液化石油气送气工管理，保障瓶装液化石油气安全配送，规范配送服务行为，维护广大燃气用户的合法权益提供了依据和保障。评价得分10分</w:t>
      </w:r>
      <w:r>
        <w:rPr>
          <w:rFonts w:hint="default" w:asciiTheme="minorEastAsia" w:hAnsiTheme="minorEastAsia" w:cstheme="minorEastAsia"/>
          <w:b w:val="0"/>
          <w:bCs w:val="0"/>
          <w:sz w:val="28"/>
          <w:szCs w:val="28"/>
          <w:lang w:val="en-US" w:eastAsia="zh-CN"/>
        </w:rPr>
        <w:t>。</w:t>
      </w:r>
    </w:p>
    <w:p w14:paraId="5CEE018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成本指标：我单位2024年预算金额为222.01万元，全年执行数为224.9万元，我单位本年度燃气安全宣传、燃气安全检查、排除隐患和处理安全事故、突发事件，负责城镇燃气经营相关人员教育培训、接待燃气管理方面的信访和处理纠纷等工作及日常工作顺利完成、预算资金使用率为101.3%。评价得分10分</w:t>
      </w:r>
    </w:p>
    <w:p w14:paraId="76F0625C">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存在的问题及原因分析</w:t>
      </w:r>
    </w:p>
    <w:p w14:paraId="56ACEC1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无。</w:t>
      </w:r>
    </w:p>
    <w:p w14:paraId="2CBE9ED3">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下一步改进措施</w:t>
      </w:r>
    </w:p>
    <w:p w14:paraId="1886DBB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无。</w:t>
      </w:r>
    </w:p>
    <w:p w14:paraId="62B64EA0">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绩效自评结果拟应用和公开情况</w:t>
      </w:r>
    </w:p>
    <w:p w14:paraId="40EF5C5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绩效自评结果将在主管单位益阳市住房和城乡建设局门户网站上进行公开。</w:t>
      </w:r>
    </w:p>
    <w:p w14:paraId="3B22E160">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其他需要说明的情况</w:t>
      </w:r>
    </w:p>
    <w:p w14:paraId="4DFD37A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无。</w:t>
      </w:r>
    </w:p>
    <w:p w14:paraId="7861AD62">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default" w:asciiTheme="minorEastAsia" w:hAnsiTheme="minorEastAsia" w:cstheme="minorEastAsia"/>
          <w:b w:val="0"/>
          <w:bCs w:val="0"/>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A080A"/>
    <w:multiLevelType w:val="singleLevel"/>
    <w:tmpl w:val="840A080A"/>
    <w:lvl w:ilvl="0" w:tentative="0">
      <w:start w:val="1"/>
      <w:numFmt w:val="chineseCounting"/>
      <w:suff w:val="nothing"/>
      <w:lvlText w:val="（%1）"/>
      <w:lvlJc w:val="left"/>
      <w:rPr>
        <w:rFonts w:hint="eastAsia"/>
      </w:rPr>
    </w:lvl>
  </w:abstractNum>
  <w:abstractNum w:abstractNumId="1">
    <w:nsid w:val="A85903ED"/>
    <w:multiLevelType w:val="singleLevel"/>
    <w:tmpl w:val="A85903ED"/>
    <w:lvl w:ilvl="0" w:tentative="0">
      <w:start w:val="1"/>
      <w:numFmt w:val="decimal"/>
      <w:suff w:val="nothing"/>
      <w:lvlText w:val="%1、"/>
      <w:lvlJc w:val="left"/>
    </w:lvl>
  </w:abstractNum>
  <w:abstractNum w:abstractNumId="2">
    <w:nsid w:val="ADFB896E"/>
    <w:multiLevelType w:val="singleLevel"/>
    <w:tmpl w:val="ADFB896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746A"/>
    <w:rsid w:val="02891828"/>
    <w:rsid w:val="03736B5F"/>
    <w:rsid w:val="06180E71"/>
    <w:rsid w:val="089E3D0A"/>
    <w:rsid w:val="08E4160F"/>
    <w:rsid w:val="0D1C1532"/>
    <w:rsid w:val="0D7C4C6B"/>
    <w:rsid w:val="0E6C7538"/>
    <w:rsid w:val="0F1F07DF"/>
    <w:rsid w:val="0F2C7DA2"/>
    <w:rsid w:val="11B37CD1"/>
    <w:rsid w:val="15172043"/>
    <w:rsid w:val="171A1AD8"/>
    <w:rsid w:val="177676C3"/>
    <w:rsid w:val="181C11CF"/>
    <w:rsid w:val="186E74A5"/>
    <w:rsid w:val="189A167F"/>
    <w:rsid w:val="18B403C4"/>
    <w:rsid w:val="19B532C2"/>
    <w:rsid w:val="1A904DDC"/>
    <w:rsid w:val="1B3351EF"/>
    <w:rsid w:val="1B8E0FFD"/>
    <w:rsid w:val="21693A14"/>
    <w:rsid w:val="2205442B"/>
    <w:rsid w:val="231F7C0C"/>
    <w:rsid w:val="2367336D"/>
    <w:rsid w:val="24A11809"/>
    <w:rsid w:val="25134CB6"/>
    <w:rsid w:val="2527206D"/>
    <w:rsid w:val="254728A7"/>
    <w:rsid w:val="26AB4127"/>
    <w:rsid w:val="274225C8"/>
    <w:rsid w:val="28135E1F"/>
    <w:rsid w:val="2944198E"/>
    <w:rsid w:val="2B411ED6"/>
    <w:rsid w:val="2C143C3C"/>
    <w:rsid w:val="2DC57639"/>
    <w:rsid w:val="2E2F36D3"/>
    <w:rsid w:val="2F1457B7"/>
    <w:rsid w:val="2F9561B9"/>
    <w:rsid w:val="30B23071"/>
    <w:rsid w:val="30C00EF8"/>
    <w:rsid w:val="3142311E"/>
    <w:rsid w:val="32B706E4"/>
    <w:rsid w:val="33CD176E"/>
    <w:rsid w:val="35720767"/>
    <w:rsid w:val="3B05603B"/>
    <w:rsid w:val="3C6214F2"/>
    <w:rsid w:val="3C9954F5"/>
    <w:rsid w:val="3DC26ACC"/>
    <w:rsid w:val="412753E6"/>
    <w:rsid w:val="43F36B39"/>
    <w:rsid w:val="45017C5C"/>
    <w:rsid w:val="466D34E0"/>
    <w:rsid w:val="46A35B7B"/>
    <w:rsid w:val="47B72C38"/>
    <w:rsid w:val="485F238C"/>
    <w:rsid w:val="491C0785"/>
    <w:rsid w:val="4A5F2D43"/>
    <w:rsid w:val="4C401249"/>
    <w:rsid w:val="4CAB41E2"/>
    <w:rsid w:val="4F023FA0"/>
    <w:rsid w:val="502F7DAD"/>
    <w:rsid w:val="50D53705"/>
    <w:rsid w:val="51490FD3"/>
    <w:rsid w:val="518C3B96"/>
    <w:rsid w:val="52AB01B6"/>
    <w:rsid w:val="55A01A88"/>
    <w:rsid w:val="561B32DD"/>
    <w:rsid w:val="576A1D02"/>
    <w:rsid w:val="57BA0AB6"/>
    <w:rsid w:val="5AB06874"/>
    <w:rsid w:val="5B562500"/>
    <w:rsid w:val="5E996110"/>
    <w:rsid w:val="5F5E4212"/>
    <w:rsid w:val="5F853CEC"/>
    <w:rsid w:val="604C544F"/>
    <w:rsid w:val="62F33D82"/>
    <w:rsid w:val="67B22635"/>
    <w:rsid w:val="6A8563F9"/>
    <w:rsid w:val="6AAB181E"/>
    <w:rsid w:val="6C265634"/>
    <w:rsid w:val="6CCB0D8C"/>
    <w:rsid w:val="705335D7"/>
    <w:rsid w:val="73A038AB"/>
    <w:rsid w:val="74E81D8E"/>
    <w:rsid w:val="7518560D"/>
    <w:rsid w:val="75D868D4"/>
    <w:rsid w:val="77965CB3"/>
    <w:rsid w:val="78C80A02"/>
    <w:rsid w:val="7AAD292F"/>
    <w:rsid w:val="7C724297"/>
    <w:rsid w:val="7CFC51D5"/>
    <w:rsid w:val="7D453F9C"/>
    <w:rsid w:val="7D8204E4"/>
    <w:rsid w:val="7EB8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2024-05-07T08:27:00Z</dcterms:created>
  <dc:creator>Administrator</dc:creator>
  <cp:lastModifiedBy>123</cp:lastModifiedBy>
  <cp:lastPrinted>2024-05-07T08:39:00Z</cp:lastPrinted>
  <dcterms:modified xsi:type="dcterms:W3CDTF">2025-09-26T08:26:02Z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4FC88DA885044F3EA1D2CC1AABD56B45_12</vt:lpwstr>
  </property>
</Properties>
</file>