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附件5</w:t>
      </w:r>
    </w:p>
    <w:p>
      <w:pPr>
        <w:rPr>
          <w:rFonts w:hint="eastAsia" w:asciiTheme="majorEastAsia" w:hAnsiTheme="majorEastAsia" w:eastAsiaTheme="majorEastAsia" w:cstheme="majorEastAsia"/>
          <w:b/>
          <w:bCs/>
          <w:sz w:val="44"/>
          <w:szCs w:val="44"/>
          <w:lang w:val="en-US" w:eastAsia="zh-CN"/>
        </w:rPr>
      </w:pPr>
    </w:p>
    <w:p>
      <w:pPr>
        <w:rPr>
          <w:rFonts w:hint="eastAsia" w:asciiTheme="majorEastAsia" w:hAnsiTheme="majorEastAsia" w:eastAsiaTheme="majorEastAsia" w:cstheme="majorEastAsia"/>
          <w:b/>
          <w:bCs/>
          <w:sz w:val="44"/>
          <w:szCs w:val="44"/>
          <w:lang w:val="en-US" w:eastAsia="zh-CN"/>
        </w:rPr>
      </w:pPr>
    </w:p>
    <w:p>
      <w:pPr>
        <w:rPr>
          <w:rFonts w:hint="eastAsia" w:asciiTheme="majorEastAsia" w:hAnsiTheme="majorEastAsia" w:eastAsiaTheme="majorEastAsia" w:cstheme="majorEastAsia"/>
          <w:b/>
          <w:bCs/>
          <w:sz w:val="44"/>
          <w:szCs w:val="44"/>
          <w:lang w:val="en-US" w:eastAsia="zh-CN"/>
        </w:rPr>
      </w:pPr>
    </w:p>
    <w:p>
      <w:pPr>
        <w:rPr>
          <w:rFonts w:hint="eastAsia" w:asciiTheme="majorEastAsia" w:hAnsiTheme="majorEastAsia" w:eastAsiaTheme="majorEastAsia" w:cstheme="majorEastAsia"/>
          <w:b/>
          <w:bCs/>
          <w:sz w:val="44"/>
          <w:szCs w:val="44"/>
          <w:lang w:val="en-US" w:eastAsia="zh-CN"/>
        </w:rPr>
      </w:pPr>
    </w:p>
    <w:p>
      <w:pP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val="en-US" w:eastAsia="zh-CN"/>
        </w:rPr>
        <w:t>2023年度益阳市建设工程质量检测中心部门（单位）整体支出绩效自评报告</w:t>
      </w:r>
    </w:p>
    <w:p>
      <w:pPr>
        <w:rPr>
          <w:rFonts w:hint="eastAsia" w:asciiTheme="majorEastAsia" w:hAnsiTheme="majorEastAsia" w:eastAsiaTheme="majorEastAsia" w:cstheme="majorEastAsia"/>
          <w:b/>
          <w:bCs/>
          <w:sz w:val="48"/>
          <w:szCs w:val="48"/>
          <w:lang w:val="en-US" w:eastAsia="zh-CN"/>
        </w:rPr>
      </w:pPr>
    </w:p>
    <w:p>
      <w:pPr>
        <w:rPr>
          <w:rFonts w:hint="eastAsia" w:asciiTheme="majorEastAsia" w:hAnsiTheme="majorEastAsia" w:eastAsiaTheme="majorEastAsia" w:cstheme="majorEastAsia"/>
          <w:b/>
          <w:bCs/>
          <w:sz w:val="28"/>
          <w:szCs w:val="28"/>
          <w:lang w:val="en-US" w:eastAsia="zh-CN"/>
        </w:rPr>
      </w:pPr>
    </w:p>
    <w:p>
      <w:pPr>
        <w:rPr>
          <w:rFonts w:hint="eastAsia" w:asciiTheme="majorEastAsia" w:hAnsiTheme="majorEastAsia" w:eastAsiaTheme="majorEastAsia" w:cstheme="majorEastAsia"/>
          <w:b/>
          <w:bCs/>
          <w:sz w:val="28"/>
          <w:szCs w:val="28"/>
          <w:lang w:val="en-US" w:eastAsia="zh-CN"/>
        </w:rPr>
      </w:pPr>
    </w:p>
    <w:p>
      <w:pPr>
        <w:rPr>
          <w:rFonts w:hint="eastAsia" w:asciiTheme="majorEastAsia" w:hAnsiTheme="majorEastAsia" w:eastAsiaTheme="majorEastAsia" w:cstheme="majorEastAsia"/>
          <w:b/>
          <w:bCs/>
          <w:sz w:val="28"/>
          <w:szCs w:val="28"/>
          <w:lang w:val="en-US" w:eastAsia="zh-CN"/>
        </w:rPr>
      </w:pPr>
    </w:p>
    <w:p>
      <w:pPr>
        <w:rPr>
          <w:rFonts w:hint="eastAsia" w:asciiTheme="majorEastAsia" w:hAnsiTheme="majorEastAsia" w:eastAsiaTheme="majorEastAsia" w:cstheme="majorEastAsia"/>
          <w:b/>
          <w:bCs/>
          <w:sz w:val="28"/>
          <w:szCs w:val="28"/>
          <w:lang w:val="en-US" w:eastAsia="zh-CN"/>
        </w:rPr>
      </w:pPr>
    </w:p>
    <w:p>
      <w:pPr>
        <w:rPr>
          <w:rFonts w:hint="eastAsia" w:asciiTheme="majorEastAsia" w:hAnsiTheme="majorEastAsia" w:eastAsiaTheme="majorEastAsia" w:cstheme="majorEastAsia"/>
          <w:b/>
          <w:bCs/>
          <w:sz w:val="28"/>
          <w:szCs w:val="28"/>
          <w:lang w:val="en-US" w:eastAsia="zh-CN"/>
        </w:rPr>
      </w:pPr>
    </w:p>
    <w:p>
      <w:pPr>
        <w:rPr>
          <w:rFonts w:hint="eastAsia" w:asciiTheme="majorEastAsia" w:hAnsiTheme="majorEastAsia" w:eastAsiaTheme="majorEastAsia" w:cstheme="majorEastAsia"/>
          <w:b/>
          <w:bCs/>
          <w:sz w:val="28"/>
          <w:szCs w:val="28"/>
          <w:lang w:val="en-US" w:eastAsia="zh-CN"/>
        </w:rPr>
      </w:pPr>
    </w:p>
    <w:p>
      <w:pPr>
        <w:rPr>
          <w:rFonts w:hint="eastAsia" w:asciiTheme="majorEastAsia" w:hAnsiTheme="majorEastAsia" w:eastAsiaTheme="majorEastAsia" w:cstheme="majorEastAsia"/>
          <w:b/>
          <w:bCs/>
          <w:sz w:val="28"/>
          <w:szCs w:val="28"/>
          <w:lang w:val="en-US" w:eastAsia="zh-CN"/>
        </w:rPr>
      </w:pPr>
    </w:p>
    <w:p>
      <w:pPr>
        <w:rPr>
          <w:rFonts w:hint="eastAsia" w:asciiTheme="majorEastAsia" w:hAnsiTheme="majorEastAsia" w:eastAsiaTheme="majorEastAsia" w:cstheme="majorEastAsia"/>
          <w:b/>
          <w:bCs/>
          <w:sz w:val="28"/>
          <w:szCs w:val="28"/>
          <w:lang w:val="en-US" w:eastAsia="zh-CN"/>
        </w:rPr>
      </w:pPr>
    </w:p>
    <w:p>
      <w:pPr>
        <w:rPr>
          <w:rFonts w:hint="eastAsia" w:asciiTheme="majorEastAsia" w:hAnsiTheme="majorEastAsia" w:eastAsiaTheme="majorEastAsia" w:cstheme="majorEastAsia"/>
          <w:b/>
          <w:bCs/>
          <w:sz w:val="28"/>
          <w:szCs w:val="28"/>
          <w:lang w:val="en-US" w:eastAsia="zh-CN"/>
        </w:rPr>
      </w:pPr>
    </w:p>
    <w:p>
      <w:pPr>
        <w:jc w:val="both"/>
        <w:rPr>
          <w:rFonts w:hint="eastAsia" w:asciiTheme="majorEastAsia" w:hAnsiTheme="majorEastAsia" w:eastAsiaTheme="majorEastAsia" w:cstheme="majorEastAsia"/>
          <w:b/>
          <w:bCs/>
          <w:sz w:val="32"/>
          <w:szCs w:val="32"/>
          <w:u w:val="single"/>
          <w:lang w:val="en-US" w:eastAsia="zh-CN"/>
        </w:rPr>
      </w:pPr>
      <w:r>
        <w:rPr>
          <w:rFonts w:hint="eastAsia" w:asciiTheme="majorEastAsia" w:hAnsiTheme="majorEastAsia" w:eastAsiaTheme="majorEastAsia" w:cstheme="majorEastAsia"/>
          <w:b/>
          <w:bCs/>
          <w:sz w:val="32"/>
          <w:szCs w:val="32"/>
          <w:lang w:val="en-US" w:eastAsia="zh-CN"/>
        </w:rPr>
        <w:t>部门（单位）名称：</w:t>
      </w:r>
      <w:r>
        <w:rPr>
          <w:rFonts w:hint="eastAsia" w:asciiTheme="majorEastAsia" w:hAnsiTheme="majorEastAsia" w:eastAsiaTheme="majorEastAsia" w:cstheme="majorEastAsia"/>
          <w:b/>
          <w:bCs/>
          <w:sz w:val="32"/>
          <w:szCs w:val="32"/>
          <w:u w:val="single"/>
          <w:lang w:val="en-US" w:eastAsia="zh-CN"/>
        </w:rPr>
        <w:t>益阳市建设工程质量检测中心</w:t>
      </w:r>
    </w:p>
    <w:p>
      <w:pPr>
        <w:jc w:val="center"/>
        <w:rPr>
          <w:rFonts w:hint="eastAsia" w:asciiTheme="majorEastAsia" w:hAnsiTheme="majorEastAsia" w:eastAsiaTheme="majorEastAsia" w:cstheme="majorEastAsia"/>
          <w:b/>
          <w:bCs/>
          <w:sz w:val="32"/>
          <w:szCs w:val="32"/>
          <w:u w:val="none"/>
          <w:lang w:val="en-US" w:eastAsia="zh-CN"/>
        </w:rPr>
      </w:pPr>
      <w:r>
        <w:rPr>
          <w:rFonts w:hint="eastAsia" w:asciiTheme="majorEastAsia" w:hAnsiTheme="majorEastAsia" w:eastAsiaTheme="majorEastAsia" w:cstheme="majorEastAsia"/>
          <w:b/>
          <w:bCs/>
          <w:sz w:val="32"/>
          <w:szCs w:val="32"/>
          <w:u w:val="none"/>
          <w:lang w:val="en-US" w:eastAsia="zh-CN"/>
        </w:rPr>
        <w:t>2024年05月16日</w:t>
      </w:r>
    </w:p>
    <w:p>
      <w:pPr>
        <w:jc w:val="center"/>
        <w:rPr>
          <w:rFonts w:hint="eastAsia" w:asciiTheme="majorEastAsia" w:hAnsiTheme="majorEastAsia" w:eastAsiaTheme="majorEastAsia" w:cstheme="majorEastAsia"/>
          <w:b/>
          <w:bCs/>
          <w:sz w:val="32"/>
          <w:szCs w:val="32"/>
          <w:u w:val="none"/>
          <w:lang w:val="en-US" w:eastAsia="zh-CN"/>
        </w:rPr>
      </w:pPr>
    </w:p>
    <w:p>
      <w:pPr>
        <w:jc w:val="center"/>
        <w:rPr>
          <w:rFonts w:hint="eastAsia" w:asciiTheme="majorEastAsia" w:hAnsiTheme="majorEastAsia" w:eastAsiaTheme="majorEastAsia" w:cstheme="majorEastAsia"/>
          <w:b/>
          <w:bCs/>
          <w:sz w:val="48"/>
          <w:szCs w:val="48"/>
          <w:lang w:val="en-US" w:eastAsia="zh-CN"/>
        </w:rPr>
      </w:pPr>
    </w:p>
    <w:p>
      <w:pPr>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val="en-US" w:eastAsia="zh-CN"/>
        </w:rPr>
        <w:t>2023年度益阳市建设工程质量检测中心部门（单位）整体支出绩效自评报告</w:t>
      </w:r>
    </w:p>
    <w:p>
      <w:pPr>
        <w:numPr>
          <w:ilvl w:val="0"/>
          <w:numId w:val="0"/>
        </w:numPr>
        <w:jc w:val="left"/>
        <w:rPr>
          <w:rFonts w:hint="eastAsia" w:asciiTheme="minorEastAsia" w:hAnsiTheme="minorEastAsia" w:cstheme="minorEastAsia"/>
          <w:b/>
          <w:bCs/>
          <w:sz w:val="28"/>
          <w:szCs w:val="28"/>
          <w:lang w:val="en-US" w:eastAsia="zh-CN"/>
        </w:rPr>
      </w:pPr>
    </w:p>
    <w:p>
      <w:pPr>
        <w:numPr>
          <w:ilvl w:val="0"/>
          <w:numId w:val="0"/>
        </w:numPr>
        <w:ind w:firstLine="643" w:firstLineChars="200"/>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32"/>
          <w:szCs w:val="32"/>
          <w:lang w:val="en-US" w:eastAsia="zh-CN"/>
        </w:rPr>
        <w:t>一、部门（单位）基本情况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rPr>
        <w:t>1．主要职能</w:t>
      </w:r>
      <w:r>
        <w:rPr>
          <w:rFonts w:hint="eastAsia" w:ascii="仿宋" w:hAnsi="仿宋" w:eastAsia="仿宋" w:cs="仿宋"/>
          <w:sz w:val="32"/>
          <w:szCs w:val="32"/>
          <w:lang w:eastAsia="zh-CN"/>
        </w:rPr>
        <w:t>：</w:t>
      </w:r>
      <w:r>
        <w:rPr>
          <w:rFonts w:hint="eastAsia" w:ascii="仿宋" w:hAnsi="仿宋" w:eastAsia="仿宋" w:cs="仿宋"/>
          <w:b w:val="0"/>
          <w:bCs w:val="0"/>
          <w:sz w:val="32"/>
          <w:szCs w:val="32"/>
          <w:lang w:eastAsia="zh-CN"/>
        </w:rPr>
        <w:t>益阳市建设工程质量检测中心隶属于益阳市住房和城乡建设局，单位</w:t>
      </w:r>
      <w:r>
        <w:rPr>
          <w:rFonts w:hint="eastAsia" w:ascii="仿宋" w:hAnsi="仿宋" w:eastAsia="仿宋" w:cs="仿宋"/>
          <w:b w:val="0"/>
          <w:bCs w:val="0"/>
          <w:sz w:val="32"/>
          <w:szCs w:val="32"/>
        </w:rPr>
        <w:t>性质为</w:t>
      </w:r>
      <w:r>
        <w:rPr>
          <w:rFonts w:hint="eastAsia" w:ascii="仿宋" w:hAnsi="仿宋" w:eastAsia="仿宋" w:cs="仿宋"/>
          <w:b w:val="0"/>
          <w:bCs w:val="0"/>
          <w:sz w:val="32"/>
          <w:szCs w:val="32"/>
          <w:lang w:eastAsia="zh-CN"/>
        </w:rPr>
        <w:t>副</w:t>
      </w:r>
      <w:bookmarkStart w:id="4" w:name="_GoBack"/>
      <w:bookmarkEnd w:id="4"/>
      <w:r>
        <w:rPr>
          <w:rFonts w:hint="eastAsia" w:ascii="仿宋" w:hAnsi="仿宋" w:eastAsia="仿宋" w:cs="仿宋"/>
          <w:b w:val="0"/>
          <w:bCs w:val="0"/>
          <w:sz w:val="32"/>
          <w:szCs w:val="32"/>
          <w:lang w:eastAsia="zh-CN"/>
        </w:rPr>
        <w:t>科级公益二类自收自支</w:t>
      </w:r>
      <w:r>
        <w:rPr>
          <w:rFonts w:hint="eastAsia" w:ascii="仿宋" w:hAnsi="仿宋" w:eastAsia="仿宋" w:cs="仿宋"/>
          <w:b w:val="0"/>
          <w:bCs w:val="0"/>
          <w:sz w:val="32"/>
          <w:szCs w:val="32"/>
        </w:rPr>
        <w:t>事业单位。</w:t>
      </w:r>
      <w:r>
        <w:rPr>
          <w:rFonts w:hint="eastAsia" w:ascii="仿宋" w:hAnsi="仿宋" w:eastAsia="仿宋" w:cs="仿宋"/>
          <w:b w:val="0"/>
          <w:bCs w:val="0"/>
          <w:sz w:val="32"/>
          <w:szCs w:val="32"/>
          <w:lang w:eastAsia="zh-CN"/>
        </w:rPr>
        <w:t>主要</w:t>
      </w:r>
      <w:r>
        <w:rPr>
          <w:rFonts w:hint="eastAsia" w:ascii="仿宋" w:hAnsi="仿宋" w:eastAsia="仿宋" w:cs="仿宋"/>
          <w:color w:val="000000"/>
          <w:sz w:val="32"/>
          <w:szCs w:val="32"/>
        </w:rPr>
        <w:t>负责中心城区内建筑工程及建筑材料的质量检测</w:t>
      </w:r>
      <w:r>
        <w:rPr>
          <w:rFonts w:hint="eastAsia" w:ascii="仿宋" w:hAnsi="仿宋" w:eastAsia="仿宋" w:cs="仿宋"/>
          <w:color w:val="000000"/>
          <w:sz w:val="32"/>
          <w:szCs w:val="32"/>
          <w:lang w:eastAsia="zh-CN"/>
        </w:rPr>
        <w:t>和</w:t>
      </w:r>
      <w:r>
        <w:rPr>
          <w:rFonts w:hint="eastAsia" w:ascii="仿宋" w:hAnsi="仿宋" w:eastAsia="仿宋" w:cs="仿宋"/>
          <w:color w:val="000000"/>
          <w:sz w:val="32"/>
          <w:szCs w:val="32"/>
        </w:rPr>
        <w:t>为全市检测企业和砼（砂浆）搅拌企业提供质量检测技术指导</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sz w:val="32"/>
          <w:szCs w:val="32"/>
        </w:rPr>
        <w:t>2．机构情况</w:t>
      </w:r>
      <w:r>
        <w:rPr>
          <w:rFonts w:hint="eastAsia" w:ascii="仿宋" w:hAnsi="仿宋" w:eastAsia="仿宋" w:cs="仿宋"/>
          <w:sz w:val="32"/>
          <w:szCs w:val="32"/>
          <w:lang w:eastAsia="zh-CN"/>
        </w:rPr>
        <w:t>：</w:t>
      </w:r>
      <w:r>
        <w:rPr>
          <w:rFonts w:hint="eastAsia" w:ascii="仿宋" w:hAnsi="仿宋" w:eastAsia="仿宋" w:cs="仿宋"/>
          <w:color w:val="000000"/>
          <w:sz w:val="32"/>
          <w:szCs w:val="32"/>
        </w:rPr>
        <w:t>内设7个职能科室，分别为：办公室、技术综合室、中心试验室、环境试验室、桩基试验室、结构试验室、土工试验室</w:t>
      </w:r>
      <w:r>
        <w:rPr>
          <w:rFonts w:hint="eastAsia" w:ascii="仿宋" w:hAnsi="仿宋" w:eastAsia="仿宋" w:cs="仿宋"/>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rPr>
        <w:t>3．人员情况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2023年12月在职在编人员30人，人事代理人员23人，</w:t>
      </w:r>
      <w:r>
        <w:rPr>
          <w:rFonts w:hint="eastAsia" w:ascii="仿宋" w:hAnsi="仿宋" w:eastAsia="仿宋" w:cs="仿宋"/>
          <w:b w:val="0"/>
          <w:bCs w:val="0"/>
          <w:sz w:val="32"/>
          <w:szCs w:val="32"/>
          <w:lang w:eastAsia="zh-CN"/>
        </w:rPr>
        <w:t>退休人员</w:t>
      </w: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lang w:eastAsia="zh-CN"/>
        </w:rPr>
        <w:t>人，劳务派遗人员</w:t>
      </w:r>
      <w:r>
        <w:rPr>
          <w:rFonts w:hint="eastAsia" w:ascii="仿宋" w:hAnsi="仿宋" w:eastAsia="仿宋" w:cs="仿宋"/>
          <w:b w:val="0"/>
          <w:bCs w:val="0"/>
          <w:sz w:val="32"/>
          <w:szCs w:val="32"/>
          <w:lang w:val="en-US" w:eastAsia="zh-CN"/>
        </w:rPr>
        <w:t>14人</w:t>
      </w:r>
      <w:r>
        <w:rPr>
          <w:rFonts w:hint="eastAsia" w:ascii="仿宋" w:hAnsi="仿宋" w:eastAsia="仿宋" w:cs="仿宋"/>
          <w:b w:val="0"/>
          <w:bCs w:val="0"/>
          <w:sz w:val="32"/>
          <w:szCs w:val="32"/>
          <w:lang w:eastAsia="zh-CN"/>
        </w:rPr>
        <w:t>。本年度新增人员</w:t>
      </w:r>
      <w:r>
        <w:rPr>
          <w:rFonts w:hint="eastAsia" w:ascii="仿宋" w:hAnsi="仿宋" w:eastAsia="仿宋" w:cs="仿宋"/>
          <w:b w:val="0"/>
          <w:bCs w:val="0"/>
          <w:sz w:val="32"/>
          <w:szCs w:val="32"/>
          <w:lang w:val="en-US" w:eastAsia="zh-CN"/>
        </w:rPr>
        <w:t>3人。</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二、收入支出情况</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（一）收入情况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2023年度年初预算总收入3900.95万元，预算总支出3900.95万元，其中一般公共预算收入支出均为0.95万元，财政专户管理资金收支均为3900万元；2023年度年末决算总收入3241.37万元，决算总支出3241.37万元，其中一般公共预算收入支出均为0.95万元，财政专户管理资金收支均为3240.42万元。</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32"/>
          <w:szCs w:val="32"/>
          <w:lang w:val="en-US" w:eastAsia="zh-CN"/>
        </w:rPr>
        <w:t>（二）基本支出情况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_GB2312" w:hAnsi="仿宋" w:eastAsia="仿宋_GB2312"/>
          <w:sz w:val="32"/>
          <w:szCs w:val="32"/>
          <w:lang w:val="en-US" w:eastAsia="zh-CN"/>
        </w:rPr>
        <w:t>基本支出</w:t>
      </w:r>
      <w:r>
        <w:rPr>
          <w:rFonts w:hint="eastAsia" w:ascii="仿宋" w:hAnsi="仿宋" w:eastAsia="仿宋" w:cs="仿宋"/>
          <w:color w:val="000000"/>
          <w:sz w:val="32"/>
          <w:szCs w:val="32"/>
        </w:rPr>
        <w:t>主要是为保障</w:t>
      </w:r>
      <w:r>
        <w:rPr>
          <w:rFonts w:hint="eastAsia" w:ascii="仿宋" w:hAnsi="仿宋" w:eastAsia="仿宋" w:cs="仿宋"/>
          <w:color w:val="000000"/>
          <w:sz w:val="32"/>
          <w:szCs w:val="32"/>
          <w:lang w:eastAsia="zh-CN"/>
        </w:rPr>
        <w:t>本单位</w:t>
      </w:r>
      <w:r>
        <w:rPr>
          <w:rFonts w:hint="eastAsia" w:ascii="仿宋" w:hAnsi="仿宋" w:eastAsia="仿宋" w:cs="仿宋"/>
          <w:color w:val="000000"/>
          <w:sz w:val="32"/>
          <w:szCs w:val="32"/>
        </w:rPr>
        <w:t>正常运转、完成日常工作任务而发生的各项支出，包括用于基本工资、津贴补贴等人员经费以及办公费、印刷费、水电费、办公设备购置等公用经费</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Theme="minorEastAsia" w:hAnsiTheme="minorEastAsia" w:cstheme="minorEastAsia"/>
          <w:b w:val="0"/>
          <w:bCs w:val="0"/>
          <w:sz w:val="28"/>
          <w:szCs w:val="28"/>
          <w:lang w:val="en-US" w:eastAsia="zh-CN"/>
        </w:rPr>
      </w:pPr>
      <w:r>
        <w:rPr>
          <w:rFonts w:hint="eastAsia" w:ascii="仿宋_GB2312" w:hAnsi="仿宋" w:eastAsia="仿宋_GB2312"/>
          <w:sz w:val="32"/>
          <w:szCs w:val="32"/>
          <w:lang w:val="en-US" w:eastAsia="zh-CN"/>
        </w:rPr>
        <w:t>2023年年初预算基本支出为3900.95万元,2023年年末决算基本支出为3241.37万元。基本支出年末决算数比年初决算数减少659.58万元，主要原因为2023年城乡社区支出减少。2023年末决算基本支出主要构成为：工资福利支出975.56万元，商品和服务支出2091.16万元，对个人和家庭的补助69.81万元，资本性支出104.84万元，共3241.37万元。</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default"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三、政府性基金预算支出情况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我单位无政府性基金。</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default"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四、国有资本经营预算支出情况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我单位无国有资本经营。</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default"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五、社会保险基金预算支出情况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我单位无社会保险基金。</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default"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六、部门整体支出绩效情况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2023年益阳市建设工程质量检测中心全年根据年初工作计划，认真履职，较好地完成了年初确定的各项工作任务。我单位从年度资金总额、产出指标、效益指标、满意度指标等方面进行评价，全年绩效评价总评为96.62分（详见附件3），全年主要工作绩效如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年度资金总额：2023年度编制内在职人员控制率为63.83%；2023年预算执行率为100%。2023年度年初预算数为3241.37万元，年末执行数为为3241.37万元，其中一般公共预算0.95万元，财政专户管理资金3240.42万元。年末执行数比年初决算数减少659.58万元，主要原因为城乡社区支出减少。评价得分10分。</w:t>
      </w:r>
    </w:p>
    <w:p>
      <w:pPr>
        <w:spacing w:line="60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2.产出指标：2023年我单位按检测服务产值、检测质量、检测服务时效三个方面进行评价。</w:t>
      </w:r>
      <w:r>
        <w:rPr>
          <w:rFonts w:hint="eastAsia" w:ascii="仿宋" w:hAnsi="仿宋" w:eastAsia="仿宋" w:cs="仿宋"/>
          <w:b w:val="0"/>
          <w:bCs w:val="0"/>
          <w:color w:val="000000" w:themeColor="text1"/>
          <w:sz w:val="32"/>
          <w:szCs w:val="32"/>
          <w14:textFill>
            <w14:solidFill>
              <w14:schemeClr w14:val="tx1"/>
            </w14:solidFill>
          </w14:textFill>
        </w:rPr>
        <w:t>全年累计共签订检测合同29份。</w:t>
      </w:r>
      <w:r>
        <w:rPr>
          <w:rFonts w:hint="eastAsia" w:ascii="仿宋" w:hAnsi="仿宋" w:eastAsia="仿宋" w:cs="仿宋"/>
          <w:b w:val="0"/>
          <w:bCs w:val="0"/>
          <w:color w:val="000000" w:themeColor="text1"/>
          <w:sz w:val="32"/>
          <w:szCs w:val="32"/>
          <w:lang w:eastAsia="zh-CN"/>
          <w14:textFill>
            <w14:solidFill>
              <w14:schemeClr w14:val="tx1"/>
            </w14:solidFill>
          </w14:textFill>
        </w:rPr>
        <w:t>其中：</w:t>
      </w:r>
      <w:r>
        <w:rPr>
          <w:rFonts w:hint="eastAsia" w:ascii="仿宋" w:hAnsi="仿宋" w:eastAsia="仿宋" w:cs="仿宋"/>
          <w:b w:val="0"/>
          <w:bCs w:val="0"/>
          <w:color w:val="000000" w:themeColor="text1"/>
          <w:sz w:val="32"/>
          <w:szCs w:val="32"/>
          <w14:textFill>
            <w14:solidFill>
              <w14:schemeClr w14:val="tx1"/>
            </w14:solidFill>
          </w14:textFill>
        </w:rPr>
        <w:t>常规材料检测完成钢筋焊接检测 6161组、钢筋机械连接1870组、钢筋原材5959组、砼抗渗1993组、砼抗压30379组、砂浆抗压3551组、砂77组、多孔砖489组、水泥37组、蒸压加气砼砌块347组</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sz w:val="32"/>
          <w:szCs w:val="32"/>
        </w:rPr>
        <w:t>市政检测完成击实试验22组、土的压实度（环刀法）4194点，压实度（灌砂法)20240组，弯沉检测3206点、水稳配合比4</w:t>
      </w:r>
      <w:bookmarkStart w:id="0" w:name="OLE_LINK2"/>
      <w:bookmarkStart w:id="1" w:name="OLE_LINK1"/>
      <w:r>
        <w:rPr>
          <w:rFonts w:hint="eastAsia" w:ascii="仿宋" w:hAnsi="仿宋" w:eastAsia="仿宋" w:cs="仿宋"/>
          <w:b w:val="0"/>
          <w:bCs w:val="0"/>
          <w:sz w:val="32"/>
          <w:szCs w:val="32"/>
        </w:rPr>
        <w:t>组</w:t>
      </w:r>
      <w:bookmarkEnd w:id="0"/>
      <w:bookmarkEnd w:id="1"/>
      <w:r>
        <w:rPr>
          <w:rFonts w:hint="eastAsia" w:ascii="仿宋" w:hAnsi="仿宋" w:eastAsia="仿宋" w:cs="仿宋"/>
          <w:b w:val="0"/>
          <w:bCs w:val="0"/>
          <w:sz w:val="32"/>
          <w:szCs w:val="32"/>
        </w:rPr>
        <w:t>、无侧限抗压210组、水稳钻芯72组、沥青配合比13组、重交沥青8组、改性沥青 13组、细集料 15组 、粗集料40 组、矿粉15组、马歇尔实验162组、沥青</w:t>
      </w:r>
      <w:bookmarkStart w:id="2" w:name="OLE_LINK3"/>
      <w:bookmarkStart w:id="3" w:name="OLE_LINK4"/>
      <w:r>
        <w:rPr>
          <w:rFonts w:hint="eastAsia" w:ascii="仿宋" w:hAnsi="仿宋" w:eastAsia="仿宋" w:cs="仿宋"/>
          <w:b w:val="0"/>
          <w:bCs w:val="0"/>
          <w:sz w:val="32"/>
          <w:szCs w:val="32"/>
        </w:rPr>
        <w:t>钻芯543组</w:t>
      </w:r>
      <w:bookmarkEnd w:id="2"/>
      <w:bookmarkEnd w:id="3"/>
      <w:r>
        <w:rPr>
          <w:rFonts w:hint="eastAsia" w:ascii="仿宋" w:hAnsi="仿宋" w:eastAsia="仿宋" w:cs="仿宋"/>
          <w:b w:val="0"/>
          <w:bCs w:val="0"/>
          <w:sz w:val="32"/>
          <w:szCs w:val="32"/>
        </w:rPr>
        <w:t>、闭水试验408组、排水管外压试验28根</w:t>
      </w:r>
      <w:r>
        <w:rPr>
          <w:rFonts w:hint="eastAsia" w:ascii="仿宋" w:hAnsi="仿宋" w:eastAsia="仿宋" w:cs="仿宋"/>
          <w:b w:val="0"/>
          <w:bCs w:val="0"/>
          <w:sz w:val="32"/>
          <w:szCs w:val="32"/>
          <w:lang w:eastAsia="zh-CN"/>
        </w:rPr>
        <w:t>；</w:t>
      </w:r>
      <w:r>
        <w:rPr>
          <w:rFonts w:hint="eastAsia" w:ascii="仿宋" w:hAnsi="仿宋" w:eastAsia="仿宋" w:cs="仿宋"/>
          <w:b w:val="0"/>
          <w:bCs w:val="0"/>
          <w:color w:val="000000" w:themeColor="text1"/>
          <w:sz w:val="32"/>
          <w:szCs w:val="32"/>
          <w14:textFill>
            <w14:solidFill>
              <w14:schemeClr w14:val="tx1"/>
            </w14:solidFill>
          </w14:textFill>
        </w:rPr>
        <w:t>地基与基础检测共计出具地基与基础检测技术方案49个；完成单桩竖向静载实验426根,出具报告104份；完成小应变检测桩数11966根，出具报告148份;完成平板载荷试验262个点，出具检测报告50份；完成钻芯法试验336孔，进尺 8969.05m，出具报告15份</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水电及环境检测完成管道试压检测175组，接地电阻检测188组，绝缘电阻检测184组，室内环境检测155组</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节能门窗检测：对59个项目开展了节能检测，出具了3019份报告，其中外墙材料报告662份、屋面材料报告440份、现场抽芯报告96份、外窗三性报告318份、中空露点及遮阳系数可见光透射比报告1061份、外窗保温性能报告191份、外窗现场报告251份</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监督检测配合市住建局组织的全市建筑工程质量安全季度执法督查及考核工作，开展了实体质量监督抽查检测；对21个混凝土或砂浆预拌站进行了原材料砂、石、水泥、矿粉、粉煤灰、外加剂原材料抽样；完成砂子物理性能试验21组、石子物理性能试验20组、水泥物理性能试验22组。</w:t>
      </w:r>
      <w:r>
        <w:rPr>
          <w:rFonts w:hint="eastAsia" w:ascii="仿宋" w:hAnsi="仿宋" w:eastAsia="仿宋" w:cs="仿宋"/>
          <w:b w:val="0"/>
          <w:bCs w:val="0"/>
          <w:sz w:val="32"/>
          <w:szCs w:val="32"/>
          <w:lang w:val="en-US" w:eastAsia="zh-CN"/>
        </w:rPr>
        <w:t>评价得分41.62分。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效益指标：按社会、生态效益、可持续影响三方面评价，我单位在执行各项检测工作中，检测行为规范，检测结果真实，符合法律法规及标准规范，保障检测结果准确性；中心城区检测工程材料节能环保，保障城市生态环境可持续发展；对社会发展、公共福利还来有利影响。评价得分30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4.满意度指标：2023年我单位围绕履职效果、解决民众关心的热点问题等方面开展工作，获得了社会公众或服务对象的高度认可。评价得分15分。</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bCs/>
          <w:sz w:val="32"/>
          <w:szCs w:val="32"/>
          <w:lang w:val="en-US" w:eastAsia="zh-CN"/>
        </w:rPr>
        <w:t>七、存在的问题及原因分析</w:t>
      </w:r>
      <w:r>
        <w:rPr>
          <w:rFonts w:hint="eastAsia" w:asciiTheme="minorEastAsia" w:hAnsiTheme="minorEastAsia" w:cstheme="minorEastAsia"/>
          <w:b w:val="0"/>
          <w:bCs w:val="0"/>
          <w:sz w:val="28"/>
          <w:szCs w:val="28"/>
          <w:lang w:val="en-US" w:eastAsia="zh-CN"/>
        </w:rPr>
        <w:t>。</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（一）主动服务意识还不强，工作作风还有待进一步优化，还存在现场检测或检测报告滞后、拖沓等服务不优的现象；</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（二）内部管理还有待加强，需加大机构调整力度和制度建设力度；</w:t>
      </w:r>
    </w:p>
    <w:p>
      <w:pPr>
        <w:spacing w:line="600" w:lineRule="exact"/>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三）主动对接市场能力较低，市场意识比较淡薄，还存在“等、靠、要”的思想；</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（四）队伍整体水平参差不齐。“关键”专业技术人才短缺、技术人员构成不合理。</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default"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八、下一步改进措施</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（一）以党建工作为抓手，促队伍水平提升</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结合主题教育的开展，加大学习力度，提升政治思想意识；落实廉政建设“十不准”承诺制，定期开展作风建设回访，促进服务意识和廉政意识的提升；完成内设机构及工作程序调整，提升工作效率和管理水平；加大培训力度，确保“应培尽培”。</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（二）以制度建设为抓手，促程序规范</w:t>
      </w:r>
    </w:p>
    <w:p>
      <w:pPr>
        <w:spacing w:line="600" w:lineRule="exact"/>
        <w:ind w:firstLine="640"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完善质量管理体系和检测内部工作程序，规范检测程序，确保检测结果真实、准确；完善第三方服务购买以及检测收费管理等制度，确保管理规范；修订绩效考核制度，发挥绩效工资的激励导向作用，调动干职工工作主动性、积极性。</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（三）以能力建设为抓手，促竞争力提升</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以新的资质标准为工作标准，及时购置仪器设备，加大人才引进培训力度，提升检测能力与市场竞争力，力争资质延期在确保既有材料（常规与市政材料）、地基与基础、建筑节能、市政道路资质的基础上，力争申报成功主体资质；加大信息化建设力度，力争所有检测项目全部纳入检测系统，实现从收样到检测委派，到开展检测，到报告审核，到报告出具的全过程信息化。</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（四）以市场营销为抓手，促检测收入确保</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设立营销部门，主动对接中心城区在建项目，确保既有检测市场；积极汇报，争取市局、市站的大力支持，主动对接县市区，开拓新的检测市场；继续加大收费专项行动，班子成员带队主动对接项目，力争检测费用应收尽收。</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default"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九、绩效自评结果拟应用和公开情况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绩效自评结果将在主管单位益阳市住房和城乡建设局门户网站上进行公开。</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default"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十、其他需要说明的情况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无。</w:t>
      </w:r>
    </w:p>
    <w:p>
      <w:pPr>
        <w:numPr>
          <w:ilvl w:val="0"/>
          <w:numId w:val="0"/>
        </w:numPr>
        <w:jc w:val="left"/>
        <w:rPr>
          <w:rFonts w:hint="eastAsia" w:asciiTheme="minorEastAsia" w:hAnsiTheme="minorEastAsia" w:cstheme="minorEastAsia"/>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1、部门整体支出绩效评价基础数据表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2、部门整体支出绩效自评表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3、项目支出绩效自评表（无）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4、政府性基金预算支出情况表（无）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5、国有资本经营预算支出情况表（无）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6、社会保险基金预算支出情况表（无）</w:t>
      </w:r>
    </w:p>
    <w:sectPr>
      <w:pgSz w:w="11906" w:h="16838"/>
      <w:pgMar w:top="1814" w:right="1247"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MTU3MThiOGFlMDQ3YjZhOGEzNmFkOWZlYTgxMDAifQ=="/>
  </w:docVars>
  <w:rsids>
    <w:rsidRoot w:val="00000000"/>
    <w:rsid w:val="010E746A"/>
    <w:rsid w:val="01820E2B"/>
    <w:rsid w:val="03553EE4"/>
    <w:rsid w:val="03736B5F"/>
    <w:rsid w:val="03C30C20"/>
    <w:rsid w:val="05A01219"/>
    <w:rsid w:val="06180E71"/>
    <w:rsid w:val="07675464"/>
    <w:rsid w:val="089E3D0A"/>
    <w:rsid w:val="08E4160F"/>
    <w:rsid w:val="0BD0037E"/>
    <w:rsid w:val="0D7C4C6B"/>
    <w:rsid w:val="0E220DDF"/>
    <w:rsid w:val="0E6C7538"/>
    <w:rsid w:val="0EF645A0"/>
    <w:rsid w:val="0F2C7DA2"/>
    <w:rsid w:val="10E03C50"/>
    <w:rsid w:val="116E2B13"/>
    <w:rsid w:val="11B37CD1"/>
    <w:rsid w:val="165C118C"/>
    <w:rsid w:val="167F131F"/>
    <w:rsid w:val="177676C3"/>
    <w:rsid w:val="181C11CF"/>
    <w:rsid w:val="186E74A5"/>
    <w:rsid w:val="189A167F"/>
    <w:rsid w:val="18B403C4"/>
    <w:rsid w:val="19B532C2"/>
    <w:rsid w:val="19CA0B03"/>
    <w:rsid w:val="1A904DDC"/>
    <w:rsid w:val="1B3351EF"/>
    <w:rsid w:val="1EDB10BC"/>
    <w:rsid w:val="2205442B"/>
    <w:rsid w:val="2367336D"/>
    <w:rsid w:val="24724271"/>
    <w:rsid w:val="24A106B2"/>
    <w:rsid w:val="24A11809"/>
    <w:rsid w:val="25134CB6"/>
    <w:rsid w:val="2527206D"/>
    <w:rsid w:val="26AB4127"/>
    <w:rsid w:val="27483067"/>
    <w:rsid w:val="27DD6EF8"/>
    <w:rsid w:val="280451E0"/>
    <w:rsid w:val="28135E1F"/>
    <w:rsid w:val="29270AE8"/>
    <w:rsid w:val="2944198E"/>
    <w:rsid w:val="296A19BB"/>
    <w:rsid w:val="29F574D6"/>
    <w:rsid w:val="2A842608"/>
    <w:rsid w:val="2A8B2582"/>
    <w:rsid w:val="2B411ED6"/>
    <w:rsid w:val="2C143C3C"/>
    <w:rsid w:val="2D2F685F"/>
    <w:rsid w:val="2DC57639"/>
    <w:rsid w:val="2E2F36D3"/>
    <w:rsid w:val="2EFA19F8"/>
    <w:rsid w:val="30A752A2"/>
    <w:rsid w:val="30B23071"/>
    <w:rsid w:val="3142311E"/>
    <w:rsid w:val="316118F5"/>
    <w:rsid w:val="32633217"/>
    <w:rsid w:val="32B706E4"/>
    <w:rsid w:val="340A525F"/>
    <w:rsid w:val="349D0E96"/>
    <w:rsid w:val="35494B7A"/>
    <w:rsid w:val="35720767"/>
    <w:rsid w:val="38233D50"/>
    <w:rsid w:val="38593C76"/>
    <w:rsid w:val="395104A1"/>
    <w:rsid w:val="3B9052B1"/>
    <w:rsid w:val="3C6214F2"/>
    <w:rsid w:val="3C9954F5"/>
    <w:rsid w:val="3EA42E21"/>
    <w:rsid w:val="41272213"/>
    <w:rsid w:val="412753E6"/>
    <w:rsid w:val="43CA3610"/>
    <w:rsid w:val="43F36B39"/>
    <w:rsid w:val="446948F1"/>
    <w:rsid w:val="44EB524E"/>
    <w:rsid w:val="45017C5C"/>
    <w:rsid w:val="45C13AB8"/>
    <w:rsid w:val="45DE3BE8"/>
    <w:rsid w:val="47B72C38"/>
    <w:rsid w:val="485F238C"/>
    <w:rsid w:val="49E36EF3"/>
    <w:rsid w:val="4BC0573E"/>
    <w:rsid w:val="4E3B6D2F"/>
    <w:rsid w:val="4F023FA0"/>
    <w:rsid w:val="4FAD0615"/>
    <w:rsid w:val="4FF463BD"/>
    <w:rsid w:val="50D53705"/>
    <w:rsid w:val="52553F5D"/>
    <w:rsid w:val="5829466B"/>
    <w:rsid w:val="58F06F37"/>
    <w:rsid w:val="59D32AE1"/>
    <w:rsid w:val="5AEF7149"/>
    <w:rsid w:val="5B0E7F2A"/>
    <w:rsid w:val="5D69550A"/>
    <w:rsid w:val="5DEB5F1F"/>
    <w:rsid w:val="5E996110"/>
    <w:rsid w:val="5F7A2B30"/>
    <w:rsid w:val="5F9F3465"/>
    <w:rsid w:val="60490D19"/>
    <w:rsid w:val="604C544F"/>
    <w:rsid w:val="61A905CB"/>
    <w:rsid w:val="62F33D82"/>
    <w:rsid w:val="65AB6DB8"/>
    <w:rsid w:val="66700692"/>
    <w:rsid w:val="6A8563F9"/>
    <w:rsid w:val="6AA66AB5"/>
    <w:rsid w:val="6AAB181E"/>
    <w:rsid w:val="6AE03E35"/>
    <w:rsid w:val="6B5B46E4"/>
    <w:rsid w:val="6C265634"/>
    <w:rsid w:val="6CCB0D8C"/>
    <w:rsid w:val="6DFE750A"/>
    <w:rsid w:val="701D28B0"/>
    <w:rsid w:val="705D4A5A"/>
    <w:rsid w:val="70A73F27"/>
    <w:rsid w:val="725F0F5E"/>
    <w:rsid w:val="73A038AB"/>
    <w:rsid w:val="73FB1226"/>
    <w:rsid w:val="744C57AB"/>
    <w:rsid w:val="74583EB6"/>
    <w:rsid w:val="747D56CB"/>
    <w:rsid w:val="7518560D"/>
    <w:rsid w:val="75D868D4"/>
    <w:rsid w:val="76415043"/>
    <w:rsid w:val="769C0D96"/>
    <w:rsid w:val="776E0924"/>
    <w:rsid w:val="77965CB3"/>
    <w:rsid w:val="78C80A02"/>
    <w:rsid w:val="7A034450"/>
    <w:rsid w:val="7AEC5358"/>
    <w:rsid w:val="7CFC51D5"/>
    <w:rsid w:val="7D0564DB"/>
    <w:rsid w:val="7D20578D"/>
    <w:rsid w:val="7DD70759"/>
    <w:rsid w:val="7EB87F37"/>
    <w:rsid w:val="7EC42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2024-05-07T08:27:00Z</dcterms:created>
  <dc:creator>Administrator</dc:creator>
  <cp:lastModifiedBy>萧潇</cp:lastModifiedBy>
  <cp:lastPrinted>2024-05-07T08:39:00Z</cp:lastPrinted>
  <dcterms:modified xsi:type="dcterms:W3CDTF">2024-05-21T01:33:37Z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4F3EA23734604AE8AE9684032D1DD62A_13</vt:lpwstr>
  </property>
</Properties>
</file>