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ˎ̥" w:eastAsia="仿宋_GB2312"/>
          <w:color w:val="000000" w:themeColor="text1"/>
          <w:sz w:val="32"/>
          <w:szCs w:val="32"/>
          <w14:textFill>
            <w14:solidFill>
              <w14:schemeClr w14:val="tx1"/>
            </w14:solidFill>
          </w14:textFill>
        </w:rPr>
      </w:pPr>
    </w:p>
    <w:p>
      <w:pPr>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bookmarkStart w:id="3" w:name="_GoBack"/>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益阳市城市二次供水管理办法</w:t>
      </w:r>
    </w:p>
    <w:p>
      <w:pPr>
        <w:jc w:val="center"/>
        <w:rPr>
          <w:rFonts w:ascii="方正小标宋简体" w:hAnsi="方正小标宋简体" w:eastAsia="方正小标宋简体" w:cs="方正小标宋简体"/>
          <w:bCs/>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Cs/>
          <w:color w:val="000000" w:themeColor="text1"/>
          <w:sz w:val="44"/>
          <w:szCs w:val="44"/>
          <w14:textFill>
            <w14:solidFill>
              <w14:schemeClr w14:val="tx1"/>
            </w14:solidFill>
          </w14:textFill>
        </w:rPr>
        <w:t>（修订版征求意见稿）</w:t>
      </w:r>
    </w:p>
    <w:bookmarkEnd w:id="3"/>
    <w:p>
      <w:pPr>
        <w:spacing w:line="640" w:lineRule="exact"/>
        <w:jc w:val="center"/>
        <w:rPr>
          <w:rFonts w:hint="eastAsia" w:ascii="仿宋_GB2312" w:hAnsi="ˎ̥" w:eastAsia="仿宋_GB2312" w:cs="宋体"/>
          <w:color w:val="000000" w:themeColor="text1"/>
          <w:kern w:val="0"/>
          <w:sz w:val="32"/>
          <w:szCs w:val="32"/>
          <w14:textFill>
            <w14:solidFill>
              <w14:schemeClr w14:val="tx1"/>
            </w14:solidFill>
          </w14:textFill>
        </w:rPr>
      </w:pPr>
    </w:p>
    <w:p>
      <w:pPr>
        <w:spacing w:line="640" w:lineRule="exact"/>
        <w:jc w:val="center"/>
        <w:rPr>
          <w:rFonts w:hint="eastAsia"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第一章    总  则</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kern w:val="0"/>
          <w:sz w:val="32"/>
          <w:szCs w:val="32"/>
        </w:rPr>
        <w:t>第一条</w:t>
      </w:r>
      <w:r>
        <w:rPr>
          <w:rFonts w:ascii="Times New Roman" w:hAnsi="Times New Roman" w:eastAsia="仿宋" w:cs="Times New Roman"/>
          <w:kern w:val="0"/>
          <w:sz w:val="32"/>
          <w:szCs w:val="32"/>
        </w:rPr>
        <w:t xml:space="preserve">  为加强城市二次供水管理，保证二次供水的水质、水压和供水安全，保障公众身体健康，根据《城市供水条例》（国务院令第158号）、《湖南省实施〈城市供水条例〉办法》（湖南省人民政府令第160号）、住房城乡建设部等四部委《关于加强和改进城镇居民二次供水设施建设与管理确保水质安全的通知》（建城〔2015〕31号）、湖南省住房和城乡建设厅《关于进一步加强城镇二次供水设施建设改造管理的通知》（湘建城〔2020〕180号）等规定，结合我市实际，制定本办法。</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kern w:val="0"/>
          <w:sz w:val="32"/>
          <w:szCs w:val="32"/>
        </w:rPr>
        <w:t xml:space="preserve">第二条  </w:t>
      </w:r>
      <w:r>
        <w:rPr>
          <w:rFonts w:ascii="Times New Roman" w:hAnsi="Times New Roman" w:eastAsia="仿宋" w:cs="Times New Roman"/>
          <w:kern w:val="0"/>
          <w:sz w:val="32"/>
          <w:szCs w:val="32"/>
        </w:rPr>
        <w:t>本市城市规划区公共供水区域内二次供水设施建设、运行维护和水质安全及相关监督管理活动，适用本办法。</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本办法所称二次供水，是指当民用与工业建筑生活饮水对水压、水量的要求超出城镇公共供水管网能力时通过储存、加压等设施经管道供给用户的供水方式。</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本办法所称二次供水设施，是指二次供水设置的进水管、水箱（池）、水泵、阀门、电控装置、消毒设备、压力水容器、出水管道等设施。</w:t>
      </w:r>
    </w:p>
    <w:p>
      <w:pPr>
        <w:spacing w:line="600" w:lineRule="exact"/>
        <w:ind w:firstLine="643" w:firstLineChars="200"/>
        <w:rPr>
          <w:rFonts w:ascii="Times New Roman" w:hAnsi="Times New Roman" w:eastAsia="仿宋" w:cs="Times New Roman"/>
          <w:bCs/>
          <w:kern w:val="0"/>
          <w:sz w:val="32"/>
          <w:szCs w:val="32"/>
        </w:rPr>
      </w:pPr>
      <w:r>
        <w:rPr>
          <w:rFonts w:hint="eastAsia" w:ascii="Times New Roman" w:hAnsi="Times New Roman" w:eastAsia="仿宋" w:cs="Times New Roman"/>
          <w:b/>
          <w:bCs/>
          <w:kern w:val="0"/>
          <w:sz w:val="32"/>
          <w:szCs w:val="32"/>
        </w:rPr>
        <w:t xml:space="preserve">第三条  </w:t>
      </w:r>
      <w:r>
        <w:rPr>
          <w:rFonts w:ascii="Times New Roman" w:hAnsi="Times New Roman" w:eastAsia="仿宋" w:cs="Times New Roman"/>
          <w:bCs/>
          <w:kern w:val="0"/>
          <w:sz w:val="32"/>
          <w:szCs w:val="32"/>
        </w:rPr>
        <w:t>市、县人民政府应当将城市二次供水纳入城市规划，</w:t>
      </w:r>
      <w:r>
        <w:rPr>
          <w:rFonts w:ascii="Times New Roman" w:hAnsi="Times New Roman" w:eastAsia="仿宋" w:cs="Times New Roman"/>
          <w:sz w:val="32"/>
          <w:szCs w:val="32"/>
          <w:shd w:val="clear" w:color="auto" w:fill="CCE8CF" w:themeFill="background1"/>
        </w:rPr>
        <w:t>统筹考虑管网压力平稳均衡，确保城市供水安全。</w:t>
      </w:r>
    </w:p>
    <w:p>
      <w:pPr>
        <w:spacing w:line="600" w:lineRule="exact"/>
        <w:ind w:firstLine="640" w:firstLineChars="200"/>
        <w:rPr>
          <w:rFonts w:ascii="Times New Roman" w:hAnsi="Times New Roman" w:eastAsia="仿宋" w:cs="Times New Roman"/>
          <w:sz w:val="32"/>
          <w:szCs w:val="32"/>
          <w:shd w:val="clear" w:color="auto" w:fill="CCE8CF" w:themeFill="background1"/>
        </w:rPr>
      </w:pPr>
      <w:r>
        <w:rPr>
          <w:rFonts w:ascii="Times New Roman" w:hAnsi="Times New Roman" w:eastAsia="仿宋" w:cs="Times New Roman"/>
          <w:kern w:val="0"/>
          <w:sz w:val="32"/>
          <w:szCs w:val="32"/>
        </w:rPr>
        <w:t>住房城乡建设部门</w:t>
      </w:r>
      <w:r>
        <w:rPr>
          <w:rFonts w:ascii="Times New Roman" w:hAnsi="Times New Roman" w:eastAsia="仿宋" w:cs="Times New Roman"/>
          <w:bCs/>
          <w:kern w:val="0"/>
          <w:sz w:val="32"/>
          <w:szCs w:val="32"/>
        </w:rPr>
        <w:t>是</w:t>
      </w:r>
      <w:r>
        <w:rPr>
          <w:rFonts w:ascii="Times New Roman" w:hAnsi="Times New Roman" w:eastAsia="仿宋" w:cs="Times New Roman"/>
          <w:sz w:val="32"/>
          <w:szCs w:val="32"/>
          <w:shd w:val="clear" w:color="auto" w:fill="CCE8CF" w:themeFill="background1"/>
        </w:rPr>
        <w:t>本市城市规划区二次供水行政主管部门，负责二次供水</w:t>
      </w:r>
      <w:bookmarkStart w:id="0" w:name="_Hlk68349808"/>
      <w:r>
        <w:rPr>
          <w:rFonts w:ascii="Times New Roman" w:hAnsi="Times New Roman" w:eastAsia="仿宋" w:cs="Times New Roman"/>
          <w:sz w:val="32"/>
          <w:szCs w:val="32"/>
          <w:shd w:val="clear" w:color="auto" w:fill="CCE8CF" w:themeFill="background1"/>
        </w:rPr>
        <w:t>建设</w:t>
      </w:r>
      <w:r>
        <w:rPr>
          <w:rFonts w:hint="eastAsia" w:ascii="Times New Roman" w:hAnsi="Times New Roman" w:eastAsia="仿宋" w:cs="Times New Roman"/>
          <w:sz w:val="32"/>
          <w:szCs w:val="32"/>
          <w:shd w:val="clear" w:color="auto" w:fill="CCE8CF" w:themeFill="background1"/>
        </w:rPr>
        <w:t>的</w:t>
      </w:r>
      <w:r>
        <w:rPr>
          <w:rFonts w:ascii="Times New Roman" w:hAnsi="Times New Roman" w:eastAsia="仿宋" w:cs="Times New Roman"/>
          <w:sz w:val="32"/>
          <w:szCs w:val="32"/>
          <w:shd w:val="clear" w:color="auto" w:fill="CCE8CF" w:themeFill="background1"/>
        </w:rPr>
        <w:t>设计审查、验收、运营维护、新技术和材料设备的</w:t>
      </w:r>
      <w:bookmarkEnd w:id="0"/>
      <w:r>
        <w:rPr>
          <w:rFonts w:ascii="Times New Roman" w:hAnsi="Times New Roman" w:eastAsia="仿宋" w:cs="Times New Roman"/>
          <w:sz w:val="32"/>
          <w:szCs w:val="32"/>
          <w:shd w:val="clear" w:color="auto" w:fill="CCE8CF" w:themeFill="background1"/>
        </w:rPr>
        <w:t>监督管理工作。</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卫生健康部门负责二次供水的水质监测和卫生监督工作。水质监测检验由其同级疾病预防控制中心负责。</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发展改革部门负责核准和制定二次供水设施运行维护收费标准。</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公安部门会同住房城乡建设部门指导监督二次供水企业严格执行治安保卫有关法律法规和标准规范，落实治安防范主体责任。</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财政、自然和资源规划、生态环境、应急、城管执法、市场监管等部门等部门按照职责分工做好城市二次供水相关工作。</w:t>
      </w:r>
    </w:p>
    <w:p>
      <w:pPr>
        <w:spacing w:line="600" w:lineRule="exact"/>
        <w:jc w:val="center"/>
        <w:rPr>
          <w:rFonts w:ascii="仿宋" w:hAnsi="仿宋" w:eastAsia="仿宋" w:cs="宋体"/>
          <w:kern w:val="0"/>
          <w:sz w:val="32"/>
          <w:szCs w:val="32"/>
        </w:rPr>
      </w:pPr>
    </w:p>
    <w:p>
      <w:pPr>
        <w:spacing w:line="640" w:lineRule="exact"/>
        <w:jc w:val="center"/>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第二章    二次供水设施建设与</w:t>
      </w:r>
      <w:r>
        <w:rPr>
          <w:rFonts w:ascii="黑体" w:hAnsi="黑体" w:eastAsia="黑体" w:cs="宋体"/>
          <w:color w:val="000000" w:themeColor="text1"/>
          <w:kern w:val="0"/>
          <w:sz w:val="32"/>
          <w:szCs w:val="32"/>
          <w14:textFill>
            <w14:solidFill>
              <w14:schemeClr w14:val="tx1"/>
            </w14:solidFill>
          </w14:textFill>
        </w:rPr>
        <w:t>更新改造</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bCs/>
          <w:kern w:val="0"/>
          <w:sz w:val="32"/>
          <w:szCs w:val="32"/>
        </w:rPr>
        <w:t xml:space="preserve">第四条  </w:t>
      </w:r>
      <w:r>
        <w:rPr>
          <w:rFonts w:ascii="Times New Roman" w:hAnsi="Times New Roman" w:eastAsia="仿宋" w:cs="Times New Roman"/>
          <w:kern w:val="0"/>
          <w:sz w:val="32"/>
          <w:szCs w:val="32"/>
        </w:rPr>
        <w:t>新建、改建、扩建住宅和公共建筑对水压要求超过公共供水管网正常压力时，建设单位应当配套建设二次供水设施。          二次供水设施应当与主体工程同时设计、同时施工、同时验收交付使用。</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二次供水设施的工程建设投资应当包括在建设工程项目总造价中，由建设单位承担。</w:t>
      </w:r>
    </w:p>
    <w:p>
      <w:pPr>
        <w:spacing w:line="600" w:lineRule="exact"/>
        <w:ind w:firstLine="643" w:firstLineChars="200"/>
        <w:rPr>
          <w:rFonts w:ascii="Times New Roman" w:hAnsi="Times New Roman" w:eastAsia="仿宋" w:cs="Times New Roman"/>
          <w:sz w:val="32"/>
          <w:szCs w:val="32"/>
          <w:shd w:val="clear" w:color="auto" w:fill="FFFF00"/>
        </w:rPr>
      </w:pPr>
      <w:r>
        <w:rPr>
          <w:rFonts w:ascii="Times New Roman" w:hAnsi="Times New Roman" w:eastAsia="仿宋" w:cs="Times New Roman"/>
          <w:b/>
          <w:bCs/>
          <w:kern w:val="0"/>
          <w:sz w:val="32"/>
          <w:szCs w:val="32"/>
        </w:rPr>
        <w:t xml:space="preserve">第五条  </w:t>
      </w:r>
      <w:r>
        <w:rPr>
          <w:rFonts w:ascii="Times New Roman" w:hAnsi="Times New Roman" w:eastAsia="仿宋" w:cs="Times New Roman"/>
          <w:kern w:val="0"/>
          <w:sz w:val="32"/>
          <w:szCs w:val="32"/>
        </w:rPr>
        <w:t>新建、改建、</w:t>
      </w:r>
      <w:r>
        <w:rPr>
          <w:rFonts w:ascii="Times New Roman" w:hAnsi="Times New Roman" w:eastAsia="仿宋" w:cs="Times New Roman"/>
          <w:sz w:val="32"/>
          <w:szCs w:val="32"/>
        </w:rPr>
        <w:t>扩建二次供水设施的设计、施工、验收和运维管理环节的技术要求应遵守国家有关规定和二次供水设施卫生规范，按照《湖南省城镇二次供水设施技术标准》（DBJ43/T353-2020，以下简称（《技术标准》）执行。</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sz w:val="32"/>
          <w:szCs w:val="32"/>
        </w:rPr>
        <w:t>本办法实施前尚未移交业主使用的已建二次供水设施，由建设单位按《技术标准》要求整改并经验收合格后方可交付使用。</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bCs/>
          <w:kern w:val="0"/>
          <w:sz w:val="32"/>
          <w:szCs w:val="32"/>
        </w:rPr>
        <w:t>第六条</w:t>
      </w:r>
      <w:r>
        <w:rPr>
          <w:rFonts w:ascii="Times New Roman" w:hAnsi="Times New Roman" w:eastAsia="仿宋" w:cs="Times New Roman"/>
          <w:kern w:val="0"/>
          <w:sz w:val="32"/>
          <w:szCs w:val="32"/>
        </w:rPr>
        <w:t xml:space="preserve">  对于在用的居民二次供水设施，住房城乡建设部门应当会同卫生健康、公安等部门全面排查；对不符合技术、卫生、安全防范要求的或者老旧落后的，应当限期整改。</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在用的居民二次供水设施所需更新改造费用，</w:t>
      </w:r>
      <w:r>
        <w:rPr>
          <w:rFonts w:ascii="Times New Roman" w:hAnsi="Times New Roman" w:eastAsia="仿宋" w:cs="Times New Roman"/>
          <w:sz w:val="32"/>
          <w:szCs w:val="32"/>
        </w:rPr>
        <w:t>经业主依法表决同意，可根据我市房屋共用部位共用设施设备维修资金管理规定，在本居民小区业主共有的房屋共用部位共用设施设备维修资金中列支。</w:t>
      </w:r>
      <w:r>
        <w:rPr>
          <w:rFonts w:ascii="Times New Roman" w:hAnsi="Times New Roman" w:eastAsia="仿宋" w:cs="Times New Roman"/>
          <w:kern w:val="0"/>
          <w:sz w:val="32"/>
          <w:szCs w:val="32"/>
        </w:rPr>
        <w:t>对于国有企业提供供水服务的职工家属区的二次供水设施的改造，根据国家有关剥离国有企业办社会职能的要求落实改造费用；对于“无物业、无业主委员会、无管理单位”的老旧居民小区，政府和供水企业可适当补贴；非居民小区的改造费用由二次供水设施所有权人承担。</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bCs/>
          <w:sz w:val="32"/>
          <w:szCs w:val="32"/>
        </w:rPr>
        <w:t>第七条</w:t>
      </w:r>
      <w:r>
        <w:rPr>
          <w:rFonts w:ascii="Times New Roman" w:hAnsi="Times New Roman" w:eastAsia="仿宋" w:cs="Times New Roman"/>
          <w:sz w:val="32"/>
          <w:szCs w:val="32"/>
        </w:rPr>
        <w:t xml:space="preserve">  </w:t>
      </w:r>
      <w:r>
        <w:rPr>
          <w:rFonts w:ascii="Times New Roman" w:hAnsi="Times New Roman" w:eastAsia="仿宋" w:cs="Times New Roman"/>
          <w:kern w:val="0"/>
          <w:sz w:val="32"/>
          <w:szCs w:val="32"/>
        </w:rPr>
        <w:t>住房城乡建设主管部门和供水企业参加二次供水设施的房屋建筑和市政基础设施工程的初步设计评审和竣工验收，施工期间指导督促建设单位严格执行相关标准规范，落实技术要求。</w:t>
      </w:r>
    </w:p>
    <w:p>
      <w:pPr>
        <w:spacing w:line="600" w:lineRule="exact"/>
        <w:ind w:firstLine="643" w:firstLineChars="200"/>
        <w:rPr>
          <w:rFonts w:ascii="Times New Roman" w:hAnsi="Times New Roman" w:eastAsia="仿宋" w:cs="Times New Roman"/>
          <w:sz w:val="32"/>
          <w:szCs w:val="32"/>
        </w:rPr>
      </w:pPr>
      <w:r>
        <w:rPr>
          <w:rFonts w:ascii="Times New Roman" w:hAnsi="Times New Roman" w:eastAsia="仿宋" w:cs="Times New Roman"/>
          <w:b/>
          <w:bCs/>
          <w:kern w:val="0"/>
          <w:sz w:val="32"/>
          <w:szCs w:val="32"/>
        </w:rPr>
        <w:t xml:space="preserve">第八条  </w:t>
      </w:r>
      <w:r>
        <w:rPr>
          <w:rFonts w:ascii="Times New Roman" w:hAnsi="Times New Roman" w:eastAsia="仿宋" w:cs="Times New Roman"/>
          <w:kern w:val="0"/>
          <w:sz w:val="32"/>
          <w:szCs w:val="32"/>
        </w:rPr>
        <w:t>新建或者更新改造二次供水设施的建设单位，应当将二次供</w:t>
      </w:r>
      <w:r>
        <w:rPr>
          <w:rFonts w:ascii="Times New Roman" w:hAnsi="Times New Roman" w:eastAsia="仿宋" w:cs="Times New Roman"/>
          <w:sz w:val="32"/>
          <w:szCs w:val="32"/>
        </w:rPr>
        <w:t>水设施建设方案报住房城乡建设主管部门审查，审查通过后方可进行施工建设。</w:t>
      </w:r>
    </w:p>
    <w:p>
      <w:pPr>
        <w:pStyle w:val="5"/>
        <w:shd w:val="clear" w:color="auto" w:fill="FFFFFF"/>
        <w:spacing w:before="0" w:beforeAutospacing="0" w:after="0" w:afterAutospacing="0" w:line="600" w:lineRule="exact"/>
        <w:ind w:firstLine="640" w:firstLineChars="200"/>
        <w:jc w:val="both"/>
        <w:rPr>
          <w:rFonts w:ascii="Times New Roman" w:hAnsi="Times New Roman" w:eastAsia="仿宋" w:cs="Times New Roman"/>
          <w:kern w:val="2"/>
          <w:sz w:val="32"/>
          <w:szCs w:val="32"/>
        </w:rPr>
      </w:pPr>
      <w:r>
        <w:rPr>
          <w:rFonts w:ascii="Times New Roman" w:hAnsi="Times New Roman" w:eastAsia="仿宋" w:cs="Times New Roman"/>
          <w:kern w:val="2"/>
          <w:sz w:val="32"/>
          <w:szCs w:val="32"/>
        </w:rPr>
        <w:t>住房城乡建设主管部门在审查二次供水设施方案时，应当有城市供水企业对该项目的技术审核意见。</w:t>
      </w:r>
    </w:p>
    <w:p>
      <w:pPr>
        <w:pStyle w:val="5"/>
        <w:shd w:val="clear" w:color="auto" w:fill="FFFFFF"/>
        <w:spacing w:before="0" w:beforeAutospacing="0" w:after="0" w:afterAutospacing="0" w:line="600" w:lineRule="exact"/>
        <w:ind w:firstLine="640" w:firstLineChars="200"/>
        <w:jc w:val="both"/>
        <w:rPr>
          <w:rFonts w:ascii="Times New Roman" w:hAnsi="Times New Roman" w:eastAsia="仿宋" w:cs="Times New Roman"/>
          <w:kern w:val="2"/>
          <w:sz w:val="32"/>
          <w:szCs w:val="32"/>
        </w:rPr>
      </w:pPr>
      <w:r>
        <w:rPr>
          <w:rFonts w:ascii="Times New Roman" w:hAnsi="Times New Roman" w:eastAsia="仿宋" w:cs="Times New Roman"/>
          <w:kern w:val="2"/>
          <w:sz w:val="32"/>
          <w:szCs w:val="32"/>
        </w:rPr>
        <w:t>二次供水工程竣工后，建设单位必须按照规定组织有住房城乡建设主管部门、供水企业参与的验收。验收合格取得二次供水设施验收合格证明和二次供水卫生许可证后，方可投入使用；验收不合格的按《技术标准》及相关规范进行整改。未经验收或者验收不合格的，不得投入使用。</w:t>
      </w:r>
    </w:p>
    <w:p>
      <w:pPr>
        <w:pStyle w:val="5"/>
        <w:shd w:val="clear" w:color="auto" w:fill="FFFFFF"/>
        <w:spacing w:before="0" w:beforeAutospacing="0" w:after="0" w:afterAutospacing="0" w:line="600" w:lineRule="exact"/>
        <w:ind w:firstLine="640" w:firstLineChars="200"/>
        <w:jc w:val="both"/>
        <w:rPr>
          <w:rFonts w:ascii="Times New Roman" w:hAnsi="Times New Roman" w:eastAsia="仿宋" w:cs="Times New Roman"/>
          <w:kern w:val="2"/>
          <w:sz w:val="32"/>
          <w:szCs w:val="32"/>
        </w:rPr>
      </w:pPr>
      <w:r>
        <w:rPr>
          <w:rFonts w:ascii="Times New Roman" w:hAnsi="Times New Roman" w:eastAsia="仿宋" w:cs="Times New Roman"/>
          <w:sz w:val="32"/>
          <w:szCs w:val="32"/>
        </w:rPr>
        <w:t>禁止擅自将自建设施供水管网系统与城市公共供水管网系统连接。</w:t>
      </w:r>
    </w:p>
    <w:p>
      <w:pPr>
        <w:spacing w:line="600" w:lineRule="exact"/>
        <w:ind w:firstLine="482" w:firstLineChars="150"/>
        <w:rPr>
          <w:rFonts w:ascii="Times New Roman" w:hAnsi="Times New Roman" w:eastAsia="仿宋" w:cs="Times New Roman"/>
          <w:kern w:val="0"/>
          <w:sz w:val="32"/>
          <w:szCs w:val="32"/>
        </w:rPr>
      </w:pPr>
      <w:r>
        <w:rPr>
          <w:rFonts w:ascii="Times New Roman" w:hAnsi="Times New Roman" w:eastAsia="仿宋" w:cs="Times New Roman"/>
          <w:b/>
          <w:bCs/>
          <w:kern w:val="0"/>
          <w:sz w:val="32"/>
          <w:szCs w:val="32"/>
        </w:rPr>
        <w:t>第九条</w:t>
      </w:r>
      <w:r>
        <w:rPr>
          <w:rFonts w:ascii="Times New Roman" w:hAnsi="Times New Roman" w:eastAsia="仿宋" w:cs="Times New Roman"/>
          <w:kern w:val="0"/>
          <w:sz w:val="32"/>
          <w:szCs w:val="32"/>
        </w:rPr>
        <w:t xml:space="preserve">  二次供水设施的设计、施工和监理，应由具备城市供水工程相应资质的企业承担。</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住房城乡建设、卫生健康、公安、市场监督等部门应当履行对二次供水设施建设的监管责任，督促落实技术、卫生和安全防范等要求，保障施工建设质量。</w:t>
      </w:r>
    </w:p>
    <w:p>
      <w:pPr>
        <w:spacing w:line="600" w:lineRule="exact"/>
        <w:ind w:firstLine="320" w:firstLineChars="100"/>
        <w:rPr>
          <w:rFonts w:ascii="Times New Roman" w:hAnsi="Times New Roman" w:eastAsia="仿宋" w:cs="Times New Roman"/>
          <w:kern w:val="0"/>
          <w:sz w:val="32"/>
          <w:szCs w:val="32"/>
        </w:rPr>
      </w:pPr>
      <w:r>
        <w:rPr>
          <w:rFonts w:ascii="Times New Roman" w:hAnsi="Times New Roman" w:eastAsia="仿宋" w:cs="Times New Roman"/>
          <w:kern w:val="0"/>
          <w:sz w:val="32"/>
          <w:szCs w:val="32"/>
        </w:rPr>
        <w:t xml:space="preserve">  </w:t>
      </w:r>
      <w:r>
        <w:rPr>
          <w:rFonts w:ascii="Times New Roman" w:hAnsi="Times New Roman" w:eastAsia="仿宋" w:cs="Times New Roman"/>
          <w:b/>
          <w:bCs/>
          <w:kern w:val="0"/>
          <w:sz w:val="32"/>
          <w:szCs w:val="32"/>
        </w:rPr>
        <w:t>第十条</w:t>
      </w:r>
      <w:r>
        <w:rPr>
          <w:rFonts w:ascii="Times New Roman" w:hAnsi="Times New Roman" w:eastAsia="仿宋" w:cs="Times New Roman"/>
          <w:kern w:val="0"/>
          <w:sz w:val="32"/>
          <w:szCs w:val="32"/>
        </w:rPr>
        <w:t xml:space="preserve">  二次供水设施建设应当采用符合国家质量、卫生标准</w:t>
      </w:r>
      <w:bookmarkStart w:id="1" w:name="_Hlk68349885"/>
      <w:r>
        <w:rPr>
          <w:rFonts w:ascii="Times New Roman" w:hAnsi="Times New Roman" w:eastAsia="仿宋" w:cs="Times New Roman"/>
          <w:kern w:val="0"/>
          <w:sz w:val="32"/>
          <w:szCs w:val="32"/>
        </w:rPr>
        <w:t>材料设备，材料设备</w:t>
      </w:r>
      <w:bookmarkEnd w:id="1"/>
      <w:r>
        <w:rPr>
          <w:rFonts w:ascii="Times New Roman" w:hAnsi="Times New Roman" w:eastAsia="仿宋" w:cs="Times New Roman"/>
          <w:kern w:val="0"/>
          <w:sz w:val="32"/>
          <w:szCs w:val="32"/>
        </w:rPr>
        <w:t>必须严格遵照</w:t>
      </w:r>
      <w:bookmarkStart w:id="2" w:name="_Hlk68349949"/>
      <w:r>
        <w:rPr>
          <w:rFonts w:ascii="Times New Roman" w:hAnsi="Times New Roman" w:eastAsia="仿宋" w:cs="Times New Roman"/>
          <w:kern w:val="0"/>
          <w:sz w:val="32"/>
          <w:szCs w:val="32"/>
        </w:rPr>
        <w:t>《</w:t>
      </w:r>
      <w:bookmarkEnd w:id="2"/>
      <w:r>
        <w:rPr>
          <w:rFonts w:ascii="Times New Roman" w:hAnsi="Times New Roman" w:eastAsia="仿宋" w:cs="Times New Roman"/>
          <w:kern w:val="0"/>
          <w:sz w:val="32"/>
          <w:szCs w:val="32"/>
        </w:rPr>
        <w:t>湖南省城镇二次供水设施技术标准》的要求选用，不符合《技术标准》的，不得使用。</w:t>
      </w:r>
    </w:p>
    <w:p>
      <w:pPr>
        <w:spacing w:line="600" w:lineRule="exact"/>
        <w:rPr>
          <w:rFonts w:ascii="仿宋" w:hAnsi="仿宋" w:eastAsia="仿宋" w:cs="宋体"/>
          <w:kern w:val="0"/>
          <w:sz w:val="32"/>
          <w:szCs w:val="32"/>
        </w:rPr>
      </w:pPr>
    </w:p>
    <w:p>
      <w:pPr>
        <w:spacing w:line="640" w:lineRule="exact"/>
        <w:jc w:val="center"/>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 xml:space="preserve"> 第三章    二次供水设施运营维护</w:t>
      </w:r>
    </w:p>
    <w:p>
      <w:pPr>
        <w:pStyle w:val="5"/>
        <w:shd w:val="clear" w:color="auto" w:fill="CCE8CF" w:themeFill="background1"/>
        <w:spacing w:before="0" w:beforeAutospacing="0" w:after="0" w:afterAutospacing="0" w:line="600" w:lineRule="exact"/>
        <w:ind w:firstLine="643" w:firstLineChars="200"/>
        <w:jc w:val="both"/>
        <w:rPr>
          <w:rFonts w:ascii="Times New Roman" w:hAnsi="Times New Roman" w:eastAsia="仿宋" w:cs="Times New Roman"/>
          <w:sz w:val="32"/>
          <w:szCs w:val="32"/>
        </w:rPr>
      </w:pPr>
      <w:r>
        <w:rPr>
          <w:rFonts w:ascii="Times New Roman" w:hAnsi="Times New Roman" w:eastAsia="仿宋" w:cs="Times New Roman"/>
          <w:b/>
          <w:bCs/>
          <w:sz w:val="32"/>
          <w:szCs w:val="32"/>
        </w:rPr>
        <w:t xml:space="preserve">第十一条  </w:t>
      </w:r>
      <w:r>
        <w:rPr>
          <w:rFonts w:ascii="Times New Roman" w:hAnsi="Times New Roman" w:eastAsia="仿宋" w:cs="Times New Roman"/>
          <w:sz w:val="32"/>
          <w:szCs w:val="32"/>
        </w:rPr>
        <w:t>二次供水纳入我市城市规划区公共供水区域的服务范围。按照《技术标准》建设、改造的二次供水工程竣工验收后交由供水企业负责运行、维护和管理。二次供水最终用户依据发展改革（价格）行政主管部门审定的收费标准缴纳相关费用。</w:t>
      </w:r>
    </w:p>
    <w:p>
      <w:pPr>
        <w:pStyle w:val="5"/>
        <w:shd w:val="clear" w:color="auto" w:fill="CCE8CF" w:themeFill="background1"/>
        <w:spacing w:before="0" w:beforeAutospacing="0" w:after="0" w:afterAutospacing="0" w:line="600" w:lineRule="exact"/>
        <w:ind w:firstLine="640" w:firstLineChars="200"/>
        <w:jc w:val="both"/>
        <w:rPr>
          <w:rFonts w:ascii="Times New Roman" w:hAnsi="Times New Roman" w:eastAsia="仿宋" w:cs="Times New Roman"/>
          <w:sz w:val="32"/>
          <w:szCs w:val="32"/>
        </w:rPr>
      </w:pPr>
      <w:r>
        <w:rPr>
          <w:rFonts w:ascii="Times New Roman" w:hAnsi="Times New Roman" w:eastAsia="仿宋" w:cs="Times New Roman"/>
          <w:sz w:val="32"/>
          <w:szCs w:val="32"/>
        </w:rPr>
        <w:t>对现有运行的二次供水设施，通过改造后达到《技术标准》的交由供水企业负责运行维护管理。</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kern w:val="0"/>
          <w:sz w:val="32"/>
          <w:szCs w:val="32"/>
        </w:rPr>
        <w:t>物业服务企业可将物业管理区域内的二次供水设施运行维护业务委托给供水企业运行维护。</w:t>
      </w:r>
    </w:p>
    <w:p>
      <w:pPr>
        <w:spacing w:line="600" w:lineRule="exact"/>
        <w:ind w:firstLine="643" w:firstLineChars="200"/>
        <w:rPr>
          <w:rFonts w:ascii="Times New Roman" w:hAnsi="Times New Roman" w:eastAsia="仿宋" w:cs="Times New Roman"/>
          <w:sz w:val="32"/>
          <w:szCs w:val="32"/>
        </w:rPr>
      </w:pPr>
      <w:r>
        <w:rPr>
          <w:rFonts w:ascii="Times New Roman" w:hAnsi="Times New Roman" w:eastAsia="仿宋" w:cs="Times New Roman"/>
          <w:b/>
          <w:kern w:val="0"/>
          <w:sz w:val="32"/>
          <w:szCs w:val="32"/>
        </w:rPr>
        <w:t>第十二条</w:t>
      </w:r>
      <w:r>
        <w:rPr>
          <w:rFonts w:ascii="Times New Roman" w:hAnsi="Times New Roman" w:eastAsia="仿宋" w:cs="Times New Roman"/>
          <w:kern w:val="0"/>
          <w:sz w:val="32"/>
          <w:szCs w:val="32"/>
        </w:rPr>
        <w:t xml:space="preserve">  </w:t>
      </w:r>
      <w:r>
        <w:rPr>
          <w:rFonts w:ascii="Times New Roman" w:hAnsi="Times New Roman" w:eastAsia="仿宋" w:cs="Times New Roman"/>
          <w:sz w:val="32"/>
          <w:szCs w:val="32"/>
        </w:rPr>
        <w:t>供水企业对移交接管后的二次供水设施设备进行专业维护，管理延伸至居民水表，实行一户一智能水表，做到抄表到户、计量到户、服务到户。</w:t>
      </w:r>
    </w:p>
    <w:p>
      <w:pPr>
        <w:spacing w:line="600" w:lineRule="exact"/>
        <w:ind w:firstLine="640" w:firstLineChars="200"/>
        <w:rPr>
          <w:rFonts w:ascii="Times New Roman" w:hAnsi="Times New Roman" w:eastAsia="仿宋" w:cs="Times New Roman"/>
          <w:kern w:val="0"/>
          <w:sz w:val="32"/>
          <w:szCs w:val="32"/>
        </w:rPr>
      </w:pPr>
      <w:r>
        <w:rPr>
          <w:rFonts w:ascii="Times New Roman" w:hAnsi="Times New Roman" w:eastAsia="仿宋" w:cs="Times New Roman"/>
          <w:sz w:val="32"/>
          <w:szCs w:val="32"/>
          <w:shd w:val="clear" w:color="auto" w:fill="CCE8CF" w:themeFill="background1"/>
        </w:rPr>
        <w:t>供水企业应充分利用物联网技术，建立二次供水远程管理控制网络，提高管理效率和服务水平，确保二次供水工程竣工验收移交后正常使用。</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kern w:val="0"/>
          <w:sz w:val="32"/>
          <w:szCs w:val="32"/>
        </w:rPr>
        <w:t xml:space="preserve">第十三条  </w:t>
      </w:r>
      <w:r>
        <w:rPr>
          <w:rFonts w:ascii="Times New Roman" w:hAnsi="Times New Roman" w:eastAsia="仿宋" w:cs="Times New Roman"/>
          <w:kern w:val="0"/>
          <w:sz w:val="32"/>
          <w:szCs w:val="32"/>
        </w:rPr>
        <w:t>二次供水设施委托给供水企业运行维护的，业主或原管理单位应将竣工总平面图、结构设备竣工图、地下管网竣工图、设备的安装使用及维护保养等设施档案及图文资料一并移交给供水企业。</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kern w:val="0"/>
          <w:sz w:val="32"/>
          <w:szCs w:val="32"/>
        </w:rPr>
        <w:t>第十四条</w:t>
      </w:r>
      <w:r>
        <w:rPr>
          <w:rFonts w:ascii="Times New Roman" w:hAnsi="Times New Roman" w:eastAsia="仿宋" w:cs="Times New Roman"/>
          <w:kern w:val="0"/>
          <w:sz w:val="32"/>
          <w:szCs w:val="32"/>
        </w:rPr>
        <w:t xml:space="preserve">  供水企业承接二次供水运行维护业务时，应对二次供水设施设备进行查验。受委托承担二次供水运行维护的供水企业应与委托方签订二次供水服务合同，合同内容应当包括二次供水服务具体事项、服务质量、治安防范措施、服务费用、双方权利义务、二次供水管理用房、合同期限、违约责任等。</w:t>
      </w:r>
    </w:p>
    <w:p>
      <w:pPr>
        <w:spacing w:line="600" w:lineRule="exact"/>
        <w:ind w:firstLine="643" w:firstLineChars="200"/>
        <w:rPr>
          <w:rFonts w:ascii="Times New Roman" w:hAnsi="Times New Roman" w:eastAsia="仿宋" w:cs="Times New Roman"/>
          <w:kern w:val="0"/>
          <w:sz w:val="32"/>
          <w:szCs w:val="32"/>
        </w:rPr>
      </w:pPr>
      <w:r>
        <w:rPr>
          <w:rFonts w:ascii="Times New Roman" w:hAnsi="Times New Roman" w:eastAsia="仿宋" w:cs="Times New Roman"/>
          <w:b/>
          <w:kern w:val="0"/>
          <w:sz w:val="32"/>
          <w:szCs w:val="32"/>
        </w:rPr>
        <w:t>第十五条</w:t>
      </w:r>
      <w:r>
        <w:rPr>
          <w:rFonts w:ascii="Times New Roman" w:hAnsi="Times New Roman" w:eastAsia="仿宋" w:cs="Times New Roman"/>
          <w:kern w:val="0"/>
          <w:sz w:val="32"/>
          <w:szCs w:val="32"/>
        </w:rPr>
        <w:t xml:space="preserve">  发展改革部</w:t>
      </w:r>
      <w:r>
        <w:rPr>
          <w:rFonts w:hint="eastAsia" w:ascii="Times New Roman" w:hAnsi="Times New Roman" w:eastAsia="仿宋" w:cs="Times New Roman"/>
          <w:kern w:val="0"/>
          <w:sz w:val="32"/>
          <w:szCs w:val="32"/>
        </w:rPr>
        <w:t>门</w:t>
      </w:r>
      <w:r>
        <w:rPr>
          <w:rFonts w:ascii="Times New Roman" w:hAnsi="Times New Roman" w:eastAsia="仿宋" w:cs="Times New Roman"/>
          <w:kern w:val="0"/>
          <w:sz w:val="32"/>
          <w:szCs w:val="32"/>
        </w:rPr>
        <w:t>应会同住房城乡建设行政主管部门制定二次供水设施运行维护收费办法，收费标准应包括二次供水设施正常运行、水质安全保障及设施折旧、大修维修等费用。二次供水设施运行电价执行居民用电价格。</w:t>
      </w:r>
    </w:p>
    <w:p>
      <w:pPr>
        <w:spacing w:line="600" w:lineRule="exact"/>
        <w:jc w:val="center"/>
        <w:rPr>
          <w:rFonts w:ascii="仿宋" w:hAnsi="仿宋" w:eastAsia="仿宋" w:cs="宋体"/>
          <w:kern w:val="0"/>
          <w:sz w:val="32"/>
          <w:szCs w:val="32"/>
        </w:rPr>
      </w:pPr>
    </w:p>
    <w:p>
      <w:pPr>
        <w:spacing w:line="640" w:lineRule="exact"/>
        <w:jc w:val="center"/>
        <w:rPr>
          <w:rFonts w:ascii="黑体" w:hAnsi="黑体" w:eastAsia="黑体" w:cs="宋体"/>
          <w:color w:val="000000" w:themeColor="text1"/>
          <w:kern w:val="0"/>
          <w:sz w:val="32"/>
          <w:szCs w:val="32"/>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第四章    二次供水水质安全管理</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 xml:space="preserve">第十六条  </w:t>
      </w:r>
      <w:r>
        <w:rPr>
          <w:rFonts w:hint="eastAsia" w:ascii="仿宋" w:hAnsi="仿宋" w:eastAsia="仿宋" w:cs="宋体"/>
          <w:kern w:val="0"/>
          <w:sz w:val="32"/>
          <w:szCs w:val="32"/>
        </w:rPr>
        <w:t>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严格按照安全运行、卫生健康管理、治安保卫等有关法规和标准规范，建立健全设施维护、清洗消毒、水质检测、持证上岗、档案管理、应急和治安防范等制度。配备专职或兼职安全生产、卫生健康管理、治安保卫人员，强化日常管理，提供优质服务。</w:t>
      </w:r>
    </w:p>
    <w:p>
      <w:pPr>
        <w:spacing w:line="600" w:lineRule="exact"/>
        <w:ind w:firstLine="640" w:firstLineChars="200"/>
        <w:rPr>
          <w:rFonts w:ascii="仿宋" w:hAnsi="仿宋" w:eastAsia="仿宋" w:cs="宋体"/>
          <w:kern w:val="0"/>
          <w:sz w:val="32"/>
          <w:szCs w:val="32"/>
        </w:rPr>
      </w:pPr>
      <w:r>
        <w:rPr>
          <w:rFonts w:hint="eastAsia" w:ascii="仿宋" w:hAnsi="仿宋" w:eastAsia="仿宋" w:cs="宋体"/>
          <w:kern w:val="0"/>
          <w:sz w:val="32"/>
          <w:szCs w:val="32"/>
        </w:rPr>
        <w:t>制定和完善应急处置预案并组织演练，严格落实人防技防物防措施。</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 xml:space="preserve">第十七条  </w:t>
      </w:r>
      <w:r>
        <w:rPr>
          <w:rFonts w:hint="eastAsia" w:ascii="仿宋" w:hAnsi="仿宋" w:eastAsia="仿宋" w:cs="宋体"/>
          <w:kern w:val="0"/>
          <w:sz w:val="32"/>
          <w:szCs w:val="32"/>
        </w:rPr>
        <w:t>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单位应严格执行用水卫生健康管理制度，配备专职或兼职人员负责卫生健康管理工作。直接从事二次供水的人员必须进行健康检查，取得健康合格证后方可上岗工作，并每年进行一次健康检查。</w:t>
      </w:r>
    </w:p>
    <w:p>
      <w:pPr>
        <w:spacing w:line="600" w:lineRule="exact"/>
        <w:ind w:firstLine="640" w:firstLineChars="200"/>
        <w:rPr>
          <w:rFonts w:ascii="仿宋" w:hAnsi="仿宋" w:eastAsia="仿宋" w:cs="宋体"/>
          <w:kern w:val="0"/>
          <w:sz w:val="32"/>
          <w:szCs w:val="32"/>
        </w:rPr>
      </w:pPr>
      <w:r>
        <w:rPr>
          <w:rFonts w:hint="eastAsia" w:ascii="仿宋" w:hAnsi="仿宋" w:eastAsia="仿宋" w:cs="宋体"/>
          <w:kern w:val="0"/>
          <w:sz w:val="32"/>
          <w:szCs w:val="32"/>
        </w:rPr>
        <w:t>凡患有痢疾、伤寒、病毒性肝炎、活动性肺结核、化脓性或渗出性皮肤病及其他有碍饮用水卫生健康的疾病和病原携带者，不得直接从事二次供水工作。</w:t>
      </w:r>
    </w:p>
    <w:p>
      <w:pPr>
        <w:spacing w:line="600" w:lineRule="exact"/>
        <w:ind w:firstLine="320" w:firstLineChars="100"/>
        <w:rPr>
          <w:rFonts w:ascii="仿宋" w:hAnsi="仿宋" w:eastAsia="仿宋" w:cs="宋体"/>
          <w:kern w:val="0"/>
          <w:sz w:val="32"/>
          <w:szCs w:val="32"/>
        </w:rPr>
      </w:pPr>
      <w:r>
        <w:rPr>
          <w:rFonts w:hint="eastAsia" w:ascii="仿宋" w:hAnsi="仿宋" w:eastAsia="仿宋" w:cs="宋体"/>
          <w:kern w:val="0"/>
          <w:sz w:val="32"/>
          <w:szCs w:val="32"/>
        </w:rPr>
        <w:t xml:space="preserve"> 直接从事二次供水的人员未经卫生健康知识培训不得上岗工作。</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第十八条</w:t>
      </w:r>
      <w:r>
        <w:rPr>
          <w:rFonts w:hint="eastAsia" w:ascii="仿宋" w:hAnsi="仿宋" w:eastAsia="仿宋" w:cs="宋体"/>
          <w:kern w:val="0"/>
          <w:sz w:val="32"/>
          <w:szCs w:val="32"/>
        </w:rPr>
        <w:t xml:space="preserve">  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单位应当严格执行二次供水水质管理制度，负责二次供水日常水质自查检验，并履行下列职责：</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建立水质检测、清洗消毒等规范性台账；</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水池或水箱应封盖加锁，并保持二次供水设施周围的环境卫生健康；</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其水池的日常水质每季度一次检测由二次供水单位负责并向用户公示水质检测结果；</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水池至少每年清洗消毒两次，清洗消毒后报住房</w:t>
      </w:r>
      <w:r>
        <w:rPr>
          <w:rFonts w:ascii="仿宋" w:hAnsi="仿宋" w:eastAsia="仿宋" w:cs="宋体"/>
          <w:kern w:val="0"/>
          <w:sz w:val="32"/>
          <w:szCs w:val="32"/>
        </w:rPr>
        <w:t>和城乡建设</w:t>
      </w:r>
      <w:r>
        <w:rPr>
          <w:rFonts w:hint="eastAsia" w:ascii="仿宋" w:hAnsi="仿宋" w:eastAsia="仿宋" w:cs="宋体"/>
          <w:kern w:val="0"/>
          <w:sz w:val="32"/>
          <w:szCs w:val="32"/>
        </w:rPr>
        <w:t>行政主管部门备案，确保水质达标；</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从事清洗消毒单位人员必须取得卫生健康知识培训及体检合格证方可上岗；</w:t>
      </w:r>
    </w:p>
    <w:p>
      <w:pPr>
        <w:pStyle w:val="13"/>
        <w:numPr>
          <w:ilvl w:val="0"/>
          <w:numId w:val="1"/>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当水质受到污染时，二次供水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单位应采取措施，立即停水并告知用户，同时向住房和城乡建设、卫生健康行政主管部门报告；超过24小时不能恢复供水的，应当采取应急供水措施，解决用户基本生活用水。</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 xml:space="preserve">第十九条  </w:t>
      </w:r>
      <w:r>
        <w:rPr>
          <w:rFonts w:hint="eastAsia" w:ascii="仿宋" w:hAnsi="仿宋" w:eastAsia="仿宋" w:cs="宋体"/>
          <w:kern w:val="0"/>
          <w:sz w:val="32"/>
          <w:szCs w:val="32"/>
        </w:rPr>
        <w:t>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当实行不间断供水，并在小区公布维修电话。因工程施工、设备维修等原因确需停止供水或者降压供水的，应当提前24小时通知用户做好储水准备；因发生设备故障或紧急抢修不能提前通知的，应在抢修的同时通知用户；超过24小时不能恢复供水的，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单位应当采取应急供水措施，解决用户基本生活用水，并报告住房和城乡建设行政主管部门。</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第二十条</w:t>
      </w:r>
      <w:r>
        <w:rPr>
          <w:rFonts w:hint="eastAsia" w:ascii="仿宋" w:hAnsi="仿宋" w:eastAsia="仿宋" w:cs="宋体"/>
          <w:kern w:val="0"/>
          <w:sz w:val="32"/>
          <w:szCs w:val="32"/>
        </w:rPr>
        <w:t xml:space="preserve">  禁止从事下列活动：</w:t>
      </w:r>
    </w:p>
    <w:p>
      <w:pPr>
        <w:pStyle w:val="13"/>
        <w:numPr>
          <w:ilvl w:val="0"/>
          <w:numId w:val="2"/>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在二次供水设施的地面和地下的安全保护范围内挖坑取土或者修建建筑物、构筑物等，危害供水设施安全；</w:t>
      </w:r>
    </w:p>
    <w:p>
      <w:pPr>
        <w:pStyle w:val="13"/>
        <w:numPr>
          <w:ilvl w:val="0"/>
          <w:numId w:val="2"/>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擅自改动、拆除、损坏和侵占二次供水设施；</w:t>
      </w:r>
    </w:p>
    <w:p>
      <w:pPr>
        <w:pStyle w:val="13"/>
        <w:numPr>
          <w:ilvl w:val="0"/>
          <w:numId w:val="2"/>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未经许可将二次供水设施与城市供水管网直接连通；</w:t>
      </w:r>
    </w:p>
    <w:p>
      <w:pPr>
        <w:pStyle w:val="13"/>
        <w:numPr>
          <w:ilvl w:val="0"/>
          <w:numId w:val="2"/>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擅自向其他单位或个人转供水。</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第二十一条</w:t>
      </w:r>
      <w:r>
        <w:rPr>
          <w:rFonts w:hint="eastAsia" w:ascii="仿宋" w:hAnsi="仿宋" w:eastAsia="仿宋" w:cs="宋体"/>
          <w:kern w:val="0"/>
          <w:sz w:val="32"/>
          <w:szCs w:val="32"/>
        </w:rPr>
        <w:t xml:space="preserve">  住房城乡建设、卫生健康、公安等行政主管部门应依法对二次供水进行监督检查，二次供水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单位应当积极配合。相关主管部门实施监督检查时，可以采取下列措施：</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进入现场实施检查；</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对供水水质进行抽样检测；</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查阅、复制相关报表、数据、原始记录等材料；</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要求被检查的单位就有关问题作出说明；</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对监测结果不符合卫生健康标准的，应当责令二次供水</w:t>
      </w:r>
      <w:r>
        <w:rPr>
          <w:rFonts w:hint="eastAsia" w:ascii="仿宋" w:hAnsi="仿宋" w:eastAsia="仿宋" w:cs="仿宋"/>
          <w:sz w:val="32"/>
          <w:szCs w:val="32"/>
        </w:rPr>
        <w:t>设施管理</w:t>
      </w:r>
      <w:r>
        <w:rPr>
          <w:rFonts w:hint="eastAsia" w:ascii="仿宋" w:hAnsi="仿宋" w:eastAsia="仿宋" w:cs="宋体"/>
          <w:kern w:val="0"/>
          <w:sz w:val="32"/>
          <w:szCs w:val="32"/>
        </w:rPr>
        <w:t>单位限期整改并依法进行处罚，水质监测和整改结果要向相关业主公布；</w:t>
      </w:r>
    </w:p>
    <w:p>
      <w:pPr>
        <w:pStyle w:val="13"/>
        <w:numPr>
          <w:ilvl w:val="0"/>
          <w:numId w:val="3"/>
        </w:numPr>
        <w:spacing w:line="600" w:lineRule="exact"/>
        <w:ind w:firstLineChars="0"/>
        <w:rPr>
          <w:rFonts w:ascii="仿宋" w:hAnsi="仿宋" w:eastAsia="仿宋" w:cs="宋体"/>
          <w:kern w:val="0"/>
          <w:sz w:val="32"/>
          <w:szCs w:val="32"/>
        </w:rPr>
      </w:pPr>
      <w:r>
        <w:rPr>
          <w:rFonts w:hint="eastAsia" w:ascii="仿宋" w:hAnsi="仿宋" w:eastAsia="仿宋" w:cs="宋体"/>
          <w:kern w:val="0"/>
          <w:sz w:val="32"/>
          <w:szCs w:val="32"/>
        </w:rPr>
        <w:t>纠正违反有关法律、法规和本办法规定的其他行为</w:t>
      </w:r>
    </w:p>
    <w:p>
      <w:pPr>
        <w:spacing w:line="600" w:lineRule="exact"/>
        <w:jc w:val="center"/>
        <w:rPr>
          <w:rFonts w:ascii="仿宋" w:hAnsi="仿宋" w:eastAsia="仿宋" w:cs="宋体"/>
          <w:kern w:val="0"/>
          <w:sz w:val="32"/>
          <w:szCs w:val="32"/>
        </w:rPr>
      </w:pPr>
    </w:p>
    <w:p>
      <w:pPr>
        <w:spacing w:line="600" w:lineRule="exact"/>
        <w:jc w:val="center"/>
        <w:rPr>
          <w:rFonts w:hint="eastAsia" w:ascii="仿宋" w:hAnsi="仿宋" w:eastAsia="仿宋" w:cs="宋体"/>
          <w:b/>
          <w:bCs/>
          <w:kern w:val="0"/>
          <w:sz w:val="32"/>
          <w:szCs w:val="32"/>
        </w:rPr>
      </w:pPr>
      <w:r>
        <w:rPr>
          <w:rFonts w:hint="eastAsia" w:ascii="仿宋" w:hAnsi="仿宋" w:eastAsia="仿宋" w:cs="宋体"/>
          <w:b/>
          <w:bCs/>
          <w:kern w:val="0"/>
          <w:sz w:val="32"/>
          <w:szCs w:val="32"/>
        </w:rPr>
        <w:t>第五章    法律责任</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第二十二条</w:t>
      </w:r>
      <w:r>
        <w:rPr>
          <w:rFonts w:hint="eastAsia" w:ascii="仿宋" w:hAnsi="仿宋" w:eastAsia="仿宋" w:cs="宋体"/>
          <w:kern w:val="0"/>
          <w:sz w:val="32"/>
          <w:szCs w:val="32"/>
        </w:rPr>
        <w:t xml:space="preserve">  违反本办法规定的，住房城乡建设、卫生健康及其他相关行政主管部门按照国家有关法律、法规和规章追究法律责任。</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 xml:space="preserve">第二十三条 </w:t>
      </w:r>
      <w:r>
        <w:rPr>
          <w:rFonts w:hint="eastAsia" w:ascii="仿宋" w:hAnsi="仿宋" w:eastAsia="仿宋" w:cs="宋体"/>
          <w:kern w:val="0"/>
          <w:sz w:val="32"/>
          <w:szCs w:val="32"/>
        </w:rPr>
        <w:t xml:space="preserve"> 二次供水管理部门的工作人员玩忽职守，滥用职权、徇私舞弊的，依法给予行政处分；构成犯罪的，依法追究刑事责任。</w:t>
      </w:r>
    </w:p>
    <w:p>
      <w:pPr>
        <w:spacing w:line="600" w:lineRule="exact"/>
        <w:jc w:val="center"/>
        <w:rPr>
          <w:rFonts w:ascii="仿宋" w:hAnsi="仿宋" w:eastAsia="仿宋" w:cs="宋体"/>
          <w:kern w:val="0"/>
          <w:sz w:val="32"/>
          <w:szCs w:val="32"/>
        </w:rPr>
      </w:pPr>
    </w:p>
    <w:p>
      <w:pPr>
        <w:spacing w:line="600" w:lineRule="exact"/>
        <w:jc w:val="center"/>
        <w:rPr>
          <w:rFonts w:ascii="仿宋" w:hAnsi="仿宋" w:eastAsia="仿宋" w:cs="宋体"/>
          <w:b/>
          <w:kern w:val="0"/>
          <w:sz w:val="32"/>
          <w:szCs w:val="32"/>
        </w:rPr>
      </w:pPr>
      <w:r>
        <w:rPr>
          <w:rFonts w:hint="eastAsia" w:ascii="仿宋" w:hAnsi="仿宋" w:eastAsia="仿宋" w:cs="宋体"/>
          <w:b/>
          <w:kern w:val="0"/>
          <w:sz w:val="32"/>
          <w:szCs w:val="32"/>
        </w:rPr>
        <w:t>第六章   附  则</w:t>
      </w:r>
    </w:p>
    <w:p>
      <w:pPr>
        <w:spacing w:line="600" w:lineRule="exact"/>
        <w:jc w:val="center"/>
        <w:rPr>
          <w:rFonts w:ascii="仿宋" w:hAnsi="仿宋" w:eastAsia="仿宋" w:cs="宋体"/>
          <w:kern w:val="0"/>
          <w:sz w:val="32"/>
          <w:szCs w:val="32"/>
        </w:rPr>
      </w:pP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 xml:space="preserve">第二十四条  </w:t>
      </w:r>
      <w:r>
        <w:rPr>
          <w:rFonts w:hint="eastAsia" w:ascii="仿宋" w:hAnsi="仿宋" w:eastAsia="仿宋" w:cs="宋体"/>
          <w:kern w:val="0"/>
          <w:sz w:val="32"/>
          <w:szCs w:val="32"/>
        </w:rPr>
        <w:t>区县（市）参照本办法执行。</w:t>
      </w:r>
    </w:p>
    <w:p>
      <w:pPr>
        <w:spacing w:line="600" w:lineRule="exact"/>
        <w:ind w:firstLine="643" w:firstLineChars="200"/>
        <w:rPr>
          <w:rFonts w:ascii="仿宋" w:hAnsi="仿宋" w:eastAsia="仿宋" w:cs="宋体"/>
          <w:kern w:val="0"/>
          <w:sz w:val="32"/>
          <w:szCs w:val="32"/>
        </w:rPr>
      </w:pPr>
      <w:r>
        <w:rPr>
          <w:rFonts w:hint="eastAsia" w:ascii="仿宋" w:hAnsi="仿宋" w:eastAsia="仿宋" w:cs="宋体"/>
          <w:b/>
          <w:kern w:val="0"/>
          <w:sz w:val="32"/>
          <w:szCs w:val="32"/>
        </w:rPr>
        <w:t>第二十五条</w:t>
      </w:r>
      <w:r>
        <w:rPr>
          <w:rFonts w:hint="eastAsia" w:ascii="仿宋" w:hAnsi="仿宋" w:eastAsia="仿宋" w:cs="宋体"/>
          <w:kern w:val="0"/>
          <w:sz w:val="32"/>
          <w:szCs w:val="32"/>
        </w:rPr>
        <w:t xml:space="preserve">  本办法自颁布之日起实施。</w:t>
      </w:r>
    </w:p>
    <w:p>
      <w:pPr>
        <w:spacing w:line="600" w:lineRule="exact"/>
        <w:rPr>
          <w:rFonts w:hint="eastAsia" w:ascii="仿宋_GB2312" w:hAnsi="ˎ̥" w:eastAsia="仿宋_GB2312" w:cs="宋体"/>
          <w:kern w:val="0"/>
          <w:sz w:val="32"/>
          <w:szCs w:val="32"/>
        </w:rPr>
      </w:pPr>
    </w:p>
    <w:p>
      <w:pPr>
        <w:spacing w:line="600" w:lineRule="exact"/>
        <w:rPr>
          <w:rFonts w:hint="eastAsia" w:ascii="仿宋_GB2312" w:eastAsia="仿宋_GB2312"/>
          <w:sz w:val="28"/>
          <w:szCs w:val="28"/>
        </w:rPr>
      </w:pPr>
    </w:p>
    <w:sectPr>
      <w:footerReference r:id="rId3" w:type="default"/>
      <w:pgSz w:w="11906" w:h="16838"/>
      <w:pgMar w:top="1701" w:right="1417" w:bottom="1701" w:left="1417" w:header="851" w:footer="1134"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auto"/>
    <w:pitch w:val="default"/>
    <w:sig w:usb0="00000000" w:usb1="00000000" w:usb2="00000010" w:usb3="00000000" w:csb0="00040000" w:csb1="00000000"/>
  </w:font>
  <w:font w:name="ˎ̥">
    <w:altName w:val="仿宋"/>
    <w:panose1 w:val="00000000000000000000"/>
    <w:charset w:val="00"/>
    <w:family w:val="modern"/>
    <w:pitch w:val="default"/>
    <w:sig w:usb0="00000000" w:usb1="00000000" w:usb2="00000000" w:usb3="00000000" w:csb0="0000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Times New Roman" w:hAnsi="Times New Roman" w:cs="Times New Roman"/>
        <w:sz w:val="21"/>
        <w:szCs w:val="21"/>
      </w:rPr>
      <w:id w:val="3315586"/>
    </w:sdtPr>
    <w:sdtEndPr>
      <w:rPr>
        <w:rFonts w:ascii="Times New Roman" w:hAnsi="Times New Roman" w:cs="Times New Roman"/>
        <w:sz w:val="21"/>
        <w:szCs w:val="21"/>
      </w:rPr>
    </w:sdtEndPr>
    <w:sdtContent>
      <w:p>
        <w:pPr>
          <w:pStyle w:val="3"/>
          <w:jc w:val="center"/>
          <w:rPr>
            <w:rFonts w:ascii="Times New Roman" w:hAnsi="Times New Roman" w:cs="Times New Roman"/>
            <w:sz w:val="21"/>
            <w:szCs w:val="21"/>
          </w:rPr>
        </w:pPr>
        <w:r>
          <w:rPr>
            <w:rFonts w:ascii="Times New Roman" w:hAnsi="Times New Roman" w:cs="Times New Roman"/>
            <w:sz w:val="21"/>
            <w:szCs w:val="21"/>
          </w:rPr>
          <w:fldChar w:fldCharType="begin"/>
        </w:r>
        <w:r>
          <w:rPr>
            <w:rFonts w:ascii="Times New Roman" w:hAnsi="Times New Roman" w:cs="Times New Roman"/>
            <w:sz w:val="21"/>
            <w:szCs w:val="21"/>
          </w:rPr>
          <w:instrText xml:space="preserve"> PAGE   \* MERGEFORMAT </w:instrText>
        </w:r>
        <w:r>
          <w:rPr>
            <w:rFonts w:ascii="Times New Roman" w:hAnsi="Times New Roman" w:cs="Times New Roman"/>
            <w:sz w:val="21"/>
            <w:szCs w:val="21"/>
          </w:rPr>
          <w:fldChar w:fldCharType="separate"/>
        </w:r>
        <w:r>
          <w:rPr>
            <w:rFonts w:ascii="Times New Roman" w:hAnsi="Times New Roman" w:cs="Times New Roman"/>
            <w:sz w:val="21"/>
            <w:szCs w:val="21"/>
            <w:lang w:val="zh-CN"/>
          </w:rPr>
          <w:t>2</w:t>
        </w:r>
        <w:r>
          <w:rPr>
            <w:rFonts w:ascii="Times New Roman" w:hAnsi="Times New Roman" w:cs="Times New Roman"/>
            <w:sz w:val="21"/>
            <w:szCs w:val="21"/>
          </w:rPr>
          <w:fldChar w:fldCharType="end"/>
        </w:r>
      </w:p>
    </w:sdtContent>
  </w:sdt>
  <w:p>
    <w:pPr>
      <w:pStyle w:val="3"/>
      <w:rPr>
        <w:rFonts w:ascii="Times New Roman" w:hAnsi="Times New Roman" w:cs="Times New Roman"/>
        <w:sz w:val="21"/>
        <w:szCs w:val="21"/>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176FB2"/>
    <w:multiLevelType w:val="multilevel"/>
    <w:tmpl w:val="1F176FB2"/>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449F5706"/>
    <w:multiLevelType w:val="multilevel"/>
    <w:tmpl w:val="449F5706"/>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72E50EE4"/>
    <w:multiLevelType w:val="multilevel"/>
    <w:tmpl w:val="72E50EE4"/>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719"/>
    <w:rsid w:val="00006654"/>
    <w:rsid w:val="00080BB4"/>
    <w:rsid w:val="00085C52"/>
    <w:rsid w:val="0009378C"/>
    <w:rsid w:val="000A2BF0"/>
    <w:rsid w:val="000A2EBD"/>
    <w:rsid w:val="000A66B1"/>
    <w:rsid w:val="000B3D77"/>
    <w:rsid w:val="000C6301"/>
    <w:rsid w:val="000C6B81"/>
    <w:rsid w:val="001026B1"/>
    <w:rsid w:val="0011002E"/>
    <w:rsid w:val="00110D52"/>
    <w:rsid w:val="00151F90"/>
    <w:rsid w:val="001575F7"/>
    <w:rsid w:val="00163ABE"/>
    <w:rsid w:val="0017399C"/>
    <w:rsid w:val="001747F7"/>
    <w:rsid w:val="001B1669"/>
    <w:rsid w:val="001C2572"/>
    <w:rsid w:val="00207229"/>
    <w:rsid w:val="00235377"/>
    <w:rsid w:val="0029083D"/>
    <w:rsid w:val="002A01B5"/>
    <w:rsid w:val="002A3D7D"/>
    <w:rsid w:val="002B4208"/>
    <w:rsid w:val="002D679C"/>
    <w:rsid w:val="002E454A"/>
    <w:rsid w:val="002E6FDE"/>
    <w:rsid w:val="00307B6A"/>
    <w:rsid w:val="0033185B"/>
    <w:rsid w:val="00343219"/>
    <w:rsid w:val="00351C26"/>
    <w:rsid w:val="00352174"/>
    <w:rsid w:val="0038778E"/>
    <w:rsid w:val="00387AD0"/>
    <w:rsid w:val="003950BD"/>
    <w:rsid w:val="003C39BF"/>
    <w:rsid w:val="003D6224"/>
    <w:rsid w:val="003E3A82"/>
    <w:rsid w:val="0042353E"/>
    <w:rsid w:val="00430978"/>
    <w:rsid w:val="004336D0"/>
    <w:rsid w:val="004347A3"/>
    <w:rsid w:val="00443648"/>
    <w:rsid w:val="004665A7"/>
    <w:rsid w:val="004670C9"/>
    <w:rsid w:val="00480394"/>
    <w:rsid w:val="00487893"/>
    <w:rsid w:val="004B0688"/>
    <w:rsid w:val="004C544D"/>
    <w:rsid w:val="004F3278"/>
    <w:rsid w:val="00504845"/>
    <w:rsid w:val="00506E4B"/>
    <w:rsid w:val="00507331"/>
    <w:rsid w:val="00515154"/>
    <w:rsid w:val="005204E7"/>
    <w:rsid w:val="005263E9"/>
    <w:rsid w:val="00547D12"/>
    <w:rsid w:val="00564646"/>
    <w:rsid w:val="005971F1"/>
    <w:rsid w:val="005A1987"/>
    <w:rsid w:val="005B08F1"/>
    <w:rsid w:val="005B2435"/>
    <w:rsid w:val="005C392E"/>
    <w:rsid w:val="005C6625"/>
    <w:rsid w:val="005E281A"/>
    <w:rsid w:val="005E4CB6"/>
    <w:rsid w:val="005F412E"/>
    <w:rsid w:val="006220E1"/>
    <w:rsid w:val="00626B40"/>
    <w:rsid w:val="00653822"/>
    <w:rsid w:val="00661BF6"/>
    <w:rsid w:val="00663A09"/>
    <w:rsid w:val="00674634"/>
    <w:rsid w:val="006815C9"/>
    <w:rsid w:val="0069097C"/>
    <w:rsid w:val="006935E6"/>
    <w:rsid w:val="006A3BF7"/>
    <w:rsid w:val="006C32C4"/>
    <w:rsid w:val="006E19B8"/>
    <w:rsid w:val="00730361"/>
    <w:rsid w:val="00730432"/>
    <w:rsid w:val="007323CA"/>
    <w:rsid w:val="007359F2"/>
    <w:rsid w:val="00735D3E"/>
    <w:rsid w:val="007406E2"/>
    <w:rsid w:val="00743636"/>
    <w:rsid w:val="007548E9"/>
    <w:rsid w:val="00767973"/>
    <w:rsid w:val="007A069B"/>
    <w:rsid w:val="007B5AB2"/>
    <w:rsid w:val="007C0777"/>
    <w:rsid w:val="007E58DD"/>
    <w:rsid w:val="007F34CB"/>
    <w:rsid w:val="00800592"/>
    <w:rsid w:val="008135DD"/>
    <w:rsid w:val="00821F6E"/>
    <w:rsid w:val="00821FC2"/>
    <w:rsid w:val="00823373"/>
    <w:rsid w:val="00857E5D"/>
    <w:rsid w:val="0087678F"/>
    <w:rsid w:val="00883B86"/>
    <w:rsid w:val="008B5951"/>
    <w:rsid w:val="008C2622"/>
    <w:rsid w:val="008C69A3"/>
    <w:rsid w:val="008E7006"/>
    <w:rsid w:val="008F48FA"/>
    <w:rsid w:val="0090442A"/>
    <w:rsid w:val="00920B82"/>
    <w:rsid w:val="009279A7"/>
    <w:rsid w:val="00935444"/>
    <w:rsid w:val="00940FCA"/>
    <w:rsid w:val="009512A0"/>
    <w:rsid w:val="0098298A"/>
    <w:rsid w:val="009C68E6"/>
    <w:rsid w:val="009C7EC7"/>
    <w:rsid w:val="009D1FF7"/>
    <w:rsid w:val="009F1595"/>
    <w:rsid w:val="009F33A1"/>
    <w:rsid w:val="00A00645"/>
    <w:rsid w:val="00A111BB"/>
    <w:rsid w:val="00A310AA"/>
    <w:rsid w:val="00A468F6"/>
    <w:rsid w:val="00A72A1D"/>
    <w:rsid w:val="00A761FA"/>
    <w:rsid w:val="00AA4D5C"/>
    <w:rsid w:val="00AB2D10"/>
    <w:rsid w:val="00AB5AAC"/>
    <w:rsid w:val="00AD39C3"/>
    <w:rsid w:val="00AE1719"/>
    <w:rsid w:val="00AF4AD8"/>
    <w:rsid w:val="00B21F83"/>
    <w:rsid w:val="00B2663B"/>
    <w:rsid w:val="00B27975"/>
    <w:rsid w:val="00B301C3"/>
    <w:rsid w:val="00B467A0"/>
    <w:rsid w:val="00B57CF1"/>
    <w:rsid w:val="00B65CF0"/>
    <w:rsid w:val="00B66899"/>
    <w:rsid w:val="00B75377"/>
    <w:rsid w:val="00B827EB"/>
    <w:rsid w:val="00BA4447"/>
    <w:rsid w:val="00BA6D4D"/>
    <w:rsid w:val="00BF4D7D"/>
    <w:rsid w:val="00C079A6"/>
    <w:rsid w:val="00C1564F"/>
    <w:rsid w:val="00C25DDB"/>
    <w:rsid w:val="00C35FF3"/>
    <w:rsid w:val="00C36F85"/>
    <w:rsid w:val="00C51C66"/>
    <w:rsid w:val="00C61033"/>
    <w:rsid w:val="00C70C65"/>
    <w:rsid w:val="00C83AEA"/>
    <w:rsid w:val="00CA310B"/>
    <w:rsid w:val="00CC159D"/>
    <w:rsid w:val="00CC2055"/>
    <w:rsid w:val="00CE0442"/>
    <w:rsid w:val="00CE4422"/>
    <w:rsid w:val="00CE7A58"/>
    <w:rsid w:val="00D07AE8"/>
    <w:rsid w:val="00D22372"/>
    <w:rsid w:val="00D23823"/>
    <w:rsid w:val="00D266B4"/>
    <w:rsid w:val="00D379E9"/>
    <w:rsid w:val="00D409DE"/>
    <w:rsid w:val="00D55922"/>
    <w:rsid w:val="00D5608A"/>
    <w:rsid w:val="00D665A5"/>
    <w:rsid w:val="00D72CF5"/>
    <w:rsid w:val="00D951A8"/>
    <w:rsid w:val="00DC05AC"/>
    <w:rsid w:val="00DC40D4"/>
    <w:rsid w:val="00DF5A75"/>
    <w:rsid w:val="00E30045"/>
    <w:rsid w:val="00E324BB"/>
    <w:rsid w:val="00E74410"/>
    <w:rsid w:val="00E84A85"/>
    <w:rsid w:val="00E85F47"/>
    <w:rsid w:val="00E86D46"/>
    <w:rsid w:val="00EA7BDC"/>
    <w:rsid w:val="00EB3DC1"/>
    <w:rsid w:val="00EB4453"/>
    <w:rsid w:val="00EC6BA0"/>
    <w:rsid w:val="00EC7C3C"/>
    <w:rsid w:val="00F226FB"/>
    <w:rsid w:val="00F3276B"/>
    <w:rsid w:val="00F3403A"/>
    <w:rsid w:val="00F44D99"/>
    <w:rsid w:val="00F55DB0"/>
    <w:rsid w:val="00F71CF2"/>
    <w:rsid w:val="00F934DB"/>
    <w:rsid w:val="00F93E19"/>
    <w:rsid w:val="00FC2813"/>
    <w:rsid w:val="00FE4010"/>
    <w:rsid w:val="145E0982"/>
    <w:rsid w:val="1A626569"/>
    <w:rsid w:val="1C7F2F23"/>
    <w:rsid w:val="25CD4D03"/>
    <w:rsid w:val="2E6B5A8B"/>
    <w:rsid w:val="308D0376"/>
    <w:rsid w:val="31D70E9B"/>
    <w:rsid w:val="3880691F"/>
    <w:rsid w:val="3A2C1CC7"/>
    <w:rsid w:val="3C8347E7"/>
    <w:rsid w:val="44742781"/>
    <w:rsid w:val="45FF63C9"/>
    <w:rsid w:val="5051028D"/>
    <w:rsid w:val="55747A50"/>
    <w:rsid w:val="5AC4150C"/>
    <w:rsid w:val="5AF739E6"/>
    <w:rsid w:val="5EC75D6A"/>
    <w:rsid w:val="5F373919"/>
    <w:rsid w:val="65756F87"/>
    <w:rsid w:val="6AF01240"/>
    <w:rsid w:val="6C28703E"/>
    <w:rsid w:val="71F057DF"/>
    <w:rsid w:val="7E46925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9">
    <w:name w:val="页眉 字符"/>
    <w:basedOn w:val="8"/>
    <w:link w:val="4"/>
    <w:semiHidden/>
    <w:qFormat/>
    <w:uiPriority w:val="99"/>
    <w:rPr>
      <w:sz w:val="18"/>
      <w:szCs w:val="18"/>
    </w:rPr>
  </w:style>
  <w:style w:type="character" w:customStyle="1" w:styleId="10">
    <w:name w:val="页脚 字符"/>
    <w:basedOn w:val="8"/>
    <w:link w:val="3"/>
    <w:qFormat/>
    <w:uiPriority w:val="99"/>
    <w:rPr>
      <w:sz w:val="18"/>
      <w:szCs w:val="18"/>
    </w:rPr>
  </w:style>
  <w:style w:type="paragraph" w:customStyle="1" w:styleId="11">
    <w:name w:val="列出段落1"/>
    <w:basedOn w:val="1"/>
    <w:qFormat/>
    <w:uiPriority w:val="34"/>
    <w:pPr>
      <w:ind w:firstLine="420" w:firstLineChars="200"/>
    </w:pPr>
  </w:style>
  <w:style w:type="character" w:customStyle="1" w:styleId="12">
    <w:name w:val="批注框文本 字符"/>
    <w:basedOn w:val="8"/>
    <w:link w:val="2"/>
    <w:semiHidden/>
    <w:qFormat/>
    <w:uiPriority w:val="99"/>
    <w:rPr>
      <w:kern w:val="2"/>
      <w:sz w:val="18"/>
      <w:szCs w:val="18"/>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60E3093-8F9D-42C9-995E-DCE06ACD0929}">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9</Pages>
  <Words>599</Words>
  <Characters>3419</Characters>
  <Lines>28</Lines>
  <Paragraphs>8</Paragraphs>
  <TotalTime>0</TotalTime>
  <ScaleCrop>false</ScaleCrop>
  <LinksUpToDate>false</LinksUpToDate>
  <CharactersWithSpaces>4010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2021-04-26T01:09:00Z</dcterms:created>
  <dc:creator>Administrator</dc:creator>
  <cp:lastModifiedBy>市住建局办公室</cp:lastModifiedBy>
  <cp:lastPrinted>2021-04-13T03:39:00Z</cp:lastPrinted>
  <dcterms:modified xsi:type="dcterms:W3CDTF">2021-04-26T02:43:22Z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E7701BC6E59145D686E21BCF980406F5</vt:lpwstr>
  </property>
  <property fmtid="{D5CDD505-2E9C-101B-9397-08002B2CF9AE}" pid="4" name="KSOSaveFontToCloudKey">
    <vt:lpwstr>366601198_btnclosed</vt:lpwstr>
  </property>
</Properties>
</file>