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napToGrid w:val="0"/>
        <w:jc w:val="left"/>
        <w:rPr>
          <w:rFonts w:hint="default" w:ascii="Times New Roman [TMC ]" w:hAnsi="Times New Roman [TMC ]" w:eastAsia="仿宋_GB2312" w:cs="Times New Roman [TMC ]"/>
          <w:color w:val="000000"/>
          <w:sz w:val="32"/>
          <w:szCs w:val="32"/>
        </w:rPr>
      </w:pPr>
      <w:r>
        <w:rPr>
          <w:rFonts w:hint="default" w:ascii="Times New Roman [TMC ]" w:hAnsi="Times New Roman [TMC ]" w:eastAsia="仿宋_GB2312" w:cs="Times New Roman [TMC ]"/>
          <w:color w:val="000000"/>
          <w:sz w:val="32"/>
          <w:szCs w:val="32"/>
        </w:rPr>
        <w:t>附件1</w:t>
      </w:r>
    </w:p>
    <w:p>
      <w:pPr>
        <w:jc w:val="center"/>
        <w:rPr>
          <w:rFonts w:hint="default" w:ascii="Times New Roman [TMC ]" w:hAnsi="Times New Roman [TMC ]" w:eastAsia="方正小标宋简体" w:cs="Times New Roman [TMC ]"/>
          <w:color w:val="000000"/>
          <w:sz w:val="44"/>
          <w:szCs w:val="44"/>
        </w:rPr>
      </w:pPr>
    </w:p>
    <w:p>
      <w:pPr>
        <w:jc w:val="center"/>
        <w:rPr>
          <w:rFonts w:hint="default" w:ascii="Times New Roman [TMC ]" w:hAnsi="Times New Roman [TMC ]" w:eastAsia="方正小标宋简体" w:cs="Times New Roman [TMC ]"/>
          <w:color w:val="000000"/>
          <w:sz w:val="44"/>
          <w:szCs w:val="44"/>
        </w:rPr>
      </w:pPr>
      <w:r>
        <w:rPr>
          <w:rFonts w:hint="default" w:ascii="Times New Roman [TMC ]" w:hAnsi="Times New Roman [TMC ]" w:eastAsia="方正小标宋简体" w:cs="Times New Roman [TMC ]"/>
          <w:color w:val="000000"/>
          <w:sz w:val="44"/>
          <w:szCs w:val="44"/>
        </w:rPr>
        <w:t>益阳市市级成品粮储备企业申请书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</w:pP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</w:pP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  <w:t xml:space="preserve">益阳市发展和改革委员会：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</w:pP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  <w:t>我单位是粮食经营企业，经营粮油品种有</w:t>
      </w: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  <w:u w:val="single"/>
        </w:rPr>
        <w:t xml:space="preserve">           </w:t>
      </w: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  <w:t>，日均库存大米</w:t>
      </w: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  <w:u w:val="single"/>
        </w:rPr>
        <w:t xml:space="preserve">            </w:t>
      </w: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  <w:t>吨。自愿申请成为市级成品粮储备承储单位。结合本单位经营情况，现申请市级成品粮油储备计划，大米</w:t>
      </w: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  <w:u w:val="single"/>
        </w:rPr>
        <w:t xml:space="preserve">             </w:t>
      </w: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  <w:t>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</w:pP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  <w:t>我单位承诺提供的所有申报资料均合法、真实、准确、有效，并对所提供资料的真实性负责。我单位成为市级储备粮承储企业后，自觉遵守《粮食安全保障法》《粮食流通管理条例》《益阳市市级储备粮管理办法》等法律法规规定，保证储备粮油质量符合国家粮食质量标准和食品安全标准，任何时点数量达到储备计划规定数量；建立健全质检、统计、财务、保管、仓储和安全管理等制度，做到专仓储存、专人保管、专账记载，保证账账相符、账实相符、质量良好、储存安全；按国家粮食流通统计制度的要求，真实、准确、完整、及时地提供统计调查所需资料，报送统计报表；在紧急状态下，服从政府相关部门动用指令，迅速响应，保证储备粮调运高效；依法诚信经营，自觉接受各级政府、行业组织、社会公众、新闻舆论的监督，自愿接受行政执法部门的依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</w:pP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</w:pP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  <w:t xml:space="preserve">申请单位（盖章）：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40"/>
        <w:jc w:val="left"/>
        <w:textAlignment w:val="auto"/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</w:pP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4812" w:firstLineChars="1504"/>
        <w:jc w:val="left"/>
        <w:textAlignment w:val="auto"/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</w:pPr>
      <w:r>
        <w:rPr>
          <w:rFonts w:hint="default" w:ascii="Times New Roman [TMC ]" w:hAnsi="Times New Roman [TMC ]" w:eastAsia="方正仿宋_GBK" w:cs="Times New Roman [TMC ]"/>
          <w:color w:val="000000"/>
          <w:sz w:val="32"/>
          <w:szCs w:val="32"/>
        </w:rPr>
        <w:t>年   月   日</w:t>
      </w: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  <w:bookmarkStart w:id="2" w:name="_GoBack"/>
      <w:bookmarkEnd w:id="2"/>
    </w:p>
    <w:p>
      <w:pPr>
        <w:rPr>
          <w:rFonts w:hint="default" w:ascii="Times New Roman [TMC ]" w:hAnsi="Times New Roman [TMC ]" w:eastAsia="仿宋_GB2312" w:cs="Times New Roman [TMC ]"/>
          <w:bCs/>
          <w:color w:val="000000"/>
          <w:sz w:val="32"/>
          <w:szCs w:val="32"/>
        </w:rPr>
      </w:pPr>
    </w:p>
    <w:p>
      <w:pPr>
        <w:rPr>
          <w:rFonts w:hint="default" w:ascii="Times New Roman [TMC ]" w:hAnsi="Times New Roman [TMC ]" w:eastAsia="方正黑体_GBK" w:cs="Times New Roman [TMC ]"/>
          <w:bCs/>
          <w:color w:val="000000"/>
          <w:sz w:val="32"/>
          <w:szCs w:val="32"/>
        </w:rPr>
      </w:pPr>
      <w:r>
        <w:rPr>
          <w:rFonts w:hint="default" w:ascii="Times New Roman [TMC ]" w:hAnsi="Times New Roman [TMC ]" w:eastAsia="仿宋_GB2312" w:cs="Times New Roman [TMC ]"/>
          <w:bCs/>
          <w:color w:val="000000"/>
          <w:sz w:val="32"/>
          <w:szCs w:val="32"/>
        </w:rPr>
        <w:t>附件2</w:t>
      </w:r>
    </w:p>
    <w:p>
      <w:pPr>
        <w:jc w:val="center"/>
        <w:rPr>
          <w:rFonts w:hint="default" w:ascii="Times New Roman [TMC ]" w:hAnsi="Times New Roman [TMC ]" w:eastAsia="方正小标宋简体" w:cs="Times New Roman [TMC ]"/>
          <w:bCs/>
          <w:color w:val="000000"/>
          <w:sz w:val="38"/>
          <w:szCs w:val="38"/>
        </w:rPr>
      </w:pPr>
      <w:r>
        <w:rPr>
          <w:rFonts w:hint="default" w:ascii="Times New Roman [TMC ]" w:hAnsi="Times New Roman [TMC ]" w:eastAsia="方正小标宋简体" w:cs="Times New Roman [TMC ]"/>
          <w:bCs/>
          <w:color w:val="000000"/>
          <w:sz w:val="38"/>
          <w:szCs w:val="38"/>
        </w:rPr>
        <w:t>企业基本情况表</w:t>
      </w:r>
    </w:p>
    <w:tbl>
      <w:tblPr>
        <w:tblStyle w:val="5"/>
        <w:tblW w:w="0" w:type="auto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40"/>
        <w:gridCol w:w="1163"/>
        <w:gridCol w:w="952"/>
        <w:gridCol w:w="702"/>
        <w:gridCol w:w="1616"/>
        <w:gridCol w:w="8"/>
        <w:gridCol w:w="28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aps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aps/>
                <w:color w:val="000000"/>
              </w:rPr>
              <w:t>企业名称</w:t>
            </w:r>
          </w:p>
        </w:tc>
        <w:tc>
          <w:tcPr>
            <w:tcW w:w="2817" w:type="dxa"/>
            <w:gridSpan w:val="3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aps/>
                <w:color w:val="000000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aps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社会信用代码</w:t>
            </w:r>
          </w:p>
        </w:tc>
        <w:tc>
          <w:tcPr>
            <w:tcW w:w="287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ap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42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法人代表</w:t>
            </w:r>
          </w:p>
        </w:tc>
        <w:tc>
          <w:tcPr>
            <w:tcW w:w="28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手机号码</w:t>
            </w:r>
          </w:p>
        </w:tc>
        <w:tc>
          <w:tcPr>
            <w:tcW w:w="2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42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注册时间</w:t>
            </w:r>
          </w:p>
        </w:tc>
        <w:tc>
          <w:tcPr>
            <w:tcW w:w="28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  <w:tc>
          <w:tcPr>
            <w:tcW w:w="1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注册资本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（万元）</w:t>
            </w:r>
          </w:p>
        </w:tc>
        <w:tc>
          <w:tcPr>
            <w:tcW w:w="2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2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企业地址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2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企业性质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国有□    国有控股</w:t>
            </w:r>
            <w:r>
              <w:rPr>
                <w:rFonts w:hint="default" w:ascii="Times New Roman [TMC ]" w:hAnsi="Times New Roman [TMC ]" w:cs="Times New Roman [TMC ]"/>
                <w:bCs/>
                <w:color w:val="000000"/>
              </w:rPr>
              <w:t xml:space="preserve">□    外资□    </w:t>
            </w:r>
            <w:r>
              <w:rPr>
                <w:rFonts w:hint="default" w:ascii="Times New Roman [TMC ]" w:hAnsi="Times New Roman [TMC ]" w:cs="Times New Roman [TMC ]"/>
                <w:color w:val="000000"/>
              </w:rPr>
              <w:t xml:space="preserve">私营□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2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经营范围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left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仓储□  加工</w:t>
            </w:r>
            <w:r>
              <w:rPr>
                <w:rFonts w:hint="default" w:ascii="Times New Roman [TMC ]" w:hAnsi="Times New Roman [TMC ]" w:cs="Times New Roman [TMC ]"/>
                <w:color w:val="000000"/>
                <w:kern w:val="0"/>
              </w:rPr>
              <w:t>□</w:t>
            </w:r>
            <w:r>
              <w:rPr>
                <w:rFonts w:hint="default" w:ascii="Times New Roman [TMC ]" w:hAnsi="Times New Roman [TMC ]" w:cs="Times New Roman [TMC ]"/>
                <w:color w:val="000000"/>
              </w:rPr>
              <w:t xml:space="preserve">  商贸□  其它□ ；加工能力：</w:t>
            </w:r>
            <w:r>
              <w:rPr>
                <w:rFonts w:hint="default" w:ascii="Times New Roman [TMC ]" w:hAnsi="Times New Roman [TMC ]" w:cs="Times New Roman [TMC ]"/>
                <w:color w:val="000000"/>
                <w:u w:val="single"/>
              </w:rPr>
              <w:t xml:space="preserve">        </w:t>
            </w:r>
            <w:r>
              <w:rPr>
                <w:rFonts w:hint="default" w:ascii="Times New Roman [TMC ]" w:hAnsi="Times New Roman [TMC ]" w:cs="Times New Roman [TMC ]"/>
                <w:color w:val="000000"/>
              </w:rPr>
              <w:t>吨/日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42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企业生产、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cs="Times New Roman [TMC ]"/>
                <w:color w:val="000000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加工、经营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主要品种</w:t>
            </w:r>
          </w:p>
        </w:tc>
        <w:tc>
          <w:tcPr>
            <w:tcW w:w="730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642" w:type="dxa"/>
            <w:gridSpan w:val="2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企业总人数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保管员人数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05" w:type="dxa"/>
            <w:gridSpan w:val="3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成品粮油仓容（吨）</w:t>
            </w:r>
          </w:p>
        </w:tc>
        <w:tc>
          <w:tcPr>
            <w:tcW w:w="61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05" w:type="dxa"/>
            <w:gridSpan w:val="3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上年度月均周转库存</w:t>
            </w: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1679"/>
              </w:tabs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品种</w:t>
            </w:r>
          </w:p>
        </w:tc>
        <w:tc>
          <w:tcPr>
            <w:tcW w:w="51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679"/>
              </w:tabs>
              <w:autoSpaceDE w:val="0"/>
              <w:adjustRightInd w:val="0"/>
              <w:snapToGrid w:val="0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00" w:type="dxa"/>
            <w:gridSpan w:val="3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数量（吨）</w:t>
            </w:r>
          </w:p>
        </w:tc>
        <w:tc>
          <w:tcPr>
            <w:tcW w:w="51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02" w:type="dxa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仿宋_GB2312" w:cs="Times New Roman [TMC ]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经营状况</w:t>
            </w:r>
          </w:p>
        </w:tc>
        <w:tc>
          <w:tcPr>
            <w:tcW w:w="2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2023年税后利润（万元）</w:t>
            </w:r>
          </w:p>
        </w:tc>
        <w:tc>
          <w:tcPr>
            <w:tcW w:w="51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[TMC ]" w:hAnsi="Times New Roman [TMC ]" w:eastAsia="仿宋_GB2312" w:cs="Times New Roman [TMC ]"/>
                <w:b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2024年税后利润（万元）</w:t>
            </w:r>
          </w:p>
        </w:tc>
        <w:tc>
          <w:tcPr>
            <w:tcW w:w="51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[TMC ]" w:hAnsi="Times New Roman [TMC ]" w:eastAsia="仿宋_GB2312" w:cs="Times New Roman [TMC ]"/>
                <w:b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近三年有无违法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经营记录</w:t>
            </w:r>
          </w:p>
        </w:tc>
        <w:tc>
          <w:tcPr>
            <w:tcW w:w="51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rPr>
                <w:rFonts w:hint="default" w:ascii="Times New Roman [TMC ]" w:hAnsi="Times New Roman [TMC ]" w:cs="Times New Roman [TMC ]"/>
                <w:color w:val="000000"/>
                <w:szCs w:val="21"/>
                <w:u w:val="single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无□     有</w:t>
            </w:r>
            <w:r>
              <w:rPr>
                <w:rFonts w:hint="default" w:ascii="Times New Roman [TMC ]" w:hAnsi="Times New Roman [TMC ]" w:cs="Times New Roman [TMC ]"/>
                <w:color w:val="000000"/>
                <w:kern w:val="0"/>
              </w:rPr>
              <w:t>□</w:t>
            </w:r>
            <w:r>
              <w:rPr>
                <w:rFonts w:hint="default" w:ascii="Times New Roman [TMC ]" w:hAnsi="Times New Roman [TMC ]" w:cs="Times New Roman [TMC ]"/>
                <w:color w:val="000000"/>
                <w:u w:val="single"/>
              </w:rPr>
              <w:t xml:space="preserve">                               </w:t>
            </w:r>
          </w:p>
          <w:p>
            <w:pPr>
              <w:autoSpaceDE w:val="0"/>
              <w:adjustRightInd w:val="0"/>
              <w:snapToGrid w:val="0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  <w:u w:val="single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00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[TMC ]" w:hAnsi="Times New Roman [TMC ]" w:eastAsia="仿宋_GB2312" w:cs="Times New Roman [TMC ]"/>
                <w:b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近三年有无安全储粮</w:t>
            </w:r>
          </w:p>
          <w:p>
            <w:pPr>
              <w:autoSpaceDE w:val="0"/>
              <w:adjustRightInd w:val="0"/>
              <w:snapToGrid w:val="0"/>
              <w:jc w:val="center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储油及安全生产事故</w:t>
            </w:r>
          </w:p>
        </w:tc>
        <w:tc>
          <w:tcPr>
            <w:tcW w:w="51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rPr>
                <w:rFonts w:hint="default" w:ascii="Times New Roman [TMC ]" w:hAnsi="Times New Roman [TMC ]" w:cs="Times New Roman [TMC ]"/>
                <w:color w:val="000000"/>
                <w:szCs w:val="21"/>
                <w:u w:val="single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>无□     有</w:t>
            </w:r>
            <w:bookmarkStart w:id="0" w:name="OLE_LINK13"/>
            <w:bookmarkStart w:id="1" w:name="OLE_LINK12"/>
            <w:r>
              <w:rPr>
                <w:rFonts w:hint="default" w:ascii="Times New Roman [TMC ]" w:hAnsi="Times New Roman [TMC ]" w:cs="Times New Roman [TMC ]"/>
                <w:color w:val="000000"/>
              </w:rPr>
              <w:t>□</w:t>
            </w:r>
            <w:bookmarkEnd w:id="0"/>
            <w:bookmarkEnd w:id="1"/>
            <w:r>
              <w:rPr>
                <w:rFonts w:hint="default" w:ascii="Times New Roman [TMC ]" w:hAnsi="Times New Roman [TMC ]" w:cs="Times New Roman [TMC ]"/>
                <w:color w:val="000000"/>
                <w:u w:val="single"/>
              </w:rPr>
              <w:t xml:space="preserve">                               </w:t>
            </w:r>
          </w:p>
          <w:p>
            <w:pPr>
              <w:autoSpaceDE w:val="0"/>
              <w:adjustRightInd w:val="0"/>
              <w:snapToGrid w:val="0"/>
              <w:rPr>
                <w:rFonts w:hint="default" w:ascii="Times New Roman [TMC ]" w:hAnsi="Times New Roman [TMC ]" w:eastAsia="宋体" w:cs="Times New Roman [TMC ]"/>
                <w:color w:val="000000"/>
                <w:szCs w:val="21"/>
                <w:u w:val="single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</w:trPr>
        <w:tc>
          <w:tcPr>
            <w:tcW w:w="8946" w:type="dxa"/>
            <w:gridSpan w:val="8"/>
            <w:tcBorders>
              <w:top w:val="single" w:color="000000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 [TMC ]" w:hAnsi="Times New Roman [TMC ]" w:cs="Times New Roman [TMC ]"/>
                <w:color w:val="000000"/>
                <w:szCs w:val="21"/>
              </w:rPr>
            </w:pPr>
          </w:p>
          <w:p>
            <w:pPr>
              <w:rPr>
                <w:rFonts w:hint="default" w:ascii="Times New Roman [TMC ]" w:hAnsi="Times New Roman [TMC ]" w:cs="Times New Roman [TMC ]"/>
                <w:color w:val="000000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 xml:space="preserve">       我单位确认以上内容属实。</w:t>
            </w:r>
          </w:p>
          <w:p>
            <w:pPr>
              <w:rPr>
                <w:rFonts w:hint="default" w:ascii="Times New Roman [TMC ]" w:hAnsi="Times New Roman [TMC ]" w:cs="Times New Roman [TMC ]"/>
                <w:color w:val="000000"/>
              </w:rPr>
            </w:pPr>
          </w:p>
          <w:p>
            <w:pPr>
              <w:rPr>
                <w:rFonts w:hint="default" w:ascii="Times New Roman [TMC ]" w:hAnsi="Times New Roman [TMC ]" w:cs="Times New Roman [TMC ]"/>
                <w:color w:val="000000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 xml:space="preserve">          企业法人代表签字：</w:t>
            </w:r>
          </w:p>
          <w:p>
            <w:pPr>
              <w:rPr>
                <w:rFonts w:hint="default" w:ascii="Times New Roman [TMC ]" w:hAnsi="Times New Roman [TMC ]" w:cs="Times New Roman [TMC ]"/>
                <w:color w:val="000000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 xml:space="preserve">                                                       企业（盖章） </w:t>
            </w:r>
          </w:p>
          <w:p>
            <w:pPr>
              <w:rPr>
                <w:rFonts w:hint="default" w:ascii="Times New Roman [TMC ]" w:hAnsi="Times New Roman [TMC ]" w:eastAsia="宋体" w:cs="Times New Roman [TMC ]"/>
                <w:color w:val="000000"/>
                <w:szCs w:val="21"/>
              </w:rPr>
            </w:pPr>
            <w:r>
              <w:rPr>
                <w:rFonts w:hint="default" w:ascii="Times New Roman [TMC ]" w:hAnsi="Times New Roman [TMC ]" w:cs="Times New Roman [TMC ]"/>
                <w:color w:val="000000"/>
              </w:rPr>
              <w:t xml:space="preserve">                                                        年    月    日</w:t>
            </w:r>
          </w:p>
        </w:tc>
      </w:tr>
    </w:tbl>
    <w:p>
      <w:pPr>
        <w:widowControl/>
        <w:spacing w:line="620" w:lineRule="atLeast"/>
        <w:jc w:val="both"/>
        <w:rPr>
          <w:rFonts w:hint="default" w:ascii="Times New Roman [TMC ]" w:hAnsi="Times New Roman [TMC ]" w:eastAsia="仿宋_GB2312" w:cs="Times New Roman [TMC ]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[TMC ]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13AF"/>
    <w:rsid w:val="0029539B"/>
    <w:rsid w:val="003E2F66"/>
    <w:rsid w:val="003F13AF"/>
    <w:rsid w:val="004517EE"/>
    <w:rsid w:val="005626AF"/>
    <w:rsid w:val="00624762"/>
    <w:rsid w:val="00753809"/>
    <w:rsid w:val="008F324F"/>
    <w:rsid w:val="009656CD"/>
    <w:rsid w:val="00A16B6C"/>
    <w:rsid w:val="00A947A7"/>
    <w:rsid w:val="00C363CE"/>
    <w:rsid w:val="00C815BE"/>
    <w:rsid w:val="00D32961"/>
    <w:rsid w:val="00DA4E7C"/>
    <w:rsid w:val="00F071A8"/>
    <w:rsid w:val="00F9091E"/>
    <w:rsid w:val="0BBB6D91"/>
    <w:rsid w:val="19FACAED"/>
    <w:rsid w:val="1FFEB627"/>
    <w:rsid w:val="1FFF4591"/>
    <w:rsid w:val="2DFB6F45"/>
    <w:rsid w:val="2FDFA8E2"/>
    <w:rsid w:val="36FFE946"/>
    <w:rsid w:val="37C56535"/>
    <w:rsid w:val="37DFB869"/>
    <w:rsid w:val="37F802AF"/>
    <w:rsid w:val="387FF1E8"/>
    <w:rsid w:val="3D5E80C0"/>
    <w:rsid w:val="3DAD5C80"/>
    <w:rsid w:val="3EFBDD60"/>
    <w:rsid w:val="3FEEE619"/>
    <w:rsid w:val="4BEE607A"/>
    <w:rsid w:val="4DFC1023"/>
    <w:rsid w:val="4FCD0388"/>
    <w:rsid w:val="50954C17"/>
    <w:rsid w:val="53ED4D50"/>
    <w:rsid w:val="54178F0D"/>
    <w:rsid w:val="56F5D944"/>
    <w:rsid w:val="56FEB082"/>
    <w:rsid w:val="5FFA83A4"/>
    <w:rsid w:val="66D66253"/>
    <w:rsid w:val="67FCAF1E"/>
    <w:rsid w:val="69ED5195"/>
    <w:rsid w:val="6B67CA19"/>
    <w:rsid w:val="6BCA723D"/>
    <w:rsid w:val="6BFE646A"/>
    <w:rsid w:val="6FDBB3D9"/>
    <w:rsid w:val="6FF79C9D"/>
    <w:rsid w:val="6FFB746B"/>
    <w:rsid w:val="7567D02D"/>
    <w:rsid w:val="75EE1BE7"/>
    <w:rsid w:val="76EF14D5"/>
    <w:rsid w:val="773F853B"/>
    <w:rsid w:val="77FB4DC0"/>
    <w:rsid w:val="7B89A120"/>
    <w:rsid w:val="7BBD291E"/>
    <w:rsid w:val="7BDD59BD"/>
    <w:rsid w:val="7BFD1E88"/>
    <w:rsid w:val="7DAFC312"/>
    <w:rsid w:val="7DD6C1BD"/>
    <w:rsid w:val="7DEF6230"/>
    <w:rsid w:val="7DFB076A"/>
    <w:rsid w:val="7DFF6312"/>
    <w:rsid w:val="7E3B9BB0"/>
    <w:rsid w:val="7E4F7458"/>
    <w:rsid w:val="7E8999BA"/>
    <w:rsid w:val="7EAF8B8B"/>
    <w:rsid w:val="7EDF185F"/>
    <w:rsid w:val="7F1EA00E"/>
    <w:rsid w:val="7F7B5236"/>
    <w:rsid w:val="7FA7F97A"/>
    <w:rsid w:val="7FBF0813"/>
    <w:rsid w:val="7FED628C"/>
    <w:rsid w:val="97BE62AE"/>
    <w:rsid w:val="A98FFC8B"/>
    <w:rsid w:val="A9FFF21F"/>
    <w:rsid w:val="AEF8B17A"/>
    <w:rsid w:val="AFF66A08"/>
    <w:rsid w:val="B5FEEBAC"/>
    <w:rsid w:val="B7DF5D78"/>
    <w:rsid w:val="BECDCC09"/>
    <w:rsid w:val="BFBD76AD"/>
    <w:rsid w:val="BFE7371B"/>
    <w:rsid w:val="BFF2FACE"/>
    <w:rsid w:val="BFFFC85B"/>
    <w:rsid w:val="C52F21C3"/>
    <w:rsid w:val="CD674A04"/>
    <w:rsid w:val="D6EEA062"/>
    <w:rsid w:val="D777ECAB"/>
    <w:rsid w:val="DDBF5946"/>
    <w:rsid w:val="DFEBC8B4"/>
    <w:rsid w:val="EDFF4C0B"/>
    <w:rsid w:val="EE7FDCBD"/>
    <w:rsid w:val="EEF68C01"/>
    <w:rsid w:val="EFBBAACA"/>
    <w:rsid w:val="EFBF4236"/>
    <w:rsid w:val="EFF02F16"/>
    <w:rsid w:val="EFF267F3"/>
    <w:rsid w:val="F36B763C"/>
    <w:rsid w:val="F3BF8254"/>
    <w:rsid w:val="F5372355"/>
    <w:rsid w:val="F6FA34AF"/>
    <w:rsid w:val="F6FFA54D"/>
    <w:rsid w:val="F7BFA789"/>
    <w:rsid w:val="F9A7AFDA"/>
    <w:rsid w:val="FB9D44DF"/>
    <w:rsid w:val="FBBB2114"/>
    <w:rsid w:val="FBF77306"/>
    <w:rsid w:val="FCED1DBD"/>
    <w:rsid w:val="FD3D7BEA"/>
    <w:rsid w:val="FDDD371B"/>
    <w:rsid w:val="FDEB7F16"/>
    <w:rsid w:val="FDF79C43"/>
    <w:rsid w:val="FEDF8CD9"/>
    <w:rsid w:val="FEE169B4"/>
    <w:rsid w:val="FEFB8BA0"/>
    <w:rsid w:val="FF2D2776"/>
    <w:rsid w:val="FF3F06EA"/>
    <w:rsid w:val="FF5D839B"/>
    <w:rsid w:val="FF5F290C"/>
    <w:rsid w:val="FF7BF9DF"/>
    <w:rsid w:val="FFF66A46"/>
    <w:rsid w:val="FFF7F2AE"/>
    <w:rsid w:val="FFFB9611"/>
    <w:rsid w:val="FFF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date"/>
    <w:basedOn w:val="6"/>
    <w:qFormat/>
    <w:uiPriority w:val="0"/>
  </w:style>
  <w:style w:type="character" w:customStyle="1" w:styleId="8">
    <w:name w:val="ly"/>
    <w:basedOn w:val="6"/>
    <w:qFormat/>
    <w:uiPriority w:val="0"/>
  </w:style>
  <w:style w:type="character" w:customStyle="1" w:styleId="9">
    <w:name w:val="llcs"/>
    <w:basedOn w:val="6"/>
    <w:qFormat/>
    <w:uiPriority w:val="0"/>
  </w:style>
  <w:style w:type="character" w:customStyle="1" w:styleId="10">
    <w:name w:val="fontsize"/>
    <w:basedOn w:val="6"/>
    <w:qFormat/>
    <w:uiPriority w:val="0"/>
  </w:style>
  <w:style w:type="paragraph" w:customStyle="1" w:styleId="1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2145</Words>
  <Characters>2360</Characters>
  <Lines>20</Lines>
  <Paragraphs>5</Paragraphs>
  <TotalTime>50</TotalTime>
  <ScaleCrop>false</ScaleCrop>
  <LinksUpToDate>false</LinksUpToDate>
  <CharactersWithSpaces>2783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2025-11-05T18:10:00Z</dcterms:created>
  <dc:creator>Windows User</dc:creator>
  <cp:lastModifiedBy>jdjck</cp:lastModifiedBy>
  <cp:lastPrinted>2025-11-11T19:03:00Z</cp:lastPrinted>
  <dcterms:modified xsi:type="dcterms:W3CDTF">2025-11-11T11:07:31Z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eyJoZGlkIjoiNzc1YzJkOWYwMTQ0YjA2MmM1ZGYwYzVkNTQwY2RiYmEiLCJ1c2VySWQiOiIxMDQzNjEyMTU1In0=</vt:lpwstr>
  </property>
  <property fmtid="{D5CDD505-2E9C-101B-9397-08002B2CF9AE}" pid="3" name="KSOProductBuildVer">
    <vt:lpwstr>2052-11.8.2.9339</vt:lpwstr>
  </property>
  <property fmtid="{D5CDD505-2E9C-101B-9397-08002B2CF9AE}" pid="4" name="ICV">
    <vt:lpwstr>C465EDDB80F541388B5521B56CBD6C22_12</vt:lpwstr>
  </property>
</Properties>
</file>