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4E89F0">
      <w:pPr>
        <w:jc w:val="center"/>
        <w:rPr>
          <w:rFonts w:ascii="Times New Roman" w:hAnsi="Times New Roman"/>
          <w:b/>
          <w:bCs/>
          <w:kern w:val="0"/>
          <w:sz w:val="44"/>
          <w:szCs w:val="44"/>
        </w:rPr>
      </w:pPr>
      <w:r>
        <w:rPr>
          <w:rFonts w:ascii="Times New Roman" w:hAnsi="Times New Roman" w:eastAsia="方正小标宋简体"/>
          <w:sz w:val="44"/>
          <w:szCs w:val="44"/>
        </w:rPr>
        <w:t>益阳市统计局2019年度部门决算公开</w:t>
      </w:r>
    </w:p>
    <w:p w14:paraId="2E725E3D">
      <w:pPr>
        <w:widowControl/>
        <w:jc w:val="center"/>
        <w:rPr>
          <w:rFonts w:ascii="Times New Roman" w:hAnsi="Times New Roman"/>
          <w:b/>
          <w:bCs/>
          <w:kern w:val="0"/>
          <w:sz w:val="44"/>
          <w:szCs w:val="44"/>
        </w:rPr>
      </w:pPr>
    </w:p>
    <w:p w14:paraId="2FD36E1A">
      <w:pPr>
        <w:widowControl/>
        <w:jc w:val="center"/>
        <w:rPr>
          <w:rFonts w:ascii="Times New Roman" w:hAnsi="Times New Roman"/>
          <w:b/>
          <w:bCs/>
          <w:kern w:val="0"/>
          <w:sz w:val="44"/>
          <w:szCs w:val="44"/>
        </w:rPr>
      </w:pPr>
      <w:r>
        <w:rPr>
          <w:rFonts w:ascii="Times New Roman" w:hAnsi="Times New Roman"/>
          <w:b/>
          <w:bCs/>
          <w:kern w:val="0"/>
          <w:sz w:val="44"/>
          <w:szCs w:val="44"/>
        </w:rPr>
        <w:t>目录</w:t>
      </w:r>
    </w:p>
    <w:p w14:paraId="653CA3EF">
      <w:pPr>
        <w:widowControl/>
        <w:jc w:val="center"/>
        <w:rPr>
          <w:rFonts w:ascii="Times New Roman" w:hAnsi="Times New Roman"/>
          <w:b/>
          <w:bCs/>
          <w:kern w:val="0"/>
          <w:sz w:val="44"/>
          <w:szCs w:val="44"/>
        </w:rPr>
      </w:pPr>
    </w:p>
    <w:p w14:paraId="6D18ED1C">
      <w:pPr>
        <w:widowControl/>
        <w:rPr>
          <w:rFonts w:ascii="Times New Roman" w:hAnsi="Times New Roman" w:eastAsia="仿宋_GB2312"/>
          <w:b/>
          <w:bCs/>
          <w:kern w:val="0"/>
          <w:sz w:val="32"/>
          <w:szCs w:val="32"/>
        </w:rPr>
      </w:pPr>
      <w:r>
        <w:rPr>
          <w:rFonts w:ascii="Times New Roman" w:hAnsi="Times New Roman" w:eastAsia="仿宋_GB2312"/>
          <w:b/>
          <w:bCs/>
          <w:kern w:val="0"/>
          <w:sz w:val="32"/>
          <w:szCs w:val="32"/>
        </w:rPr>
        <w:t>第一部分  益阳市统计局概况</w:t>
      </w:r>
    </w:p>
    <w:p w14:paraId="4E0FFF2A">
      <w:pPr>
        <w:widowControl/>
        <w:rPr>
          <w:rFonts w:ascii="Times New Roman" w:hAnsi="Times New Roman" w:eastAsia="仿宋_GB2312"/>
          <w:bCs/>
          <w:kern w:val="0"/>
          <w:sz w:val="32"/>
          <w:szCs w:val="32"/>
        </w:rPr>
      </w:pPr>
      <w:r>
        <w:rPr>
          <w:rFonts w:ascii="Times New Roman" w:hAnsi="Times New Roman" w:eastAsia="仿宋_GB2312"/>
          <w:bCs/>
          <w:kern w:val="0"/>
          <w:sz w:val="32"/>
          <w:szCs w:val="32"/>
        </w:rPr>
        <w:t>一、部门职责</w:t>
      </w:r>
    </w:p>
    <w:p w14:paraId="61355C3A">
      <w:pPr>
        <w:widowControl/>
        <w:rPr>
          <w:rFonts w:ascii="Times New Roman" w:hAnsi="Times New Roman" w:eastAsia="仿宋_GB2312"/>
          <w:bCs/>
          <w:kern w:val="0"/>
          <w:sz w:val="32"/>
          <w:szCs w:val="32"/>
        </w:rPr>
      </w:pPr>
      <w:r>
        <w:rPr>
          <w:rFonts w:ascii="Times New Roman" w:hAnsi="Times New Roman" w:eastAsia="仿宋_GB2312"/>
          <w:bCs/>
          <w:kern w:val="0"/>
          <w:sz w:val="32"/>
          <w:szCs w:val="32"/>
        </w:rPr>
        <w:t>二、机构设置</w:t>
      </w:r>
    </w:p>
    <w:p w14:paraId="5FF7F973">
      <w:pPr>
        <w:widowControl/>
        <w:rPr>
          <w:rFonts w:ascii="Times New Roman" w:hAnsi="Times New Roman" w:eastAsia="仿宋_GB2312"/>
          <w:bCs/>
          <w:kern w:val="0"/>
          <w:sz w:val="32"/>
          <w:szCs w:val="32"/>
        </w:rPr>
      </w:pPr>
      <w:r>
        <w:rPr>
          <w:rFonts w:ascii="Times New Roman" w:hAnsi="Times New Roman" w:eastAsia="仿宋_GB2312"/>
          <w:bCs/>
          <w:kern w:val="0"/>
          <w:sz w:val="32"/>
          <w:szCs w:val="32"/>
        </w:rPr>
        <w:t>三、部门决算单位构成</w:t>
      </w:r>
    </w:p>
    <w:p w14:paraId="4F4807EC">
      <w:pPr>
        <w:widowControl/>
        <w:rPr>
          <w:rFonts w:ascii="Times New Roman" w:hAnsi="Times New Roman" w:eastAsia="仿宋_GB2312"/>
          <w:b/>
          <w:bCs/>
          <w:kern w:val="0"/>
          <w:sz w:val="32"/>
          <w:szCs w:val="32"/>
        </w:rPr>
      </w:pPr>
      <w:r>
        <w:rPr>
          <w:rFonts w:ascii="Times New Roman" w:hAnsi="Times New Roman" w:eastAsia="仿宋_GB2312"/>
          <w:b/>
          <w:bCs/>
          <w:kern w:val="0"/>
          <w:sz w:val="32"/>
          <w:szCs w:val="32"/>
        </w:rPr>
        <w:t>第二部分  益阳市统计局2019年度部门决算表</w:t>
      </w:r>
    </w:p>
    <w:p w14:paraId="3A2C13C4">
      <w:pPr>
        <w:widowControl/>
        <w:rPr>
          <w:rFonts w:ascii="Times New Roman" w:hAnsi="Times New Roman" w:eastAsia="仿宋_GB2312"/>
          <w:bCs/>
          <w:kern w:val="0"/>
          <w:sz w:val="32"/>
          <w:szCs w:val="32"/>
        </w:rPr>
      </w:pPr>
      <w:r>
        <w:rPr>
          <w:rFonts w:ascii="Times New Roman" w:hAnsi="Times New Roman" w:eastAsia="仿宋_GB2312"/>
          <w:bCs/>
          <w:kern w:val="0"/>
          <w:sz w:val="32"/>
          <w:szCs w:val="32"/>
        </w:rPr>
        <w:t>一、收入支出决算总表</w:t>
      </w:r>
    </w:p>
    <w:p w14:paraId="7D434F4D">
      <w:pPr>
        <w:widowControl/>
        <w:rPr>
          <w:rFonts w:ascii="Times New Roman" w:hAnsi="Times New Roman" w:eastAsia="仿宋_GB2312"/>
          <w:bCs/>
          <w:kern w:val="0"/>
          <w:sz w:val="32"/>
          <w:szCs w:val="32"/>
        </w:rPr>
      </w:pPr>
      <w:r>
        <w:rPr>
          <w:rFonts w:ascii="Times New Roman" w:hAnsi="Times New Roman" w:eastAsia="仿宋_GB2312"/>
          <w:bCs/>
          <w:kern w:val="0"/>
          <w:sz w:val="32"/>
          <w:szCs w:val="32"/>
        </w:rPr>
        <w:t>二、收入决算表</w:t>
      </w:r>
    </w:p>
    <w:p w14:paraId="4F780652">
      <w:pPr>
        <w:widowControl/>
        <w:rPr>
          <w:rFonts w:ascii="Times New Roman" w:hAnsi="Times New Roman" w:eastAsia="仿宋_GB2312"/>
          <w:bCs/>
          <w:kern w:val="0"/>
          <w:sz w:val="32"/>
          <w:szCs w:val="32"/>
        </w:rPr>
      </w:pPr>
      <w:r>
        <w:rPr>
          <w:rFonts w:ascii="Times New Roman" w:hAnsi="Times New Roman" w:eastAsia="仿宋_GB2312"/>
          <w:bCs/>
          <w:kern w:val="0"/>
          <w:sz w:val="32"/>
          <w:szCs w:val="32"/>
        </w:rPr>
        <w:t>三、支出决算表</w:t>
      </w:r>
    </w:p>
    <w:p w14:paraId="09440010">
      <w:pPr>
        <w:widowControl/>
        <w:rPr>
          <w:rFonts w:ascii="Times New Roman" w:hAnsi="Times New Roman" w:eastAsia="仿宋_GB2312"/>
          <w:bCs/>
          <w:kern w:val="0"/>
          <w:sz w:val="32"/>
          <w:szCs w:val="32"/>
        </w:rPr>
      </w:pPr>
      <w:r>
        <w:rPr>
          <w:rFonts w:ascii="Times New Roman" w:hAnsi="Times New Roman" w:eastAsia="仿宋_GB2312"/>
          <w:bCs/>
          <w:kern w:val="0"/>
          <w:sz w:val="32"/>
          <w:szCs w:val="32"/>
        </w:rPr>
        <w:t>四、财政拨款收入支出决算总表</w:t>
      </w:r>
    </w:p>
    <w:p w14:paraId="4E8A03E7">
      <w:pPr>
        <w:widowControl/>
        <w:rPr>
          <w:rFonts w:ascii="Times New Roman" w:hAnsi="Times New Roman" w:eastAsia="仿宋_GB2312"/>
          <w:bCs/>
          <w:kern w:val="0"/>
          <w:sz w:val="32"/>
          <w:szCs w:val="32"/>
        </w:rPr>
      </w:pPr>
      <w:r>
        <w:rPr>
          <w:rFonts w:ascii="Times New Roman" w:hAnsi="Times New Roman" w:eastAsia="仿宋_GB2312"/>
          <w:bCs/>
          <w:kern w:val="0"/>
          <w:sz w:val="32"/>
          <w:szCs w:val="32"/>
        </w:rPr>
        <w:t>五、一般公共预算财政拨款支出决算表</w:t>
      </w:r>
    </w:p>
    <w:p w14:paraId="0EF25FA5">
      <w:pPr>
        <w:widowControl/>
        <w:rPr>
          <w:rFonts w:ascii="Times New Roman" w:hAnsi="Times New Roman" w:eastAsia="仿宋_GB2312"/>
          <w:bCs/>
          <w:kern w:val="0"/>
          <w:sz w:val="32"/>
          <w:szCs w:val="32"/>
        </w:rPr>
      </w:pPr>
      <w:r>
        <w:rPr>
          <w:rFonts w:ascii="Times New Roman" w:hAnsi="Times New Roman" w:eastAsia="仿宋_GB2312"/>
          <w:bCs/>
          <w:kern w:val="0"/>
          <w:sz w:val="32"/>
          <w:szCs w:val="32"/>
        </w:rPr>
        <w:t>六、一般公共预算财政拨款基本支出决算表</w:t>
      </w:r>
    </w:p>
    <w:p w14:paraId="0343EDC9">
      <w:pPr>
        <w:widowControl/>
        <w:rPr>
          <w:rFonts w:ascii="Times New Roman" w:hAnsi="Times New Roman" w:eastAsia="仿宋_GB2312"/>
          <w:bCs/>
          <w:kern w:val="0"/>
          <w:sz w:val="32"/>
          <w:szCs w:val="32"/>
        </w:rPr>
      </w:pPr>
      <w:r>
        <w:rPr>
          <w:rFonts w:ascii="Times New Roman" w:hAnsi="Times New Roman" w:eastAsia="仿宋_GB2312"/>
          <w:bCs/>
          <w:kern w:val="0"/>
          <w:sz w:val="32"/>
          <w:szCs w:val="32"/>
        </w:rPr>
        <w:t>七、一般公共预算财政拨款“三公”经费支出决算表</w:t>
      </w:r>
    </w:p>
    <w:p w14:paraId="6C43B699">
      <w:pPr>
        <w:widowControl/>
        <w:rPr>
          <w:rFonts w:ascii="Times New Roman" w:hAnsi="Times New Roman" w:eastAsia="仿宋_GB2312"/>
          <w:bCs/>
          <w:kern w:val="0"/>
          <w:sz w:val="32"/>
          <w:szCs w:val="32"/>
        </w:rPr>
      </w:pPr>
      <w:r>
        <w:rPr>
          <w:rFonts w:ascii="Times New Roman" w:hAnsi="Times New Roman" w:eastAsia="仿宋_GB2312"/>
          <w:bCs/>
          <w:kern w:val="0"/>
          <w:sz w:val="32"/>
          <w:szCs w:val="32"/>
        </w:rPr>
        <w:t>八、政府性基金预算财政拨款收入支出决算表</w:t>
      </w:r>
    </w:p>
    <w:p w14:paraId="38610921">
      <w:pPr>
        <w:widowControl/>
        <w:rPr>
          <w:rFonts w:ascii="Times New Roman" w:hAnsi="Times New Roman" w:eastAsia="仿宋_GB2312"/>
          <w:b/>
          <w:bCs/>
          <w:kern w:val="0"/>
          <w:sz w:val="32"/>
          <w:szCs w:val="32"/>
        </w:rPr>
      </w:pPr>
      <w:r>
        <w:rPr>
          <w:rFonts w:ascii="Times New Roman" w:hAnsi="Times New Roman" w:eastAsia="仿宋_GB2312"/>
          <w:b/>
          <w:bCs/>
          <w:kern w:val="0"/>
          <w:sz w:val="32"/>
          <w:szCs w:val="32"/>
        </w:rPr>
        <w:t>第三部分  益阳市统计局2019年度部门决算情况说明</w:t>
      </w:r>
    </w:p>
    <w:p w14:paraId="15B97599">
      <w:pPr>
        <w:jc w:val="left"/>
        <w:rPr>
          <w:rFonts w:ascii="Times New Roman" w:hAnsi="Times New Roman" w:eastAsia="仿宋_GB2312"/>
          <w:bCs/>
          <w:kern w:val="0"/>
          <w:sz w:val="32"/>
          <w:szCs w:val="32"/>
        </w:rPr>
      </w:pPr>
      <w:r>
        <w:rPr>
          <w:rFonts w:ascii="Times New Roman" w:hAnsi="Times New Roman" w:eastAsia="仿宋_GB2312"/>
          <w:bCs/>
          <w:kern w:val="0"/>
          <w:sz w:val="32"/>
          <w:szCs w:val="32"/>
        </w:rPr>
        <w:t>一、收入支出决算总体情况说明</w:t>
      </w:r>
    </w:p>
    <w:p w14:paraId="01BF6002">
      <w:pPr>
        <w:jc w:val="left"/>
        <w:rPr>
          <w:rFonts w:ascii="Times New Roman" w:hAnsi="Times New Roman" w:eastAsia="仿宋_GB2312"/>
          <w:bCs/>
          <w:kern w:val="0"/>
          <w:sz w:val="32"/>
          <w:szCs w:val="32"/>
        </w:rPr>
      </w:pPr>
      <w:r>
        <w:rPr>
          <w:rFonts w:ascii="Times New Roman" w:hAnsi="Times New Roman" w:eastAsia="仿宋_GB2312"/>
          <w:bCs/>
          <w:kern w:val="0"/>
          <w:sz w:val="32"/>
          <w:szCs w:val="32"/>
        </w:rPr>
        <w:t>二、收入决算情况说明</w:t>
      </w:r>
    </w:p>
    <w:p w14:paraId="592C5F75">
      <w:pPr>
        <w:jc w:val="left"/>
        <w:rPr>
          <w:rFonts w:ascii="Times New Roman" w:hAnsi="Times New Roman" w:eastAsia="仿宋_GB2312"/>
          <w:bCs/>
          <w:kern w:val="0"/>
          <w:sz w:val="32"/>
          <w:szCs w:val="32"/>
        </w:rPr>
      </w:pPr>
      <w:r>
        <w:rPr>
          <w:rFonts w:ascii="Times New Roman" w:hAnsi="Times New Roman" w:eastAsia="仿宋_GB2312"/>
          <w:bCs/>
          <w:kern w:val="0"/>
          <w:sz w:val="32"/>
          <w:szCs w:val="32"/>
        </w:rPr>
        <w:t>三、支出决算情况说明</w:t>
      </w:r>
    </w:p>
    <w:p w14:paraId="01D02FC6">
      <w:pPr>
        <w:jc w:val="left"/>
        <w:rPr>
          <w:rFonts w:ascii="Times New Roman" w:hAnsi="Times New Roman" w:eastAsia="仿宋_GB2312"/>
          <w:bCs/>
          <w:kern w:val="0"/>
          <w:sz w:val="32"/>
          <w:szCs w:val="32"/>
        </w:rPr>
      </w:pPr>
      <w:r>
        <w:rPr>
          <w:rFonts w:ascii="Times New Roman" w:hAnsi="Times New Roman" w:eastAsia="仿宋_GB2312"/>
          <w:bCs/>
          <w:kern w:val="0"/>
          <w:sz w:val="32"/>
          <w:szCs w:val="32"/>
        </w:rPr>
        <w:t>四、财政拨款收入支出决算总体情况说明</w:t>
      </w:r>
    </w:p>
    <w:p w14:paraId="030338FB">
      <w:pPr>
        <w:jc w:val="left"/>
        <w:rPr>
          <w:rFonts w:ascii="Times New Roman" w:hAnsi="Times New Roman" w:eastAsia="仿宋_GB2312"/>
          <w:bCs/>
          <w:kern w:val="0"/>
          <w:sz w:val="32"/>
          <w:szCs w:val="32"/>
        </w:rPr>
      </w:pPr>
      <w:r>
        <w:rPr>
          <w:rFonts w:ascii="Times New Roman" w:hAnsi="Times New Roman" w:eastAsia="仿宋_GB2312"/>
          <w:bCs/>
          <w:kern w:val="0"/>
          <w:sz w:val="32"/>
          <w:szCs w:val="32"/>
        </w:rPr>
        <w:t>五、一般公共预算财政拨款支出决算情况说明</w:t>
      </w:r>
    </w:p>
    <w:p w14:paraId="6D955056">
      <w:pPr>
        <w:jc w:val="left"/>
        <w:rPr>
          <w:rFonts w:ascii="Times New Roman" w:hAnsi="Times New Roman" w:eastAsia="仿宋_GB2312"/>
          <w:bCs/>
          <w:kern w:val="0"/>
          <w:sz w:val="32"/>
          <w:szCs w:val="32"/>
        </w:rPr>
      </w:pPr>
      <w:r>
        <w:rPr>
          <w:rFonts w:ascii="Times New Roman" w:hAnsi="Times New Roman" w:eastAsia="仿宋_GB2312"/>
          <w:bCs/>
          <w:kern w:val="0"/>
          <w:sz w:val="32"/>
          <w:szCs w:val="32"/>
        </w:rPr>
        <w:t xml:space="preserve">六、一般公共预算财政拨款基本支出决算情况说明 </w:t>
      </w:r>
    </w:p>
    <w:p w14:paraId="4D979C66">
      <w:pPr>
        <w:jc w:val="left"/>
        <w:rPr>
          <w:rFonts w:ascii="Times New Roman" w:hAnsi="Times New Roman" w:eastAsia="仿宋_GB2312"/>
          <w:bCs/>
          <w:kern w:val="0"/>
          <w:sz w:val="32"/>
          <w:szCs w:val="32"/>
        </w:rPr>
      </w:pPr>
      <w:r>
        <w:rPr>
          <w:rFonts w:ascii="Times New Roman" w:hAnsi="Times New Roman" w:eastAsia="仿宋_GB2312"/>
          <w:bCs/>
          <w:kern w:val="0"/>
          <w:sz w:val="32"/>
          <w:szCs w:val="32"/>
        </w:rPr>
        <w:t>七、政府性基金预算财政拨款支出决算情况说明</w:t>
      </w:r>
    </w:p>
    <w:p w14:paraId="21A327FE">
      <w:pPr>
        <w:jc w:val="left"/>
        <w:rPr>
          <w:rFonts w:ascii="Times New Roman" w:hAnsi="Times New Roman" w:eastAsia="仿宋_GB2312"/>
          <w:bCs/>
          <w:kern w:val="0"/>
          <w:sz w:val="32"/>
          <w:szCs w:val="32"/>
        </w:rPr>
      </w:pPr>
      <w:r>
        <w:rPr>
          <w:rFonts w:ascii="Times New Roman" w:hAnsi="Times New Roman" w:eastAsia="仿宋_GB2312"/>
          <w:bCs/>
          <w:kern w:val="0"/>
          <w:sz w:val="32"/>
          <w:szCs w:val="32"/>
        </w:rPr>
        <w:t>八、一般公共预算财政拨款“三公”经费支出决算情况说明</w:t>
      </w:r>
    </w:p>
    <w:p w14:paraId="0B420298">
      <w:pPr>
        <w:jc w:val="left"/>
        <w:rPr>
          <w:rFonts w:ascii="Times New Roman" w:hAnsi="Times New Roman" w:eastAsia="仿宋_GB2312"/>
          <w:bCs/>
          <w:kern w:val="0"/>
          <w:sz w:val="32"/>
          <w:szCs w:val="32"/>
        </w:rPr>
      </w:pPr>
      <w:r>
        <w:rPr>
          <w:rFonts w:ascii="Times New Roman" w:hAnsi="Times New Roman" w:eastAsia="仿宋_GB2312"/>
          <w:bCs/>
          <w:kern w:val="0"/>
          <w:sz w:val="32"/>
          <w:szCs w:val="32"/>
        </w:rPr>
        <w:t>九、预算绩效情况说明</w:t>
      </w:r>
    </w:p>
    <w:p w14:paraId="4D8083C4">
      <w:pPr>
        <w:widowControl/>
        <w:rPr>
          <w:rFonts w:ascii="Times New Roman" w:hAnsi="Times New Roman" w:eastAsia="仿宋_GB2312"/>
          <w:bCs/>
          <w:kern w:val="0"/>
          <w:sz w:val="32"/>
          <w:szCs w:val="32"/>
        </w:rPr>
      </w:pPr>
      <w:r>
        <w:rPr>
          <w:rFonts w:ascii="Times New Roman" w:hAnsi="Times New Roman" w:eastAsia="仿宋_GB2312"/>
          <w:bCs/>
          <w:kern w:val="0"/>
          <w:sz w:val="32"/>
          <w:szCs w:val="32"/>
        </w:rPr>
        <w:t>十、其他重要事项情况说明</w:t>
      </w:r>
    </w:p>
    <w:p w14:paraId="69D4722A">
      <w:pPr>
        <w:widowControl/>
        <w:rPr>
          <w:rFonts w:ascii="Times New Roman" w:hAnsi="Times New Roman" w:eastAsia="仿宋_GB2312"/>
          <w:b/>
          <w:bCs/>
          <w:kern w:val="0"/>
          <w:sz w:val="32"/>
          <w:szCs w:val="32"/>
        </w:rPr>
      </w:pPr>
      <w:r>
        <w:rPr>
          <w:rFonts w:ascii="Times New Roman" w:hAnsi="Times New Roman" w:eastAsia="仿宋_GB2312"/>
          <w:b/>
          <w:bCs/>
          <w:kern w:val="0"/>
          <w:sz w:val="32"/>
          <w:szCs w:val="32"/>
        </w:rPr>
        <w:t>第四部分  名词解释</w:t>
      </w:r>
    </w:p>
    <w:p w14:paraId="7AA6793D">
      <w:pPr>
        <w:jc w:val="center"/>
        <w:rPr>
          <w:rFonts w:ascii="Times New Roman" w:hAnsi="Times New Roman" w:eastAsia="方正小标宋_GBK"/>
          <w:sz w:val="44"/>
          <w:szCs w:val="44"/>
        </w:rPr>
      </w:pPr>
    </w:p>
    <w:p w14:paraId="32A3D9F7">
      <w:pPr>
        <w:jc w:val="center"/>
        <w:rPr>
          <w:rFonts w:ascii="Times New Roman" w:hAnsi="Times New Roman" w:eastAsia="方正小标宋简体"/>
          <w:sz w:val="44"/>
          <w:szCs w:val="44"/>
        </w:rPr>
      </w:pPr>
      <w:r>
        <w:rPr>
          <w:rFonts w:ascii="Times New Roman" w:hAnsi="Times New Roman" w:eastAsia="方正小标宋简体"/>
          <w:sz w:val="44"/>
          <w:szCs w:val="44"/>
        </w:rPr>
        <w:t>第一部分 益阳市统计局概况</w:t>
      </w:r>
    </w:p>
    <w:p w14:paraId="18D61FF0">
      <w:pPr>
        <w:jc w:val="center"/>
        <w:rPr>
          <w:rFonts w:ascii="Times New Roman" w:hAnsi="Times New Roman" w:eastAsia="方正小标宋_GBK"/>
          <w:sz w:val="44"/>
          <w:szCs w:val="44"/>
        </w:rPr>
      </w:pPr>
    </w:p>
    <w:p w14:paraId="2842C05B">
      <w:pPr>
        <w:ind w:firstLine="960" w:firstLineChars="300"/>
        <w:rPr>
          <w:rFonts w:ascii="Times New Roman" w:hAnsi="Times New Roman" w:eastAsia="黑体"/>
          <w:sz w:val="32"/>
          <w:szCs w:val="32"/>
        </w:rPr>
      </w:pPr>
      <w:r>
        <w:rPr>
          <w:rFonts w:ascii="Times New Roman" w:hAnsi="Times New Roman" w:eastAsia="黑体"/>
          <w:sz w:val="32"/>
          <w:szCs w:val="32"/>
        </w:rPr>
        <w:t>一、部门职责</w:t>
      </w:r>
      <w:r>
        <w:rPr>
          <w:rFonts w:ascii="Times New Roman" w:hAnsi="Times New Roman" w:eastAsia="仿宋_GB2312"/>
          <w:color w:val="333333"/>
          <w:kern w:val="0"/>
          <w:sz w:val="32"/>
          <w:szCs w:val="32"/>
        </w:rPr>
        <w:t xml:space="preserve"> </w:t>
      </w:r>
    </w:p>
    <w:p w14:paraId="7D04FD49">
      <w:pPr>
        <w:widowControl/>
        <w:shd w:val="clear" w:color="auto" w:fill="FFFFFF"/>
        <w:wordWrap w:val="0"/>
        <w:spacing w:line="580" w:lineRule="exact"/>
        <w:ind w:firstLine="697"/>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 xml:space="preserve">（一）贯彻执行国家、省统计工作的方针、政策和统计法律、法规，完成国家、省统计调查任务；检查监督统计法规的实施情况，查处各类统计违法行为。 </w:t>
      </w:r>
    </w:p>
    <w:p w14:paraId="252D0D2C">
      <w:pPr>
        <w:widowControl/>
        <w:shd w:val="clear" w:color="auto" w:fill="FFFFFF"/>
        <w:wordWrap w:val="0"/>
        <w:spacing w:line="580" w:lineRule="exact"/>
        <w:ind w:firstLine="697"/>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 xml:space="preserve">（二）制定并组织实施全市统计改革和统计现代化建设规划及统计调查计划；建立健全全市国民经济核算体系和统计指标体系。 </w:t>
      </w:r>
    </w:p>
    <w:p w14:paraId="7ED5CCAB">
      <w:pPr>
        <w:widowControl/>
        <w:shd w:val="clear" w:color="auto" w:fill="FFFFFF"/>
        <w:wordWrap w:val="0"/>
        <w:spacing w:line="580" w:lineRule="exact"/>
        <w:ind w:firstLine="697"/>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 xml:space="preserve">（三）指导和协调全市统计业务工作，组织开展全市性的市情市力普查及有关专项调查；审核市直各有关部门的统计调查计划及其调查方案。 </w:t>
      </w:r>
    </w:p>
    <w:p w14:paraId="5DE03628">
      <w:pPr>
        <w:widowControl/>
        <w:shd w:val="clear" w:color="auto" w:fill="FFFFFF"/>
        <w:wordWrap w:val="0"/>
        <w:spacing w:line="580" w:lineRule="exact"/>
        <w:ind w:firstLine="697"/>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 xml:space="preserve">（四）为市委、市人民政府制订政策、编制国民经济和社会发展规划提供统计资料，并对全市国民经济、科技进步和社会发展等情况进行统计分析、统计预测、统计检查和监督，向市委、市人民政府及其有关部门提供统计信息和咨询建议。 </w:t>
      </w:r>
    </w:p>
    <w:p w14:paraId="6F95F838">
      <w:pPr>
        <w:widowControl/>
        <w:shd w:val="clear" w:color="auto" w:fill="FFFFFF"/>
        <w:wordWrap w:val="0"/>
        <w:spacing w:line="580" w:lineRule="exact"/>
        <w:ind w:firstLine="697"/>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（五）统一核定、管理、公布全市经济、社会、科技的基本统计资料，定期发布全市</w:t>
      </w:r>
      <w:r>
        <w:rPr>
          <w:rFonts w:hint="eastAsia" w:ascii="Times New Roman" w:hAnsi="Times New Roman" w:eastAsia="仿宋_GB2312"/>
          <w:color w:val="333333"/>
          <w:kern w:val="0"/>
          <w:sz w:val="32"/>
          <w:szCs w:val="32"/>
          <w:lang w:eastAsia="zh-CN"/>
        </w:rPr>
        <w:t>国民</w:t>
      </w:r>
      <w:bookmarkStart w:id="0" w:name="_GoBack"/>
      <w:bookmarkEnd w:id="0"/>
      <w:r>
        <w:rPr>
          <w:rFonts w:ascii="Times New Roman" w:hAnsi="Times New Roman" w:eastAsia="仿宋_GB2312"/>
          <w:color w:val="333333"/>
          <w:kern w:val="0"/>
          <w:sz w:val="32"/>
          <w:szCs w:val="32"/>
        </w:rPr>
        <w:t>经济和社会发展情况统计公报以及有关普查和专项调查公报；发布社会经济统计信息。</w:t>
      </w:r>
    </w:p>
    <w:p w14:paraId="59EA320C">
      <w:pPr>
        <w:widowControl/>
        <w:shd w:val="clear" w:color="auto" w:fill="FFFFFF"/>
        <w:wordWrap w:val="0"/>
        <w:spacing w:line="580" w:lineRule="exact"/>
        <w:ind w:firstLine="697"/>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 xml:space="preserve">（六）建立健全和管理全市统计信息自动化系统和统计数据库体系；指导各基层单位加强统计基础建设。 </w:t>
      </w:r>
    </w:p>
    <w:p w14:paraId="73C70113">
      <w:pPr>
        <w:widowControl/>
        <w:shd w:val="clear" w:color="auto" w:fill="FFFFFF"/>
        <w:wordWrap w:val="0"/>
        <w:spacing w:line="580" w:lineRule="exact"/>
        <w:ind w:firstLine="697"/>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 xml:space="preserve">（七）管理或代为管理城市、农村、企业调查队，组织协调全市城市、农村和企业调查工作。 </w:t>
      </w:r>
    </w:p>
    <w:p w14:paraId="21D40E2C">
      <w:pPr>
        <w:widowControl/>
        <w:shd w:val="clear" w:color="auto" w:fill="FFFFFF"/>
        <w:wordWrap w:val="0"/>
        <w:spacing w:line="580" w:lineRule="exact"/>
        <w:ind w:firstLine="697"/>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 xml:space="preserve">（八）统一管理乡（含街道）以上政府统计部门的统计事业费；协助区、县（市）管理和考核区、县（市）统计局正、副局长；全同有关部门承办全市统计专业资格考试和职务评审有关工作；组织指导全市统计科研、统计教育、统计宣传工作。 </w:t>
      </w:r>
    </w:p>
    <w:p w14:paraId="78768437">
      <w:pPr>
        <w:widowControl/>
        <w:shd w:val="clear" w:color="auto" w:fill="FFFFFF"/>
        <w:wordWrap w:val="0"/>
        <w:spacing w:line="580" w:lineRule="exact"/>
        <w:ind w:firstLine="697"/>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（九）承办市委、市人民政府和上级主管部门交办的其他事项。</w:t>
      </w:r>
    </w:p>
    <w:p w14:paraId="29F3D399">
      <w:pPr>
        <w:widowControl/>
        <w:shd w:val="clear" w:color="auto" w:fill="FFFFFF"/>
        <w:wordWrap w:val="0"/>
        <w:ind w:firstLine="640" w:firstLineChars="200"/>
        <w:jc w:val="left"/>
        <w:rPr>
          <w:rFonts w:ascii="Times New Roman" w:hAnsi="Times New Roman" w:eastAsia="黑体"/>
          <w:sz w:val="32"/>
          <w:szCs w:val="32"/>
        </w:rPr>
      </w:pPr>
      <w:r>
        <w:rPr>
          <w:rFonts w:ascii="Times New Roman" w:hAnsi="Times New Roman" w:eastAsia="黑体"/>
          <w:sz w:val="32"/>
          <w:szCs w:val="32"/>
        </w:rPr>
        <w:t>二、机构设置</w:t>
      </w:r>
    </w:p>
    <w:p w14:paraId="45F8C202">
      <w:pPr>
        <w:widowControl/>
        <w:rPr>
          <w:rFonts w:ascii="Times New Roman" w:hAnsi="Times New Roman"/>
          <w:kern w:val="0"/>
          <w:sz w:val="24"/>
          <w:szCs w:val="24"/>
        </w:rPr>
      </w:pPr>
      <w:r>
        <w:rPr>
          <w:rFonts w:ascii="Times New Roman" w:hAnsi="Times New Roman" w:eastAsia="黑体"/>
          <w:sz w:val="32"/>
          <w:szCs w:val="32"/>
        </w:rPr>
        <w:t xml:space="preserve">            </w:t>
      </w:r>
      <w:r>
        <w:rPr>
          <w:rFonts w:ascii="Times New Roman" w:hAnsi="Times New Roman"/>
          <w:kern w:val="0"/>
          <w:sz w:val="24"/>
          <w:szCs w:val="24"/>
        </w:rPr>
        <w:t xml:space="preserve"> </w:t>
      </w:r>
    </w:p>
    <w:p w14:paraId="79A76249">
      <w:pPr>
        <w:widowControl/>
        <w:shd w:val="clear" w:color="auto" w:fill="FFFFFF"/>
        <w:wordWrap w:val="0"/>
        <w:ind w:firstLine="630" w:firstLineChars="300"/>
        <w:jc w:val="left"/>
        <w:rPr>
          <w:rFonts w:ascii="Times New Roman" w:hAnsi="Times New Roman" w:eastAsia="黑体"/>
          <w:sz w:val="32"/>
          <w:szCs w:val="32"/>
        </w:rPr>
      </w:pPr>
      <w:r>
        <w:rPr>
          <w:rFonts w:ascii="Times New Roman" w:hAnsi="Times New Roman"/>
        </w:rPr>
        <w:drawing>
          <wp:inline distT="0" distB="0" distL="0" distR="0">
            <wp:extent cx="4476750" cy="440753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4515774" cy="4445641"/>
                    </a:xfrm>
                    <a:prstGeom prst="rect">
                      <a:avLst/>
                    </a:prstGeom>
                  </pic:spPr>
                </pic:pic>
              </a:graphicData>
            </a:graphic>
          </wp:inline>
        </w:drawing>
      </w:r>
    </w:p>
    <w:p w14:paraId="782A2D3F">
      <w:pPr>
        <w:widowControl/>
        <w:shd w:val="clear" w:color="auto" w:fill="FFFFFF"/>
        <w:wordWrap w:val="0"/>
        <w:ind w:firstLine="640" w:firstLineChars="200"/>
        <w:jc w:val="left"/>
        <w:rPr>
          <w:rFonts w:ascii="Times New Roman" w:hAnsi="Times New Roman" w:eastAsia="黑体"/>
          <w:sz w:val="32"/>
          <w:szCs w:val="32"/>
        </w:rPr>
      </w:pPr>
      <w:r>
        <w:rPr>
          <w:rFonts w:ascii="Times New Roman" w:hAnsi="Times New Roman" w:eastAsia="黑体"/>
          <w:sz w:val="32"/>
          <w:szCs w:val="32"/>
        </w:rPr>
        <w:t>三、部门决算单位构成</w:t>
      </w:r>
    </w:p>
    <w:p w14:paraId="05BFAB7D">
      <w:pPr>
        <w:ind w:firstLine="640" w:firstLineChars="200"/>
        <w:rPr>
          <w:rFonts w:ascii="Times New Roman" w:hAnsi="Times New Roman" w:eastAsia="方正小标宋_GBK"/>
          <w:sz w:val="44"/>
          <w:szCs w:val="44"/>
        </w:rPr>
      </w:pPr>
      <w:r>
        <w:rPr>
          <w:rFonts w:ascii="Times New Roman" w:hAnsi="Times New Roman" w:eastAsia="仿宋_GB2312"/>
          <w:color w:val="333333"/>
          <w:kern w:val="0"/>
          <w:sz w:val="32"/>
          <w:szCs w:val="32"/>
        </w:rPr>
        <w:t>从决算单位构成看，益阳市统计局部门决算仅包括本级部门决算。</w:t>
      </w:r>
    </w:p>
    <w:p w14:paraId="5B09FA7F">
      <w:pPr>
        <w:jc w:val="center"/>
        <w:rPr>
          <w:rFonts w:ascii="Times New Roman" w:hAnsi="Times New Roman" w:eastAsia="方正小标宋简体"/>
          <w:sz w:val="44"/>
          <w:szCs w:val="44"/>
        </w:rPr>
      </w:pPr>
      <w:r>
        <w:rPr>
          <w:rFonts w:ascii="Times New Roman" w:hAnsi="Times New Roman" w:eastAsia="方正小标宋简体"/>
          <w:sz w:val="44"/>
          <w:szCs w:val="44"/>
        </w:rPr>
        <w:t xml:space="preserve">第二部分 </w:t>
      </w:r>
    </w:p>
    <w:p w14:paraId="20AB4B62">
      <w:pPr>
        <w:jc w:val="center"/>
        <w:rPr>
          <w:rFonts w:ascii="Times New Roman" w:hAnsi="Times New Roman" w:eastAsia="方正小标宋简体"/>
          <w:sz w:val="44"/>
          <w:szCs w:val="44"/>
        </w:rPr>
      </w:pPr>
      <w:r>
        <w:rPr>
          <w:rFonts w:ascii="Times New Roman" w:hAnsi="Times New Roman" w:eastAsia="方正小标宋简体"/>
          <w:sz w:val="44"/>
          <w:szCs w:val="44"/>
        </w:rPr>
        <w:t>益阳市统计局2019年度部门决算表</w:t>
      </w:r>
    </w:p>
    <w:p w14:paraId="255EF2FE">
      <w:pPr>
        <w:ind w:firstLine="640" w:firstLineChars="200"/>
        <w:rPr>
          <w:rFonts w:ascii="Times New Roman" w:hAnsi="Times New Roman" w:eastAsia="仿宋"/>
          <w:sz w:val="32"/>
          <w:szCs w:val="32"/>
        </w:rPr>
      </w:pPr>
    </w:p>
    <w:p w14:paraId="3B17736B">
      <w:pPr>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公开01表：收入支出决算总表</w:t>
      </w:r>
    </w:p>
    <w:p w14:paraId="4E080487">
      <w:pPr>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公开02表：收入决算表</w:t>
      </w:r>
    </w:p>
    <w:p w14:paraId="2CC93F26">
      <w:pPr>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公开03表：支出决算表</w:t>
      </w:r>
    </w:p>
    <w:p w14:paraId="6DC3D7E2">
      <w:pPr>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公开04表：财政拨款收入支出决算总表</w:t>
      </w:r>
    </w:p>
    <w:p w14:paraId="02666C04">
      <w:pPr>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公开05表：一般公共预算财政拨款支出决算表</w:t>
      </w:r>
    </w:p>
    <w:p w14:paraId="6BDCC488">
      <w:pPr>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公开06表：一般公共预算财政拨款基本支出决算表</w:t>
      </w:r>
    </w:p>
    <w:p w14:paraId="39636216">
      <w:pPr>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公开07表：一般公共预算财政拨款“三公”经费支出决算表</w:t>
      </w:r>
    </w:p>
    <w:p w14:paraId="0E1C945A">
      <w:pPr>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公开08表：政府性基金预算财政拨款收入支出决算表</w:t>
      </w:r>
    </w:p>
    <w:p w14:paraId="3BD08CC4">
      <w:pPr>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见附件</w:t>
      </w:r>
    </w:p>
    <w:p w14:paraId="013889D2">
      <w:pPr>
        <w:ind w:firstLine="640" w:firstLineChars="20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表8无数据，益阳市统计局没有政府性基金收入，也没有政府性基金安排的支出，故本表无数据。</w:t>
      </w:r>
    </w:p>
    <w:p w14:paraId="3B8D6732">
      <w:pPr>
        <w:ind w:firstLine="640" w:firstLineChars="200"/>
        <w:jc w:val="left"/>
        <w:rPr>
          <w:rFonts w:ascii="Times New Roman" w:hAnsi="Times New Roman" w:eastAsia="仿宋_GB2312"/>
          <w:color w:val="333333"/>
          <w:kern w:val="0"/>
          <w:sz w:val="32"/>
          <w:szCs w:val="32"/>
        </w:rPr>
      </w:pPr>
    </w:p>
    <w:p w14:paraId="5B757609">
      <w:pPr>
        <w:jc w:val="center"/>
        <w:rPr>
          <w:rFonts w:ascii="Times New Roman" w:hAnsi="Times New Roman" w:eastAsia="方正小标宋简体"/>
          <w:sz w:val="44"/>
          <w:szCs w:val="44"/>
        </w:rPr>
      </w:pPr>
      <w:r>
        <w:rPr>
          <w:rFonts w:ascii="Times New Roman" w:hAnsi="Times New Roman" w:eastAsia="方正小标宋简体"/>
          <w:sz w:val="44"/>
          <w:szCs w:val="44"/>
        </w:rPr>
        <w:t>第三部分</w:t>
      </w:r>
    </w:p>
    <w:p w14:paraId="55E541F4">
      <w:pPr>
        <w:jc w:val="center"/>
        <w:rPr>
          <w:rFonts w:ascii="Times New Roman" w:hAnsi="Times New Roman" w:eastAsia="方正小标宋简体"/>
          <w:sz w:val="44"/>
          <w:szCs w:val="44"/>
        </w:rPr>
      </w:pPr>
      <w:r>
        <w:rPr>
          <w:rFonts w:ascii="Times New Roman" w:hAnsi="Times New Roman" w:eastAsia="方正小标宋简体"/>
          <w:sz w:val="44"/>
          <w:szCs w:val="44"/>
        </w:rPr>
        <w:t>益阳市统计局2019年度部门决算情况说明</w:t>
      </w:r>
    </w:p>
    <w:p w14:paraId="452D1AD2">
      <w:pPr>
        <w:ind w:firstLine="640" w:firstLineChars="200"/>
        <w:jc w:val="left"/>
        <w:rPr>
          <w:rFonts w:ascii="Times New Roman" w:hAnsi="Times New Roman" w:eastAsia="黑体"/>
          <w:sz w:val="32"/>
          <w:szCs w:val="32"/>
        </w:rPr>
      </w:pPr>
    </w:p>
    <w:p w14:paraId="297E7DB8">
      <w:pPr>
        <w:ind w:firstLine="640" w:firstLineChars="200"/>
        <w:jc w:val="left"/>
        <w:rPr>
          <w:rFonts w:ascii="Times New Roman" w:hAnsi="Times New Roman" w:eastAsia="黑体"/>
          <w:sz w:val="32"/>
          <w:szCs w:val="32"/>
        </w:rPr>
      </w:pPr>
      <w:r>
        <w:rPr>
          <w:rFonts w:ascii="Times New Roman" w:hAnsi="Times New Roman" w:eastAsia="黑体"/>
          <w:sz w:val="32"/>
          <w:szCs w:val="32"/>
        </w:rPr>
        <w:t>一、关于益阳市统计局2019年度收入支出决算总体情况说明</w:t>
      </w:r>
    </w:p>
    <w:p w14:paraId="16B2215D">
      <w:pPr>
        <w:ind w:firstLine="640" w:firstLineChars="20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2019年度收入总计1165.49万元，比上年同期减少87.61万元，降低6.9%；支出总计1183.06万元，比上年同期减少40.44万元，降低3.3%。主要原因：压减了项目资金收入。</w:t>
      </w:r>
    </w:p>
    <w:p w14:paraId="72ADF6A0">
      <w:pPr>
        <w:pStyle w:val="9"/>
        <w:ind w:left="720" w:firstLine="0" w:firstLineChars="0"/>
        <w:jc w:val="left"/>
        <w:rPr>
          <w:rFonts w:ascii="Times New Roman" w:hAnsi="Times New Roman" w:eastAsia="黑体"/>
          <w:sz w:val="32"/>
          <w:szCs w:val="32"/>
        </w:rPr>
      </w:pPr>
      <w:r>
        <w:rPr>
          <w:rFonts w:ascii="Times New Roman" w:hAnsi="Times New Roman" w:eastAsia="黑体"/>
          <w:sz w:val="32"/>
          <w:szCs w:val="32"/>
        </w:rPr>
        <w:t>二、关于益阳市统计局2019年度收入决算情况说明</w:t>
      </w:r>
    </w:p>
    <w:p w14:paraId="438A8C51">
      <w:pPr>
        <w:ind w:firstLine="640" w:firstLineChars="200"/>
        <w:jc w:val="left"/>
        <w:rPr>
          <w:rFonts w:ascii="Times New Roman" w:hAnsi="Times New Roman" w:eastAsia="仿宋"/>
          <w:sz w:val="32"/>
          <w:szCs w:val="32"/>
        </w:rPr>
      </w:pPr>
      <w:r>
        <w:rPr>
          <w:rFonts w:ascii="Times New Roman" w:hAnsi="Times New Roman" w:eastAsia="仿宋_GB2312"/>
          <w:color w:val="333333"/>
          <w:kern w:val="0"/>
          <w:sz w:val="32"/>
          <w:szCs w:val="32"/>
        </w:rPr>
        <w:t>2019年度收入合计1165.49万元，其中：财政拨款收入1143.49万元，占98%；其他收入22万元，占2%。</w:t>
      </w:r>
    </w:p>
    <w:p w14:paraId="003F0FD9">
      <w:pPr>
        <w:pStyle w:val="9"/>
        <w:ind w:left="720" w:firstLine="0" w:firstLineChars="0"/>
        <w:jc w:val="left"/>
        <w:rPr>
          <w:rFonts w:ascii="Times New Roman" w:hAnsi="Times New Roman" w:eastAsia="黑体"/>
          <w:sz w:val="32"/>
          <w:szCs w:val="32"/>
        </w:rPr>
      </w:pPr>
      <w:r>
        <w:rPr>
          <w:rFonts w:ascii="Times New Roman" w:hAnsi="Times New Roman" w:eastAsia="黑体"/>
          <w:sz w:val="32"/>
          <w:szCs w:val="32"/>
        </w:rPr>
        <w:t>三、关于益阳市统计局2019年度支出决算情况说明</w:t>
      </w:r>
    </w:p>
    <w:p w14:paraId="422A0BD4">
      <w:pPr>
        <w:ind w:firstLine="640" w:firstLineChars="20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2019年度支出合计1183.06万元，其中：基本支出822.9万元，占69.5%；项目支出360.16万元，占30.5%。</w:t>
      </w:r>
    </w:p>
    <w:p w14:paraId="66DF8ACB">
      <w:pPr>
        <w:ind w:firstLine="640"/>
        <w:jc w:val="left"/>
        <w:rPr>
          <w:rFonts w:ascii="Times New Roman" w:hAnsi="Times New Roman" w:eastAsia="黑体"/>
          <w:sz w:val="32"/>
        </w:rPr>
      </w:pPr>
      <w:r>
        <w:rPr>
          <w:rFonts w:ascii="Times New Roman" w:hAnsi="Times New Roman" w:eastAsia="黑体"/>
          <w:sz w:val="32"/>
          <w:szCs w:val="32"/>
        </w:rPr>
        <w:t>四、关于益阳市统计局2019年度</w:t>
      </w:r>
      <w:r>
        <w:rPr>
          <w:rFonts w:ascii="Times New Roman" w:hAnsi="Times New Roman" w:eastAsia="黑体"/>
          <w:sz w:val="32"/>
        </w:rPr>
        <w:t>财政拨款收入支出决算总体情况说明</w:t>
      </w:r>
    </w:p>
    <w:p w14:paraId="3B3296A8">
      <w:pPr>
        <w:ind w:firstLine="640" w:firstLineChars="20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 xml:space="preserve"> 2019年度财政拨款收入总计1143.49万元，比上年同期减少了18.21万元，降低1.5%；财政拨款支出总计1183.06万元，比上年同期增长0.56万元，增长0.4%。主要原因：压减了项目资金收入，调整公务员基本工资开支。</w:t>
      </w:r>
    </w:p>
    <w:p w14:paraId="22B5ED68">
      <w:pPr>
        <w:ind w:firstLine="640" w:firstLineChars="200"/>
        <w:jc w:val="left"/>
        <w:rPr>
          <w:rFonts w:ascii="Times New Roman" w:hAnsi="Times New Roman" w:eastAsia="黑体"/>
          <w:sz w:val="32"/>
          <w:szCs w:val="32"/>
        </w:rPr>
      </w:pPr>
      <w:r>
        <w:rPr>
          <w:rFonts w:ascii="Times New Roman" w:hAnsi="Times New Roman" w:eastAsia="黑体"/>
          <w:sz w:val="32"/>
          <w:szCs w:val="32"/>
        </w:rPr>
        <w:t>五、关于益阳市统计局2019年度一般公共预算财政拨款收入支出决算情况说明</w:t>
      </w:r>
    </w:p>
    <w:p w14:paraId="24FDB793">
      <w:pPr>
        <w:ind w:firstLine="320" w:firstLineChars="100"/>
        <w:jc w:val="left"/>
        <w:rPr>
          <w:rFonts w:ascii="Times New Roman" w:hAnsi="Times New Roman" w:eastAsia="楷体_GB2312"/>
          <w:color w:val="333333"/>
          <w:kern w:val="0"/>
          <w:sz w:val="32"/>
          <w:szCs w:val="32"/>
        </w:rPr>
      </w:pPr>
      <w:r>
        <w:rPr>
          <w:rFonts w:ascii="Times New Roman" w:hAnsi="Times New Roman" w:eastAsia="楷体_GB2312"/>
          <w:color w:val="333333"/>
          <w:kern w:val="0"/>
          <w:sz w:val="32"/>
          <w:szCs w:val="32"/>
        </w:rPr>
        <w:t>（一）一般公共预算财政拨款收入支出决算总体情况。</w:t>
      </w:r>
    </w:p>
    <w:p w14:paraId="4EDF3B11">
      <w:pPr>
        <w:ind w:firstLine="640" w:firstLineChars="20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2019年度一般公共预算财政拨款收入总计1143.49万元，比上年同期减少了18.21万元，降低1.5%；一般公共预算财政拨款支出总计1183.06万元，比上年同期增长0.56万元，增长0.4%。主要原因：压减了项目资金收入，调整公务员基本工资开支。</w:t>
      </w:r>
    </w:p>
    <w:p w14:paraId="238057B9">
      <w:pPr>
        <w:ind w:firstLine="320" w:firstLineChars="100"/>
        <w:jc w:val="left"/>
        <w:rPr>
          <w:rFonts w:ascii="Times New Roman" w:hAnsi="Times New Roman" w:eastAsia="楷体_GB2312"/>
          <w:color w:val="333333"/>
          <w:kern w:val="0"/>
          <w:sz w:val="32"/>
          <w:szCs w:val="32"/>
        </w:rPr>
      </w:pPr>
      <w:r>
        <w:rPr>
          <w:rFonts w:ascii="Times New Roman" w:hAnsi="Times New Roman" w:eastAsia="楷体_GB2312"/>
          <w:color w:val="333333"/>
          <w:kern w:val="0"/>
          <w:sz w:val="32"/>
          <w:szCs w:val="32"/>
        </w:rPr>
        <w:t>（二）一般公共预算财政拨款支出决算构成情况。</w:t>
      </w:r>
    </w:p>
    <w:p w14:paraId="3EA7EA1E">
      <w:pPr>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 xml:space="preserve">   统计信息事务支出1078.11万元，占92.88%；组织事务4.14万元，占0.36%；教育支出9.48万，占0.82%，社科学技术支出15万元，占 1.3%；社会保障和就业支出7.15万元，占0.62%；住房保障支出45.58万元，占3.93%；灾害防治及应急管理支出1万元，占0.09%。</w:t>
      </w:r>
    </w:p>
    <w:p w14:paraId="02589A26">
      <w:pPr>
        <w:ind w:firstLine="320" w:firstLineChars="100"/>
        <w:jc w:val="left"/>
        <w:rPr>
          <w:rFonts w:ascii="Times New Roman" w:hAnsi="Times New Roman" w:eastAsia="楷体_GB2312"/>
          <w:color w:val="333333"/>
          <w:kern w:val="0"/>
          <w:sz w:val="32"/>
          <w:szCs w:val="32"/>
        </w:rPr>
      </w:pPr>
      <w:r>
        <w:rPr>
          <w:rFonts w:ascii="Times New Roman" w:hAnsi="Times New Roman" w:eastAsia="楷体_GB2312"/>
          <w:color w:val="333333"/>
          <w:kern w:val="0"/>
          <w:sz w:val="32"/>
          <w:szCs w:val="32"/>
        </w:rPr>
        <w:t>（三）一般公共预算财政拨款支出决算具体情况。</w:t>
      </w:r>
    </w:p>
    <w:p w14:paraId="28344989">
      <w:pPr>
        <w:ind w:firstLine="64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1. 一般公共服务支出（类）统计信息事务（款）行政运行（项）财政拨款支出804.95万元，主要用于人员工资、津补贴、社会保障缴费、其他对家庭和个人的补助。</w:t>
      </w:r>
    </w:p>
    <w:p w14:paraId="6F35AE2F">
      <w:pPr>
        <w:ind w:firstLine="64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2. 一般公共服务支出（类）统计信息事务（款）一般行政管理事务（项）财政拨款支出273.16万元，主要用于办公费、印刷费、水电费、邮电费、物业管理费等。</w:t>
      </w:r>
    </w:p>
    <w:p w14:paraId="6ED0182E">
      <w:pPr>
        <w:ind w:firstLine="64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3. 一般公共服务支出（类）组织事务（款）其他组织事务（项）财政拨款支出4.14万元，主要用于办公费、印刷费、差旅费等。</w:t>
      </w:r>
    </w:p>
    <w:p w14:paraId="1FA5DD15">
      <w:pPr>
        <w:ind w:firstLine="64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4. 教育支出（类）其他教育支出（款）其他教育支出（项）财政拨款支出9.48万元，主要用于办公费、印刷费、宣传费等。</w:t>
      </w:r>
    </w:p>
    <w:p w14:paraId="14593807">
      <w:pPr>
        <w:ind w:firstLine="64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5.科学技术支出（类）其他科学技术支出（款）其他科学技术支出（项）财政拨款支出15万元，主要用于科技文化产业统计业务所需开支。</w:t>
      </w:r>
    </w:p>
    <w:p w14:paraId="5AC3CFF6">
      <w:pPr>
        <w:ind w:firstLine="64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6.社会保障和就业支出（类）行政事业单位离退休（款）归口管理的行政单位离退休（项）财政拨款支出7.15万元，主要用于在退休职工的退休津贴。</w:t>
      </w:r>
    </w:p>
    <w:p w14:paraId="55C7530D">
      <w:pPr>
        <w:ind w:firstLine="64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7.住房保障支出（款）住房改革支出（项）住房公积金支出（项）财政拨款支出45.58万元，主要用于在职干职工住房公积金缴纳。</w:t>
      </w:r>
    </w:p>
    <w:p w14:paraId="72101625">
      <w:pPr>
        <w:ind w:firstLine="64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8.灾害防治及应急管理支出（类）应急管理事务（款）安全监管（项）财政拨款支出1万元，主要用于安全监管工作奖励开支。</w:t>
      </w:r>
    </w:p>
    <w:p w14:paraId="579639D9">
      <w:pPr>
        <w:ind w:firstLine="640" w:firstLineChars="200"/>
        <w:jc w:val="left"/>
        <w:rPr>
          <w:rFonts w:ascii="Times New Roman" w:hAnsi="Times New Roman" w:eastAsia="黑体"/>
          <w:sz w:val="32"/>
          <w:szCs w:val="32"/>
        </w:rPr>
      </w:pPr>
      <w:r>
        <w:rPr>
          <w:rFonts w:ascii="Times New Roman" w:hAnsi="Times New Roman" w:eastAsia="黑体"/>
          <w:sz w:val="32"/>
          <w:szCs w:val="32"/>
        </w:rPr>
        <w:t>六、关于益阳市统计局2019年度一般公共预算财政拨款基本支出决算情况说明</w:t>
      </w:r>
    </w:p>
    <w:p w14:paraId="01817AE9">
      <w:pPr>
        <w:ind w:firstLine="640" w:firstLineChars="20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2019年度一般公共预算财政拨款基本支出822.9万元，人员经费支出697.59万元，主要用于基本工资、津贴补贴、社会保障缴费、退休金、医疗费、住房公积金等；公用经费支出125.31万元，主要用于办公费、印刷费、工会经费、福利费等。</w:t>
      </w:r>
    </w:p>
    <w:p w14:paraId="3FBFAB39">
      <w:pPr>
        <w:ind w:firstLine="640"/>
        <w:jc w:val="left"/>
        <w:rPr>
          <w:rFonts w:ascii="Times New Roman" w:hAnsi="Times New Roman" w:eastAsia="黑体"/>
          <w:sz w:val="32"/>
        </w:rPr>
      </w:pPr>
      <w:r>
        <w:rPr>
          <w:rFonts w:ascii="Times New Roman" w:hAnsi="Times New Roman" w:eastAsia="黑体"/>
          <w:sz w:val="32"/>
        </w:rPr>
        <w:t>七、关于益阳市统计局2019年度政府性基金预算财政拨款支出决算情况说明</w:t>
      </w:r>
    </w:p>
    <w:p w14:paraId="36C9014A">
      <w:pPr>
        <w:ind w:firstLine="640" w:firstLineChars="20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本项收支情况无。</w:t>
      </w:r>
    </w:p>
    <w:p w14:paraId="3ACD831F">
      <w:pPr>
        <w:ind w:firstLine="640" w:firstLineChars="200"/>
        <w:jc w:val="left"/>
        <w:rPr>
          <w:rFonts w:ascii="Times New Roman" w:hAnsi="Times New Roman" w:eastAsia="黑体"/>
          <w:sz w:val="32"/>
          <w:szCs w:val="32"/>
        </w:rPr>
      </w:pPr>
      <w:r>
        <w:rPr>
          <w:rFonts w:ascii="Times New Roman" w:hAnsi="Times New Roman" w:eastAsia="黑体"/>
          <w:sz w:val="32"/>
          <w:szCs w:val="32"/>
        </w:rPr>
        <w:t>八、关于益阳市统计局2019年度一般公共预算财政拨款“三公”经费支出决算情况说明</w:t>
      </w:r>
    </w:p>
    <w:p w14:paraId="326C0A68">
      <w:pPr>
        <w:ind w:firstLine="480" w:firstLineChars="150"/>
        <w:jc w:val="left"/>
        <w:rPr>
          <w:rFonts w:ascii="Times New Roman" w:hAnsi="Times New Roman" w:eastAsia="楷体_GB2312"/>
          <w:color w:val="333333"/>
          <w:kern w:val="0"/>
          <w:sz w:val="32"/>
          <w:szCs w:val="32"/>
        </w:rPr>
      </w:pPr>
      <w:r>
        <w:rPr>
          <w:rFonts w:ascii="Times New Roman" w:hAnsi="Times New Roman" w:eastAsia="楷体_GB2312"/>
          <w:color w:val="333333"/>
          <w:kern w:val="0"/>
          <w:sz w:val="32"/>
          <w:szCs w:val="32"/>
        </w:rPr>
        <w:t>（一）“三公”经费财政拨款支出决算总体情况说明。</w:t>
      </w:r>
    </w:p>
    <w:p w14:paraId="05065A2F">
      <w:pPr>
        <w:ind w:firstLine="640" w:firstLineChars="200"/>
        <w:jc w:val="left"/>
        <w:rPr>
          <w:rFonts w:ascii="Times New Roman" w:hAnsi="Times New Roman" w:eastAsia="仿宋_GB2312"/>
          <w:sz w:val="32"/>
        </w:rPr>
      </w:pPr>
      <w:r>
        <w:rPr>
          <w:rFonts w:ascii="Times New Roman" w:hAnsi="Times New Roman" w:eastAsia="仿宋_GB2312"/>
          <w:sz w:val="32"/>
        </w:rPr>
        <w:t>2019年度“三公”经费财政拨款支出预算为48万元，支出决算为39.75万元，完成预算的82.8%，其中：因公出国（境）费支出决算为 0万元，无预算；公务用车购置及运行费支出预算为23万元，决算为36.66万元，完成预算的159.3%；公务接待费支出预算为25万元，决算为3.09万元，完成预算的12%。2019年度“三公”经费支出决算数小于预算数的主要原因：积极响应国家相关政策，全体干部职工统一思想，不铺张浪费，严格控制“三公”经费的支出，努力建设节约型机关；公务用车购置及运行费支出超过预算是因为本年购置了新车，经费自筹。</w:t>
      </w:r>
    </w:p>
    <w:p w14:paraId="6C5A971A">
      <w:pPr>
        <w:ind w:firstLine="640" w:firstLineChars="200"/>
        <w:jc w:val="left"/>
        <w:rPr>
          <w:rFonts w:ascii="Times New Roman" w:hAnsi="Times New Roman" w:eastAsia="仿宋_GB2312"/>
          <w:b/>
          <w:sz w:val="32"/>
        </w:rPr>
      </w:pPr>
      <w:r>
        <w:rPr>
          <w:rFonts w:ascii="Times New Roman" w:hAnsi="Times New Roman" w:eastAsia="楷体_GB2312"/>
          <w:color w:val="333333"/>
          <w:kern w:val="0"/>
          <w:sz w:val="32"/>
          <w:szCs w:val="32"/>
        </w:rPr>
        <w:t>（二）“三公”经费财政拨款支出决算具体情况说明。</w:t>
      </w:r>
    </w:p>
    <w:p w14:paraId="60CEF124">
      <w:pPr>
        <w:ind w:firstLine="640" w:firstLineChars="200"/>
        <w:jc w:val="left"/>
        <w:rPr>
          <w:rFonts w:ascii="Times New Roman" w:hAnsi="Times New Roman" w:eastAsia="仿宋_GB2312"/>
          <w:sz w:val="32"/>
        </w:rPr>
      </w:pPr>
      <w:r>
        <w:rPr>
          <w:rFonts w:ascii="Times New Roman" w:hAnsi="Times New Roman" w:eastAsia="仿宋_GB2312"/>
          <w:sz w:val="32"/>
        </w:rPr>
        <w:t xml:space="preserve"> 2019年度“三公”经费财政拨款支出决算为39.75万元，其中：因公出国（境）费支出决算为0万元，占0%；公务用车购置及运行费支出决算为24.49万元，占61%；公务接待费支出决算为 3.09万元，占39%。2019年度“三公”经费支出决算数小于上年决算数的主要原因：积极响应国家相关政策，全体干部职工统一思想，不铺张浪费，严格控制“三公”经费的支出，努力建设节约型机关。</w:t>
      </w:r>
    </w:p>
    <w:p w14:paraId="2F048C4A">
      <w:pPr>
        <w:ind w:firstLine="640" w:firstLineChars="200"/>
        <w:jc w:val="left"/>
        <w:rPr>
          <w:rFonts w:ascii="Times New Roman" w:hAnsi="Times New Roman" w:eastAsia="楷体_GB2312"/>
          <w:sz w:val="32"/>
        </w:rPr>
      </w:pPr>
      <w:r>
        <w:rPr>
          <w:rFonts w:ascii="Times New Roman" w:hAnsi="Times New Roman" w:eastAsia="楷体_GB2312"/>
          <w:sz w:val="32"/>
        </w:rPr>
        <w:t>1、因公出国（境）情况说明</w:t>
      </w:r>
    </w:p>
    <w:p w14:paraId="347ACB61">
      <w:pPr>
        <w:ind w:firstLine="640"/>
        <w:jc w:val="left"/>
        <w:rPr>
          <w:rFonts w:ascii="Times New Roman" w:hAnsi="Times New Roman" w:eastAsia="仿宋_GB2312"/>
          <w:sz w:val="32"/>
        </w:rPr>
      </w:pPr>
      <w:r>
        <w:rPr>
          <w:rFonts w:ascii="Times New Roman" w:hAnsi="Times New Roman" w:eastAsia="仿宋_GB2312"/>
          <w:sz w:val="32"/>
        </w:rPr>
        <w:t>无</w:t>
      </w:r>
    </w:p>
    <w:p w14:paraId="7364B186">
      <w:pPr>
        <w:ind w:firstLine="640"/>
        <w:jc w:val="left"/>
        <w:rPr>
          <w:rFonts w:ascii="Times New Roman" w:hAnsi="Times New Roman" w:eastAsia="楷体_GB2312"/>
          <w:sz w:val="32"/>
        </w:rPr>
      </w:pPr>
      <w:r>
        <w:rPr>
          <w:rFonts w:ascii="Times New Roman" w:hAnsi="Times New Roman" w:eastAsia="楷体_GB2312"/>
          <w:sz w:val="32"/>
        </w:rPr>
        <w:t>2、公务用车购置及运行经费情况说明</w:t>
      </w:r>
    </w:p>
    <w:p w14:paraId="2EAF7BFF">
      <w:pPr>
        <w:ind w:firstLine="640"/>
        <w:jc w:val="left"/>
        <w:rPr>
          <w:rFonts w:ascii="Times New Roman" w:hAnsi="Times New Roman" w:eastAsia="仿宋_GB2312"/>
          <w:sz w:val="32"/>
        </w:rPr>
      </w:pPr>
      <w:r>
        <w:rPr>
          <w:rFonts w:ascii="Times New Roman" w:hAnsi="Times New Roman" w:eastAsia="仿宋_GB2312"/>
          <w:sz w:val="32"/>
        </w:rPr>
        <w:t>公务用车购置支出：24.49万元</w:t>
      </w:r>
    </w:p>
    <w:p w14:paraId="25DFD5A8">
      <w:pPr>
        <w:ind w:firstLine="640"/>
        <w:jc w:val="left"/>
        <w:rPr>
          <w:rFonts w:ascii="Times New Roman" w:hAnsi="Times New Roman" w:eastAsia="仿宋_GB2312"/>
          <w:sz w:val="32"/>
        </w:rPr>
      </w:pPr>
      <w:r>
        <w:rPr>
          <w:rFonts w:ascii="Times New Roman" w:hAnsi="Times New Roman" w:eastAsia="仿宋_GB2312"/>
          <w:sz w:val="32"/>
        </w:rPr>
        <w:t>公务用车运行经费支出：12.17万元，主要用于公务车辆的汽油费、过桥过路费、年检维修等。</w:t>
      </w:r>
    </w:p>
    <w:p w14:paraId="641FC8FB">
      <w:pPr>
        <w:ind w:firstLine="640"/>
        <w:jc w:val="left"/>
        <w:rPr>
          <w:rFonts w:ascii="Times New Roman" w:hAnsi="Times New Roman" w:eastAsia="楷体_GB2312"/>
          <w:sz w:val="32"/>
        </w:rPr>
      </w:pPr>
      <w:r>
        <w:rPr>
          <w:rFonts w:ascii="Times New Roman" w:hAnsi="Times New Roman" w:eastAsia="楷体_GB2312"/>
          <w:sz w:val="32"/>
        </w:rPr>
        <w:t>3、公务接待情况说明</w:t>
      </w:r>
    </w:p>
    <w:p w14:paraId="091D582C">
      <w:pPr>
        <w:ind w:firstLine="640"/>
        <w:jc w:val="left"/>
        <w:rPr>
          <w:rFonts w:ascii="Times New Roman" w:hAnsi="Times New Roman" w:eastAsia="仿宋_GB2312"/>
          <w:sz w:val="32"/>
        </w:rPr>
      </w:pPr>
      <w:r>
        <w:rPr>
          <w:rFonts w:ascii="Times New Roman" w:hAnsi="Times New Roman" w:eastAsia="仿宋_GB2312"/>
          <w:sz w:val="32"/>
        </w:rPr>
        <w:t>公务接待支出3.09万元，国内公务接待22批次，接待263人。接待支出主要用于接待省及兄弟市州、区县（市）统计局的正常公务活动接待。</w:t>
      </w:r>
    </w:p>
    <w:p w14:paraId="12533B6F">
      <w:pPr>
        <w:ind w:firstLine="640"/>
        <w:jc w:val="left"/>
        <w:rPr>
          <w:rFonts w:ascii="Times New Roman" w:hAnsi="Times New Roman" w:eastAsia="黑体"/>
          <w:sz w:val="32"/>
        </w:rPr>
      </w:pPr>
      <w:r>
        <w:rPr>
          <w:rFonts w:ascii="Times New Roman" w:hAnsi="Times New Roman" w:eastAsia="黑体"/>
          <w:sz w:val="32"/>
          <w:szCs w:val="32"/>
        </w:rPr>
        <w:t>九、</w:t>
      </w:r>
      <w:r>
        <w:rPr>
          <w:rFonts w:ascii="Times New Roman" w:hAnsi="Times New Roman" w:eastAsia="黑体"/>
          <w:sz w:val="32"/>
        </w:rPr>
        <w:t>关于 2019 年度预算绩效情况说明</w:t>
      </w:r>
    </w:p>
    <w:p w14:paraId="4F7F98D2">
      <w:pPr>
        <w:ind w:firstLine="640"/>
        <w:jc w:val="left"/>
        <w:rPr>
          <w:rFonts w:ascii="Times New Roman" w:hAnsi="Times New Roman" w:eastAsia="楷体"/>
          <w:sz w:val="32"/>
        </w:rPr>
      </w:pPr>
      <w:r>
        <w:rPr>
          <w:rFonts w:ascii="Times New Roman" w:hAnsi="Times New Roman" w:eastAsia="楷体"/>
          <w:sz w:val="32"/>
        </w:rPr>
        <w:t>（一）绩效管理工作开展情况 。</w:t>
      </w:r>
    </w:p>
    <w:p w14:paraId="570FA11C">
      <w:pPr>
        <w:ind w:firstLine="640"/>
        <w:jc w:val="left"/>
        <w:rPr>
          <w:rFonts w:ascii="Times New Roman" w:hAnsi="Times New Roman" w:eastAsia="仿宋"/>
          <w:color w:val="333333"/>
          <w:kern w:val="0"/>
          <w:sz w:val="32"/>
          <w:szCs w:val="32"/>
          <w:shd w:val="clear" w:color="auto" w:fill="FFFFFF"/>
          <w:lang w:bidi="ar"/>
        </w:rPr>
      </w:pPr>
      <w:r>
        <w:rPr>
          <w:rFonts w:ascii="Times New Roman" w:hAnsi="Times New Roman" w:eastAsia="仿宋"/>
          <w:color w:val="333333"/>
          <w:kern w:val="0"/>
          <w:sz w:val="32"/>
          <w:szCs w:val="32"/>
          <w:shd w:val="clear" w:color="auto" w:fill="FFFFFF"/>
          <w:lang w:bidi="ar"/>
        </w:rPr>
        <w:t>2019年，本部门按照有关政策文件和市财政局要求开展预算绩效管理工作，加强了绩效目标管理。在编制2019年部门预算时，本部门将所有预算资金纳入绩效目标管理，实现了绩效目标与部门预算同步编制、同步申报。经市人大批准后，在规定时间内，市财政局将绩效目标批复给本部门作为预算执行和监督的依据。</w:t>
      </w:r>
    </w:p>
    <w:p w14:paraId="7DDE24C1">
      <w:pPr>
        <w:ind w:firstLine="640"/>
        <w:jc w:val="left"/>
        <w:rPr>
          <w:rFonts w:ascii="Times New Roman" w:hAnsi="Times New Roman" w:eastAsia="楷体_GB2312"/>
          <w:color w:val="000000" w:themeColor="text1"/>
          <w:sz w:val="32"/>
          <w14:textFill>
            <w14:solidFill>
              <w14:schemeClr w14:val="tx1"/>
            </w14:solidFill>
          </w14:textFill>
        </w:rPr>
      </w:pPr>
      <w:r>
        <w:rPr>
          <w:rFonts w:ascii="Times New Roman" w:hAnsi="Times New Roman" w:eastAsia="楷体_GB2312"/>
          <w:color w:val="000000" w:themeColor="text1"/>
          <w:sz w:val="32"/>
          <w14:textFill>
            <w14:solidFill>
              <w14:schemeClr w14:val="tx1"/>
            </w14:solidFill>
          </w14:textFill>
        </w:rPr>
        <w:t>（二）预算绩效情况的说明。</w:t>
      </w:r>
    </w:p>
    <w:p w14:paraId="2C101BB7">
      <w:pPr>
        <w:ind w:firstLine="640" w:firstLineChars="200"/>
        <w:rPr>
          <w:rFonts w:ascii="Times New Roman" w:hAnsi="Times New Roman" w:eastAsia="仿宋_GB2312"/>
          <w:color w:val="000000" w:themeColor="text1"/>
          <w:kern w:val="0"/>
          <w:sz w:val="32"/>
          <w:szCs w:val="32"/>
          <w14:textFill>
            <w14:solidFill>
              <w14:schemeClr w14:val="tx1"/>
            </w14:solidFill>
          </w14:textFill>
        </w:rPr>
      </w:pPr>
      <w:r>
        <w:rPr>
          <w:rFonts w:ascii="Times New Roman" w:hAnsi="Times New Roman" w:eastAsia="仿宋_GB2312"/>
          <w:color w:val="000000" w:themeColor="text1"/>
          <w:kern w:val="0"/>
          <w:sz w:val="32"/>
          <w:szCs w:val="32"/>
          <w14:textFill>
            <w14:solidFill>
              <w14:schemeClr w14:val="tx1"/>
            </w14:solidFill>
          </w14:textFill>
        </w:rPr>
        <w:t>从整体情况来看，我局按照年初预算进行部门整体支出。在支出过程中，能遵守各项规章制度，“三公经费”有所下降。大部分项目都制定了方案，基本按方案组织实施，并加强了监督，达到了节约、高效的支出目标。</w:t>
      </w:r>
    </w:p>
    <w:p w14:paraId="179DF83C">
      <w:pPr>
        <w:ind w:firstLine="640"/>
        <w:jc w:val="left"/>
        <w:rPr>
          <w:rFonts w:ascii="Times New Roman" w:hAnsi="Times New Roman" w:eastAsia="楷体"/>
          <w:color w:val="FF0000"/>
          <w:sz w:val="32"/>
        </w:rPr>
      </w:pPr>
      <w:r>
        <w:rPr>
          <w:rFonts w:ascii="Times New Roman" w:hAnsi="Times New Roman" w:eastAsia="黑体"/>
          <w:sz w:val="32"/>
          <w:szCs w:val="32"/>
        </w:rPr>
        <w:t>十、</w:t>
      </w:r>
      <w:r>
        <w:rPr>
          <w:rFonts w:ascii="Times New Roman" w:hAnsi="Times New Roman" w:eastAsia="黑体"/>
          <w:sz w:val="32"/>
        </w:rPr>
        <w:t>其他重要事项的情况说明</w:t>
      </w:r>
      <w:r>
        <w:rPr>
          <w:rFonts w:ascii="Times New Roman" w:hAnsi="Times New Roman" w:eastAsia="仿宋"/>
          <w:color w:val="C00000"/>
          <w:sz w:val="32"/>
          <w:szCs w:val="32"/>
        </w:rPr>
        <w:br w:type="textWrapping"/>
      </w:r>
      <w:r>
        <w:rPr>
          <w:rFonts w:ascii="Times New Roman" w:hAnsi="Times New Roman" w:eastAsia="仿宋"/>
          <w:color w:val="C00000"/>
          <w:sz w:val="32"/>
          <w:szCs w:val="32"/>
        </w:rPr>
        <w:t xml:space="preserve">    </w:t>
      </w:r>
      <w:r>
        <w:rPr>
          <w:rFonts w:ascii="Times New Roman" w:hAnsi="Times New Roman" w:eastAsia="楷体_GB2312"/>
          <w:sz w:val="32"/>
        </w:rPr>
        <w:t>（一）预决算收支增减变化情况。</w:t>
      </w:r>
    </w:p>
    <w:p w14:paraId="6C6DEFE3">
      <w:pPr>
        <w:ind w:firstLine="64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2019年预算收入949.95万元，比上年同期增加101.7万元，增长9.5%，2019年决算收入1143.49万元，比上年同期减少18.21万元，降低1.56%；支出总计1183.06万元，比上年同期减少了40.44万元，降低3.3%。</w:t>
      </w:r>
    </w:p>
    <w:p w14:paraId="65F3344F">
      <w:pPr>
        <w:ind w:firstLine="640"/>
        <w:jc w:val="left"/>
        <w:rPr>
          <w:rFonts w:ascii="Times New Roman" w:hAnsi="Times New Roman" w:eastAsia="楷体_GB2312"/>
          <w:sz w:val="32"/>
        </w:rPr>
      </w:pPr>
      <w:r>
        <w:rPr>
          <w:rFonts w:ascii="Times New Roman" w:hAnsi="Times New Roman" w:eastAsia="楷体_GB2312"/>
          <w:sz w:val="32"/>
        </w:rPr>
        <w:t>（二）机关运行经费支出情况。</w:t>
      </w:r>
    </w:p>
    <w:p w14:paraId="7DCC094B">
      <w:pPr>
        <w:shd w:val="clear" w:color="auto" w:fill="FFFFFF"/>
        <w:spacing w:after="150" w:line="513" w:lineRule="auto"/>
        <w:ind w:firstLine="480" w:firstLineChars="150"/>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 xml:space="preserve"> 2019年机关运行经费支出为485.12万元，较上年增加了69.48万元，增加了14%，主要原因是第七次人口普查增加了印刷费、培训、宣传费等开支。</w:t>
      </w:r>
    </w:p>
    <w:p w14:paraId="4FE71C8E">
      <w:pPr>
        <w:ind w:firstLine="640"/>
        <w:jc w:val="left"/>
        <w:rPr>
          <w:rFonts w:ascii="Times New Roman" w:hAnsi="Times New Roman" w:eastAsia="仿宋_GB2312"/>
          <w:color w:val="333333"/>
          <w:kern w:val="0"/>
          <w:sz w:val="32"/>
          <w:szCs w:val="32"/>
        </w:rPr>
      </w:pPr>
      <w:r>
        <w:rPr>
          <w:rFonts w:ascii="Times New Roman" w:hAnsi="Times New Roman" w:eastAsia="楷体_GB2312"/>
          <w:sz w:val="32"/>
        </w:rPr>
        <w:t>（三）政府采购支出情况。</w:t>
      </w:r>
    </w:p>
    <w:p w14:paraId="278634F5">
      <w:pPr>
        <w:widowControl/>
        <w:ind w:firstLine="640" w:firstLineChars="20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2019年益阳市统计局无政府采购。</w:t>
      </w:r>
    </w:p>
    <w:p w14:paraId="717A8232">
      <w:pPr>
        <w:ind w:firstLine="640"/>
        <w:jc w:val="left"/>
        <w:rPr>
          <w:rFonts w:ascii="Times New Roman" w:hAnsi="Times New Roman" w:eastAsia="楷体_GB2312"/>
          <w:sz w:val="32"/>
        </w:rPr>
      </w:pPr>
      <w:r>
        <w:rPr>
          <w:rFonts w:ascii="Times New Roman" w:hAnsi="Times New Roman" w:eastAsia="楷体_GB2312"/>
          <w:sz w:val="32"/>
        </w:rPr>
        <w:t>（四）国有资产占用情况。</w:t>
      </w:r>
    </w:p>
    <w:p w14:paraId="21BC9682">
      <w:pPr>
        <w:autoSpaceDE w:val="0"/>
        <w:autoSpaceDN w:val="0"/>
        <w:adjustRightInd w:val="0"/>
        <w:ind w:firstLine="640" w:firstLineChars="200"/>
        <w:jc w:val="left"/>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t>截至2019年12 月31 日，本部门共有车辆1辆，其中，一般公务（机要通信应急）用车1辆，用于日常工作。</w:t>
      </w:r>
    </w:p>
    <w:p w14:paraId="564EFB1D">
      <w:pPr>
        <w:rPr>
          <w:rFonts w:ascii="Times New Roman" w:hAnsi="Times New Roman" w:eastAsia="方正小标宋_GBK"/>
          <w:sz w:val="44"/>
          <w:szCs w:val="44"/>
        </w:rPr>
      </w:pPr>
    </w:p>
    <w:p w14:paraId="2ED56EC8">
      <w:pPr>
        <w:jc w:val="center"/>
        <w:rPr>
          <w:rFonts w:ascii="Times New Roman" w:hAnsi="Times New Roman" w:eastAsia="方正小标宋_GBK"/>
          <w:sz w:val="44"/>
          <w:szCs w:val="44"/>
        </w:rPr>
      </w:pPr>
    </w:p>
    <w:p w14:paraId="79C57209">
      <w:pPr>
        <w:jc w:val="center"/>
        <w:rPr>
          <w:rFonts w:ascii="Times New Roman" w:hAnsi="Times New Roman" w:eastAsia="方正小标宋_GBK"/>
          <w:sz w:val="44"/>
          <w:szCs w:val="44"/>
        </w:rPr>
      </w:pPr>
      <w:r>
        <w:rPr>
          <w:rFonts w:ascii="Times New Roman" w:hAnsi="Times New Roman" w:eastAsia="方正小标宋_GBK"/>
          <w:sz w:val="44"/>
          <w:szCs w:val="44"/>
        </w:rPr>
        <w:t>第四部分 名词解释</w:t>
      </w:r>
    </w:p>
    <w:p w14:paraId="3A6BA0B6">
      <w:pPr>
        <w:ind w:firstLine="643" w:firstLineChars="200"/>
        <w:jc w:val="left"/>
        <w:rPr>
          <w:rFonts w:ascii="Times New Roman" w:hAnsi="Times New Roman" w:eastAsia="仿宋"/>
          <w:b/>
          <w:sz w:val="32"/>
          <w:szCs w:val="32"/>
        </w:rPr>
      </w:pPr>
    </w:p>
    <w:p w14:paraId="747704FF">
      <w:pPr>
        <w:ind w:firstLine="643"/>
        <w:jc w:val="left"/>
        <w:rPr>
          <w:rFonts w:ascii="Times New Roman" w:hAnsi="Times New Roman" w:eastAsia="仿宋"/>
          <w:sz w:val="32"/>
        </w:rPr>
      </w:pPr>
      <w:r>
        <w:rPr>
          <w:rFonts w:ascii="Times New Roman" w:hAnsi="Times New Roman" w:eastAsia="仿宋"/>
          <w:b/>
          <w:sz w:val="32"/>
        </w:rPr>
        <w:t>一、财政拨款收入：</w:t>
      </w:r>
      <w:r>
        <w:rPr>
          <w:rFonts w:ascii="Times New Roman" w:hAnsi="Times New Roman" w:eastAsia="仿宋"/>
          <w:sz w:val="32"/>
        </w:rPr>
        <w:t xml:space="preserve">指中央财政当年拨付的资金。 </w:t>
      </w:r>
    </w:p>
    <w:p w14:paraId="7BB6A7FB">
      <w:pPr>
        <w:ind w:firstLine="643"/>
        <w:jc w:val="left"/>
        <w:rPr>
          <w:rFonts w:ascii="Times New Roman" w:hAnsi="Times New Roman" w:eastAsia="仿宋"/>
          <w:sz w:val="32"/>
        </w:rPr>
      </w:pPr>
      <w:r>
        <w:rPr>
          <w:rFonts w:ascii="Times New Roman" w:hAnsi="Times New Roman" w:eastAsia="仿宋"/>
          <w:b/>
          <w:sz w:val="32"/>
        </w:rPr>
        <w:t>二、事业收入：</w:t>
      </w:r>
      <w:r>
        <w:rPr>
          <w:rFonts w:ascii="Times New Roman" w:hAnsi="Times New Roman" w:eastAsia="仿宋"/>
          <w:sz w:val="32"/>
        </w:rPr>
        <w:t xml:space="preserve">指事业单位开展专业业务活动及辅助活动所取得的收入。如：中国财政杂志社的刊物发行收入，中国注册会计师协会、中国资产评估协会、中国国债协会、中国会计学会收取的会费收入等。 </w:t>
      </w:r>
    </w:p>
    <w:p w14:paraId="2C007E62">
      <w:pPr>
        <w:ind w:firstLine="643"/>
        <w:jc w:val="left"/>
        <w:rPr>
          <w:rFonts w:ascii="Times New Roman" w:hAnsi="Times New Roman" w:eastAsia="仿宋"/>
          <w:sz w:val="32"/>
        </w:rPr>
      </w:pPr>
      <w:r>
        <w:rPr>
          <w:rFonts w:ascii="Times New Roman" w:hAnsi="Times New Roman" w:eastAsia="仿宋"/>
          <w:b/>
          <w:sz w:val="32"/>
        </w:rPr>
        <w:t>三、经营收入：</w:t>
      </w:r>
      <w:r>
        <w:rPr>
          <w:rFonts w:ascii="Times New Roman" w:hAnsi="Times New Roman" w:eastAsia="仿宋"/>
          <w:sz w:val="32"/>
        </w:rPr>
        <w:t xml:space="preserve">指事业单位在专业业务活动及其辅助活动之外开展非独立核算经营活动取得的收入。如：中国财政杂志社广告收入等。 </w:t>
      </w:r>
    </w:p>
    <w:p w14:paraId="7F7B3CA4">
      <w:pPr>
        <w:ind w:firstLine="643"/>
        <w:jc w:val="left"/>
        <w:rPr>
          <w:rFonts w:ascii="Times New Roman" w:hAnsi="Times New Roman" w:eastAsia="仿宋"/>
          <w:sz w:val="32"/>
        </w:rPr>
      </w:pPr>
      <w:r>
        <w:rPr>
          <w:rFonts w:ascii="Times New Roman" w:hAnsi="Times New Roman" w:eastAsia="仿宋"/>
          <w:b/>
          <w:sz w:val="32"/>
        </w:rPr>
        <w:t>四、其他收入：</w:t>
      </w:r>
      <w:r>
        <w:rPr>
          <w:rFonts w:ascii="Times New Roman" w:hAnsi="Times New Roman" w:eastAsia="仿宋"/>
          <w:sz w:val="32"/>
        </w:rPr>
        <w:t xml:space="preserve">指除上述“财政拨款收入” 、 “事业收入” 、“经营收入”等以外的收入。主要是按规定动用的售房收入、存款利息收入等。 </w:t>
      </w:r>
    </w:p>
    <w:p w14:paraId="220A9EA7">
      <w:pPr>
        <w:ind w:firstLine="643"/>
        <w:jc w:val="left"/>
        <w:rPr>
          <w:rFonts w:ascii="Times New Roman" w:hAnsi="Times New Roman" w:eastAsia="仿宋"/>
          <w:sz w:val="32"/>
        </w:rPr>
      </w:pPr>
      <w:r>
        <w:rPr>
          <w:rFonts w:ascii="Times New Roman" w:hAnsi="Times New Roman" w:eastAsia="仿宋"/>
          <w:b/>
          <w:sz w:val="32"/>
        </w:rPr>
        <w:t>五、用事业基金弥补收支差额：</w:t>
      </w:r>
      <w:r>
        <w:rPr>
          <w:rFonts w:ascii="Times New Roman" w:hAnsi="Times New Roman" w:eastAsia="仿宋"/>
          <w:sz w:val="32"/>
        </w:rPr>
        <w:t xml:space="preserve">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2A324BC5">
      <w:pPr>
        <w:ind w:firstLine="643"/>
        <w:jc w:val="left"/>
        <w:rPr>
          <w:rFonts w:ascii="Times New Roman" w:hAnsi="Times New Roman" w:eastAsia="仿宋"/>
          <w:sz w:val="32"/>
        </w:rPr>
      </w:pPr>
      <w:r>
        <w:rPr>
          <w:rFonts w:ascii="Times New Roman" w:hAnsi="Times New Roman" w:eastAsia="仿宋"/>
          <w:b/>
          <w:sz w:val="32"/>
        </w:rPr>
        <w:t>六、年初结转和结余：</w:t>
      </w:r>
      <w:r>
        <w:rPr>
          <w:rFonts w:ascii="Times New Roman" w:hAnsi="Times New Roman" w:eastAsia="仿宋"/>
          <w:sz w:val="32"/>
        </w:rPr>
        <w:t xml:space="preserve">指以前年度尚未完成、结转到本年按有关规定继续使用的资金。 </w:t>
      </w:r>
    </w:p>
    <w:p w14:paraId="31C56F04">
      <w:pPr>
        <w:ind w:firstLine="643"/>
        <w:jc w:val="left"/>
        <w:rPr>
          <w:rFonts w:ascii="Times New Roman" w:hAnsi="Times New Roman" w:eastAsia="仿宋"/>
          <w:sz w:val="32"/>
        </w:rPr>
      </w:pPr>
      <w:r>
        <w:rPr>
          <w:rFonts w:ascii="Times New Roman" w:hAnsi="Times New Roman" w:eastAsia="仿宋"/>
          <w:b/>
          <w:sz w:val="32"/>
        </w:rPr>
        <w:t>七、结余分配：</w:t>
      </w:r>
      <w:r>
        <w:rPr>
          <w:rFonts w:ascii="Times New Roman" w:hAnsi="Times New Roman" w:eastAsia="仿宋"/>
          <w:sz w:val="32"/>
        </w:rPr>
        <w:t>指事业单位按规定提取的职工福利基金、事业基金和缴纳的所得税，以及建设单位按规定应交回的基本建设竣工项目结余资金。</w:t>
      </w:r>
    </w:p>
    <w:p w14:paraId="3797251E">
      <w:pPr>
        <w:ind w:firstLine="643"/>
        <w:jc w:val="left"/>
        <w:rPr>
          <w:rFonts w:ascii="Times New Roman" w:hAnsi="Times New Roman" w:eastAsia="仿宋"/>
          <w:sz w:val="32"/>
        </w:rPr>
      </w:pPr>
      <w:r>
        <w:rPr>
          <w:rFonts w:ascii="Times New Roman" w:hAnsi="Times New Roman" w:eastAsia="仿宋"/>
          <w:b/>
          <w:sz w:val="32"/>
        </w:rPr>
        <w:t>八、年末结转和结余：</w:t>
      </w:r>
      <w:r>
        <w:rPr>
          <w:rFonts w:ascii="Times New Roman" w:hAnsi="Times New Roman" w:eastAsia="仿宋"/>
          <w:sz w:val="32"/>
        </w:rPr>
        <w:t xml:space="preserve">指本年度或以前年度预算安排、因客观条件发生变化无法按原计划实施，需要延迟到以后年度按有关规定继续使用的资金。 </w:t>
      </w:r>
    </w:p>
    <w:p w14:paraId="1A3B70A4">
      <w:pPr>
        <w:ind w:firstLine="643"/>
        <w:jc w:val="left"/>
        <w:rPr>
          <w:rFonts w:ascii="Times New Roman" w:hAnsi="Times New Roman" w:eastAsia="仿宋"/>
          <w:sz w:val="32"/>
        </w:rPr>
      </w:pPr>
      <w:r>
        <w:rPr>
          <w:rFonts w:ascii="Times New Roman" w:hAnsi="Times New Roman" w:eastAsia="仿宋"/>
          <w:b/>
          <w:sz w:val="32"/>
        </w:rPr>
        <w:t>九、基本支出：</w:t>
      </w:r>
      <w:r>
        <w:rPr>
          <w:rFonts w:ascii="Times New Roman" w:hAnsi="Times New Roman" w:eastAsia="仿宋"/>
          <w:sz w:val="32"/>
        </w:rPr>
        <w:t>指为保障机构正常运转、完成日常工</w:t>
      </w:r>
    </w:p>
    <w:p w14:paraId="641015F1">
      <w:pPr>
        <w:jc w:val="left"/>
        <w:rPr>
          <w:rFonts w:ascii="Times New Roman" w:hAnsi="Times New Roman" w:eastAsia="仿宋"/>
          <w:sz w:val="32"/>
        </w:rPr>
      </w:pPr>
      <w:r>
        <w:rPr>
          <w:rFonts w:ascii="Times New Roman" w:hAnsi="Times New Roman" w:eastAsia="仿宋"/>
          <w:sz w:val="32"/>
        </w:rPr>
        <w:t xml:space="preserve">作任务而发生的人员支出和公用支出。 </w:t>
      </w:r>
    </w:p>
    <w:p w14:paraId="28F99DFB">
      <w:pPr>
        <w:ind w:firstLine="643"/>
        <w:jc w:val="left"/>
        <w:rPr>
          <w:rFonts w:ascii="Times New Roman" w:hAnsi="Times New Roman" w:eastAsia="仿宋"/>
          <w:sz w:val="32"/>
        </w:rPr>
      </w:pPr>
      <w:r>
        <w:rPr>
          <w:rFonts w:ascii="Times New Roman" w:hAnsi="Times New Roman" w:eastAsia="仿宋"/>
          <w:b/>
          <w:sz w:val="32"/>
        </w:rPr>
        <w:t>十、项目支出：</w:t>
      </w:r>
      <w:r>
        <w:rPr>
          <w:rFonts w:ascii="Times New Roman" w:hAnsi="Times New Roman" w:eastAsia="仿宋"/>
          <w:sz w:val="32"/>
        </w:rPr>
        <w:t xml:space="preserve">指在基本支出之外为完成特定行政任务和事业发展目标所发生的支出。 </w:t>
      </w:r>
    </w:p>
    <w:p w14:paraId="5255D916">
      <w:pPr>
        <w:ind w:firstLine="643"/>
        <w:jc w:val="left"/>
        <w:rPr>
          <w:rFonts w:ascii="Times New Roman" w:hAnsi="Times New Roman" w:eastAsia="仿宋"/>
          <w:sz w:val="32"/>
        </w:rPr>
      </w:pPr>
      <w:r>
        <w:rPr>
          <w:rFonts w:ascii="Times New Roman" w:hAnsi="Times New Roman" w:eastAsia="仿宋"/>
          <w:b/>
          <w:sz w:val="32"/>
        </w:rPr>
        <w:t>十一、经营支出：</w:t>
      </w:r>
      <w:r>
        <w:rPr>
          <w:rFonts w:ascii="Times New Roman" w:hAnsi="Times New Roman" w:eastAsia="仿宋"/>
          <w:sz w:val="32"/>
        </w:rPr>
        <w:t xml:space="preserve">指事业单位在专业业务活动及其辅助活动之外开展非独立核算经营活动发生的支出。 </w:t>
      </w:r>
    </w:p>
    <w:p w14:paraId="3A70E3D5">
      <w:pPr>
        <w:ind w:firstLine="643"/>
        <w:jc w:val="left"/>
        <w:rPr>
          <w:rFonts w:ascii="Times New Roman" w:hAnsi="Times New Roman" w:eastAsia="仿宋"/>
          <w:sz w:val="32"/>
        </w:rPr>
      </w:pPr>
      <w:r>
        <w:rPr>
          <w:rFonts w:ascii="Times New Roman" w:hAnsi="Times New Roman" w:eastAsia="仿宋"/>
          <w:b/>
          <w:sz w:val="32"/>
        </w:rPr>
        <w:t>十二、“三公”经费：</w:t>
      </w:r>
      <w:r>
        <w:rPr>
          <w:rFonts w:ascii="Times New Roman" w:hAnsi="Times New Roman" w:eastAsia="仿宋"/>
          <w:sz w:val="32"/>
        </w:rPr>
        <w:t xml:space="preserve">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20AC83FD">
      <w:pPr>
        <w:spacing w:line="580" w:lineRule="exact"/>
        <w:ind w:firstLine="643" w:firstLineChars="200"/>
        <w:jc w:val="left"/>
        <w:rPr>
          <w:rFonts w:ascii="Times New Roman" w:hAnsi="Times New Roman" w:eastAsia="仿宋"/>
          <w:sz w:val="32"/>
        </w:rPr>
      </w:pPr>
      <w:r>
        <w:rPr>
          <w:rFonts w:ascii="Times New Roman" w:hAnsi="Times New Roman" w:eastAsia="仿宋"/>
          <w:b/>
          <w:sz w:val="32"/>
        </w:rPr>
        <w:t>十三、机关运行经费：</w:t>
      </w:r>
      <w:r>
        <w:rPr>
          <w:rFonts w:ascii="Times New Roman" w:hAnsi="Times New Roman" w:eastAsia="仿宋"/>
          <w:sz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Times New Roman" w:hAnsi="Times New Roman" w:eastAsia="仿宋_GB2312"/>
          <w:color w:val="333333"/>
          <w:kern w:val="0"/>
          <w:sz w:val="32"/>
          <w:szCs w:val="32"/>
        </w:rPr>
        <w:t xml:space="preserve">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DDD86">
    <w:pPr>
      <w:pStyle w:val="3"/>
      <w:jc w:val="center"/>
    </w:pPr>
  </w:p>
  <w:p w14:paraId="62CA1E90">
    <w:pPr>
      <w:pStyle w:val="3"/>
      <w:jc w:val="center"/>
    </w:pPr>
    <w:r>
      <w:fldChar w:fldCharType="begin"/>
    </w:r>
    <w:r>
      <w:instrText xml:space="preserve">PAGE   \* MERGEFORMAT</w:instrText>
    </w:r>
    <w:r>
      <w:fldChar w:fldCharType="separate"/>
    </w:r>
    <w:r>
      <w:rPr>
        <w:lang w:val="zh-CN"/>
      </w:rPr>
      <w:t>9</w:t>
    </w:r>
    <w:r>
      <w:rPr>
        <w:lang w:val="zh-CN"/>
      </w:rPr>
      <w:fldChar w:fldCharType="end"/>
    </w:r>
  </w:p>
  <w:p w14:paraId="4AEE62E4">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789"/>
    <w:rsid w:val="000002B3"/>
    <w:rsid w:val="00003C38"/>
    <w:rsid w:val="0000461B"/>
    <w:rsid w:val="000159C9"/>
    <w:rsid w:val="00043EE6"/>
    <w:rsid w:val="000568BC"/>
    <w:rsid w:val="00086026"/>
    <w:rsid w:val="000B3B18"/>
    <w:rsid w:val="000B6672"/>
    <w:rsid w:val="000C3C57"/>
    <w:rsid w:val="000D417B"/>
    <w:rsid w:val="000E1B73"/>
    <w:rsid w:val="00103C25"/>
    <w:rsid w:val="001347DC"/>
    <w:rsid w:val="001457F8"/>
    <w:rsid w:val="0014622A"/>
    <w:rsid w:val="00146AC7"/>
    <w:rsid w:val="00150253"/>
    <w:rsid w:val="001567CC"/>
    <w:rsid w:val="00156C68"/>
    <w:rsid w:val="0016034D"/>
    <w:rsid w:val="00165E59"/>
    <w:rsid w:val="0019284D"/>
    <w:rsid w:val="00197329"/>
    <w:rsid w:val="001A68A2"/>
    <w:rsid w:val="001C4E7E"/>
    <w:rsid w:val="001C5427"/>
    <w:rsid w:val="001D43F8"/>
    <w:rsid w:val="00206E92"/>
    <w:rsid w:val="00227F1D"/>
    <w:rsid w:val="00230E0F"/>
    <w:rsid w:val="00231674"/>
    <w:rsid w:val="00267045"/>
    <w:rsid w:val="002A7ECD"/>
    <w:rsid w:val="002B2E22"/>
    <w:rsid w:val="002D17ED"/>
    <w:rsid w:val="002D51E8"/>
    <w:rsid w:val="002E2721"/>
    <w:rsid w:val="00310C87"/>
    <w:rsid w:val="003159F9"/>
    <w:rsid w:val="00334296"/>
    <w:rsid w:val="003442DA"/>
    <w:rsid w:val="0034733E"/>
    <w:rsid w:val="0035374C"/>
    <w:rsid w:val="003604E9"/>
    <w:rsid w:val="00365F86"/>
    <w:rsid w:val="00387199"/>
    <w:rsid w:val="00392628"/>
    <w:rsid w:val="0039712C"/>
    <w:rsid w:val="003A2AAB"/>
    <w:rsid w:val="003B2406"/>
    <w:rsid w:val="003B3638"/>
    <w:rsid w:val="003B521B"/>
    <w:rsid w:val="004125D6"/>
    <w:rsid w:val="004301CC"/>
    <w:rsid w:val="004315E1"/>
    <w:rsid w:val="00433587"/>
    <w:rsid w:val="0045310F"/>
    <w:rsid w:val="00463007"/>
    <w:rsid w:val="00477C41"/>
    <w:rsid w:val="004B150E"/>
    <w:rsid w:val="004B26F8"/>
    <w:rsid w:val="004B5D01"/>
    <w:rsid w:val="004C1873"/>
    <w:rsid w:val="004C3BC3"/>
    <w:rsid w:val="004D2107"/>
    <w:rsid w:val="004D4DC4"/>
    <w:rsid w:val="004F12D6"/>
    <w:rsid w:val="004F1375"/>
    <w:rsid w:val="004F6577"/>
    <w:rsid w:val="004F7109"/>
    <w:rsid w:val="0050685B"/>
    <w:rsid w:val="005501DA"/>
    <w:rsid w:val="00557363"/>
    <w:rsid w:val="00562C1F"/>
    <w:rsid w:val="005A39F5"/>
    <w:rsid w:val="005A754B"/>
    <w:rsid w:val="005B194D"/>
    <w:rsid w:val="005D053E"/>
    <w:rsid w:val="006031B9"/>
    <w:rsid w:val="00620E5F"/>
    <w:rsid w:val="00623512"/>
    <w:rsid w:val="00624505"/>
    <w:rsid w:val="006265C8"/>
    <w:rsid w:val="00637BCC"/>
    <w:rsid w:val="00646EDF"/>
    <w:rsid w:val="00671050"/>
    <w:rsid w:val="00671789"/>
    <w:rsid w:val="00675E9E"/>
    <w:rsid w:val="00676BE4"/>
    <w:rsid w:val="006C7196"/>
    <w:rsid w:val="006D3BE5"/>
    <w:rsid w:val="006D5466"/>
    <w:rsid w:val="006D724E"/>
    <w:rsid w:val="00707C60"/>
    <w:rsid w:val="00727A90"/>
    <w:rsid w:val="007471FB"/>
    <w:rsid w:val="0076592D"/>
    <w:rsid w:val="007660BE"/>
    <w:rsid w:val="00766DFF"/>
    <w:rsid w:val="007771C5"/>
    <w:rsid w:val="00784FC9"/>
    <w:rsid w:val="007932EC"/>
    <w:rsid w:val="00793F4F"/>
    <w:rsid w:val="007A1846"/>
    <w:rsid w:val="007C0351"/>
    <w:rsid w:val="0080200C"/>
    <w:rsid w:val="008237EF"/>
    <w:rsid w:val="00843436"/>
    <w:rsid w:val="0084755A"/>
    <w:rsid w:val="00850119"/>
    <w:rsid w:val="008856B9"/>
    <w:rsid w:val="008A3118"/>
    <w:rsid w:val="008A4338"/>
    <w:rsid w:val="008A677D"/>
    <w:rsid w:val="008A6A4F"/>
    <w:rsid w:val="008B545F"/>
    <w:rsid w:val="008B7CF4"/>
    <w:rsid w:val="008C1269"/>
    <w:rsid w:val="008E559F"/>
    <w:rsid w:val="008F038B"/>
    <w:rsid w:val="008F1E42"/>
    <w:rsid w:val="008F2739"/>
    <w:rsid w:val="008F5177"/>
    <w:rsid w:val="00910E70"/>
    <w:rsid w:val="00913A4D"/>
    <w:rsid w:val="00913F47"/>
    <w:rsid w:val="00921670"/>
    <w:rsid w:val="00926D9A"/>
    <w:rsid w:val="00940184"/>
    <w:rsid w:val="00944B3C"/>
    <w:rsid w:val="00955AC1"/>
    <w:rsid w:val="00976670"/>
    <w:rsid w:val="009956CC"/>
    <w:rsid w:val="009A5161"/>
    <w:rsid w:val="009B3F90"/>
    <w:rsid w:val="009C23D6"/>
    <w:rsid w:val="009C2D1B"/>
    <w:rsid w:val="009F66BE"/>
    <w:rsid w:val="009F78EB"/>
    <w:rsid w:val="00A054B7"/>
    <w:rsid w:val="00A310D7"/>
    <w:rsid w:val="00A4786C"/>
    <w:rsid w:val="00A810C1"/>
    <w:rsid w:val="00A95239"/>
    <w:rsid w:val="00AB0D84"/>
    <w:rsid w:val="00AB3B09"/>
    <w:rsid w:val="00AB632B"/>
    <w:rsid w:val="00AD1C2C"/>
    <w:rsid w:val="00AF220C"/>
    <w:rsid w:val="00B1246C"/>
    <w:rsid w:val="00B12D56"/>
    <w:rsid w:val="00B306BE"/>
    <w:rsid w:val="00B33F4C"/>
    <w:rsid w:val="00B56C23"/>
    <w:rsid w:val="00B636D1"/>
    <w:rsid w:val="00B738D0"/>
    <w:rsid w:val="00B750BD"/>
    <w:rsid w:val="00B90E8D"/>
    <w:rsid w:val="00BB1B98"/>
    <w:rsid w:val="00BC3BA5"/>
    <w:rsid w:val="00BD2610"/>
    <w:rsid w:val="00BD3320"/>
    <w:rsid w:val="00BE4711"/>
    <w:rsid w:val="00BF6154"/>
    <w:rsid w:val="00C06E5B"/>
    <w:rsid w:val="00C1485C"/>
    <w:rsid w:val="00C14A42"/>
    <w:rsid w:val="00C17ABB"/>
    <w:rsid w:val="00C20EF2"/>
    <w:rsid w:val="00C272A6"/>
    <w:rsid w:val="00C3086D"/>
    <w:rsid w:val="00C43A32"/>
    <w:rsid w:val="00C457C6"/>
    <w:rsid w:val="00C50C6B"/>
    <w:rsid w:val="00C5516A"/>
    <w:rsid w:val="00C87D46"/>
    <w:rsid w:val="00C94CB9"/>
    <w:rsid w:val="00C9564D"/>
    <w:rsid w:val="00CC6ED5"/>
    <w:rsid w:val="00CF4726"/>
    <w:rsid w:val="00D0517B"/>
    <w:rsid w:val="00D36350"/>
    <w:rsid w:val="00D52D7D"/>
    <w:rsid w:val="00D73CF6"/>
    <w:rsid w:val="00D82B99"/>
    <w:rsid w:val="00D87408"/>
    <w:rsid w:val="00D87515"/>
    <w:rsid w:val="00D876D8"/>
    <w:rsid w:val="00DB0261"/>
    <w:rsid w:val="00DB6678"/>
    <w:rsid w:val="00DE5B47"/>
    <w:rsid w:val="00DF1585"/>
    <w:rsid w:val="00DF619E"/>
    <w:rsid w:val="00E156C5"/>
    <w:rsid w:val="00E1761C"/>
    <w:rsid w:val="00E23192"/>
    <w:rsid w:val="00E31223"/>
    <w:rsid w:val="00E40A4E"/>
    <w:rsid w:val="00E60DFA"/>
    <w:rsid w:val="00E72F50"/>
    <w:rsid w:val="00E7308F"/>
    <w:rsid w:val="00EB511B"/>
    <w:rsid w:val="00EC29BD"/>
    <w:rsid w:val="00EC575F"/>
    <w:rsid w:val="00EF2543"/>
    <w:rsid w:val="00EF623F"/>
    <w:rsid w:val="00F00FE0"/>
    <w:rsid w:val="00F302B0"/>
    <w:rsid w:val="00F34D8D"/>
    <w:rsid w:val="00F4379D"/>
    <w:rsid w:val="00F77A75"/>
    <w:rsid w:val="00F85E20"/>
    <w:rsid w:val="00FA23F8"/>
    <w:rsid w:val="00FA6467"/>
    <w:rsid w:val="00FB2666"/>
    <w:rsid w:val="00FD0AFC"/>
    <w:rsid w:val="00FE757F"/>
    <w:rsid w:val="00FF6015"/>
    <w:rsid w:val="020E1523"/>
    <w:rsid w:val="0A160604"/>
    <w:rsid w:val="15F802EF"/>
    <w:rsid w:val="1B665840"/>
    <w:rsid w:val="1B6A72DA"/>
    <w:rsid w:val="1F957631"/>
    <w:rsid w:val="244B56E5"/>
    <w:rsid w:val="25DA6A89"/>
    <w:rsid w:val="37560B14"/>
    <w:rsid w:val="3D6E5290"/>
    <w:rsid w:val="51680724"/>
    <w:rsid w:val="54D94FF1"/>
    <w:rsid w:val="5CA97107"/>
    <w:rsid w:val="67056CAB"/>
    <w:rsid w:val="6A3A5F9E"/>
    <w:rsid w:val="6A5208A0"/>
    <w:rsid w:val="6AAA0615"/>
    <w:rsid w:val="6AE416D7"/>
    <w:rsid w:val="6EF40E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kern w:val="0"/>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kern w:val="0"/>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Hyperlink"/>
    <w:unhideWhenUsed/>
    <w:qFormat/>
    <w:uiPriority w:val="99"/>
    <w:rPr>
      <w:color w:val="0563C1"/>
      <w:u w:val="single"/>
    </w:rPr>
  </w:style>
  <w:style w:type="paragraph" w:styleId="9">
    <w:name w:val="List Paragraph"/>
    <w:basedOn w:val="1"/>
    <w:qFormat/>
    <w:uiPriority w:val="34"/>
    <w:pPr>
      <w:ind w:firstLine="420" w:firstLineChars="200"/>
    </w:pPr>
  </w:style>
  <w:style w:type="character" w:customStyle="1" w:styleId="10">
    <w:name w:val="页眉 Char"/>
    <w:link w:val="4"/>
    <w:qFormat/>
    <w:uiPriority w:val="99"/>
    <w:rPr>
      <w:sz w:val="18"/>
      <w:szCs w:val="18"/>
    </w:rPr>
  </w:style>
  <w:style w:type="character" w:customStyle="1" w:styleId="11">
    <w:name w:val="页脚 Char"/>
    <w:link w:val="3"/>
    <w:qFormat/>
    <w:uiPriority w:val="99"/>
    <w:rPr>
      <w:sz w:val="18"/>
      <w:szCs w:val="18"/>
    </w:rPr>
  </w:style>
  <w:style w:type="character" w:customStyle="1" w:styleId="12">
    <w:name w:val="批注框文本 Char"/>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F073160-6900-491D-92D5-705F1F3473CB}">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13</Pages>
  <Words>4709</Words>
  <Characters>5126</Characters>
  <Lines>37</Lines>
  <Paragraphs>10</Paragraphs>
  <TotalTime>355</TotalTime>
  <ScaleCrop>false</ScaleCrop>
  <LinksUpToDate>false</LinksUpToDate>
  <CharactersWithSpaces>5196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2020-09-23T07:57:00Z</dcterms:created>
  <dc:creator>微软用户</dc:creator>
  <cp:lastModifiedBy>蒋心扉</cp:lastModifiedBy>
  <cp:lastPrinted>2019-07-25T02:44:00Z</cp:lastPrinted>
  <dcterms:modified xsi:type="dcterms:W3CDTF">2026-09-14T09:20:23Z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eyJoZGlkIjoiN2Y3ZjkwZDkyNjg0MGM2ZjgzNGY2ZTY5MDJiZjZkZTYiLCJ1c2VySWQiOiIxMjAyMzU4MTU0In0=</vt:lpwstr>
  </property>
  <property fmtid="{D5CDD505-2E9C-101B-9397-08002B2CF9AE}" pid="4" name="ICV">
    <vt:lpwstr>A54B5659B5BB4934832DE2B7B9FC6506_12</vt:lpwstr>
  </property>
</Properties>
</file>