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5E4D1">
      <w:pPr>
        <w:jc w:val="center"/>
        <w:rPr>
          <w:rFonts w:ascii="宋体" w:hAnsi="宋体" w:cs="宋体"/>
          <w:sz w:val="44"/>
        </w:rPr>
      </w:pPr>
    </w:p>
    <w:p w14:paraId="1C19C0CB">
      <w:pPr>
        <w:jc w:val="center"/>
        <w:rPr>
          <w:rFonts w:ascii="宋体" w:hAnsi="宋体" w:cs="宋体"/>
          <w:sz w:val="44"/>
        </w:rPr>
      </w:pPr>
    </w:p>
    <w:p w14:paraId="44E76A26">
      <w:pPr>
        <w:jc w:val="center"/>
        <w:rPr>
          <w:rFonts w:ascii="宋体" w:hAnsi="宋体" w:cs="宋体"/>
          <w:sz w:val="44"/>
        </w:rPr>
      </w:pPr>
    </w:p>
    <w:p w14:paraId="64224CDD">
      <w:pPr>
        <w:jc w:val="center"/>
        <w:rPr>
          <w:rFonts w:ascii="宋体" w:hAnsi="宋体" w:cs="宋体"/>
          <w:sz w:val="44"/>
        </w:rPr>
      </w:pPr>
    </w:p>
    <w:p w14:paraId="4A65D7F2">
      <w:pPr>
        <w:jc w:val="center"/>
        <w:rPr>
          <w:rFonts w:ascii="宋体" w:hAnsi="宋体" w:cs="宋体"/>
          <w:sz w:val="44"/>
        </w:rPr>
      </w:pPr>
      <w:r>
        <w:rPr>
          <w:rFonts w:hint="eastAsia" w:ascii="黑体" w:hAnsi="黑体" w:eastAsia="黑体" w:cs="宋体"/>
          <w:sz w:val="44"/>
        </w:rPr>
        <w:t>2018年部门决算公开</w:t>
      </w:r>
    </w:p>
    <w:p w14:paraId="502607B1">
      <w:pPr>
        <w:jc w:val="center"/>
        <w:rPr>
          <w:rFonts w:ascii="宋体" w:hAnsi="宋体" w:cs="宋体"/>
          <w:sz w:val="44"/>
        </w:rPr>
      </w:pPr>
    </w:p>
    <w:p w14:paraId="7EB9F5F0">
      <w:pPr>
        <w:jc w:val="center"/>
        <w:rPr>
          <w:rFonts w:ascii="宋体" w:hAnsi="宋体" w:cs="宋体"/>
          <w:sz w:val="44"/>
        </w:rPr>
      </w:pPr>
    </w:p>
    <w:p w14:paraId="074C97B9">
      <w:pPr>
        <w:jc w:val="center"/>
        <w:rPr>
          <w:rFonts w:ascii="宋体" w:hAnsi="宋体" w:cs="宋体"/>
          <w:sz w:val="44"/>
        </w:rPr>
      </w:pPr>
    </w:p>
    <w:p w14:paraId="6B8CAB3D">
      <w:pPr>
        <w:ind w:firstLine="2400" w:firstLineChars="750"/>
        <w:rPr>
          <w:rFonts w:ascii="宋体" w:hAnsi="宋体" w:cs="宋体"/>
          <w:sz w:val="44"/>
        </w:rPr>
      </w:pPr>
      <w:r>
        <w:rPr>
          <w:rFonts w:hint="eastAsia" w:ascii="黑体" w:hAnsi="黑体" w:eastAsia="黑体"/>
          <w:sz w:val="32"/>
        </w:rPr>
        <w:t>单位：益阳市政务中心</w:t>
      </w:r>
    </w:p>
    <w:p w14:paraId="151BCBD0">
      <w:pPr>
        <w:jc w:val="center"/>
        <w:rPr>
          <w:rFonts w:ascii="宋体" w:hAnsi="宋体" w:cs="宋体"/>
          <w:sz w:val="44"/>
        </w:rPr>
      </w:pPr>
    </w:p>
    <w:p w14:paraId="7A01AC8D">
      <w:pPr>
        <w:jc w:val="center"/>
        <w:rPr>
          <w:rFonts w:ascii="宋体" w:hAnsi="宋体" w:cs="宋体"/>
          <w:sz w:val="44"/>
        </w:rPr>
      </w:pPr>
    </w:p>
    <w:p w14:paraId="101CE36A">
      <w:pPr>
        <w:jc w:val="center"/>
        <w:rPr>
          <w:rFonts w:ascii="宋体" w:hAnsi="宋体" w:cs="宋体"/>
          <w:sz w:val="44"/>
        </w:rPr>
      </w:pPr>
    </w:p>
    <w:p w14:paraId="12EB7C58">
      <w:pPr>
        <w:jc w:val="center"/>
        <w:rPr>
          <w:rFonts w:ascii="宋体" w:hAnsi="宋体" w:cs="宋体"/>
          <w:sz w:val="44"/>
        </w:rPr>
      </w:pPr>
    </w:p>
    <w:p w14:paraId="09479D7C">
      <w:pPr>
        <w:jc w:val="center"/>
        <w:rPr>
          <w:rFonts w:ascii="宋体" w:hAnsi="宋体" w:cs="宋体"/>
          <w:sz w:val="44"/>
        </w:rPr>
      </w:pPr>
    </w:p>
    <w:p w14:paraId="2805938A">
      <w:pPr>
        <w:jc w:val="center"/>
        <w:rPr>
          <w:rFonts w:ascii="宋体" w:hAnsi="宋体" w:cs="宋体"/>
          <w:sz w:val="44"/>
        </w:rPr>
      </w:pPr>
    </w:p>
    <w:p w14:paraId="31B62C0A">
      <w:pPr>
        <w:jc w:val="center"/>
        <w:rPr>
          <w:rFonts w:ascii="宋体" w:hAnsi="宋体" w:cs="宋体"/>
          <w:sz w:val="44"/>
        </w:rPr>
      </w:pPr>
    </w:p>
    <w:p w14:paraId="6E538B63">
      <w:pPr>
        <w:jc w:val="center"/>
        <w:rPr>
          <w:rFonts w:ascii="宋体" w:hAnsi="宋体" w:cs="宋体"/>
          <w:sz w:val="44"/>
        </w:rPr>
      </w:pPr>
    </w:p>
    <w:p w14:paraId="4E5B7828">
      <w:pPr>
        <w:jc w:val="center"/>
        <w:rPr>
          <w:rFonts w:ascii="宋体" w:hAnsi="宋体" w:cs="宋体"/>
          <w:sz w:val="44"/>
        </w:rPr>
      </w:pPr>
    </w:p>
    <w:p w14:paraId="5ED42816">
      <w:pPr>
        <w:jc w:val="center"/>
        <w:rPr>
          <w:rFonts w:ascii="黑体" w:hAnsi="黑体" w:eastAsia="黑体" w:cs="方正小标宋_GBK"/>
          <w:sz w:val="44"/>
        </w:rPr>
      </w:pPr>
      <w:r>
        <w:rPr>
          <w:rFonts w:ascii="黑体" w:hAnsi="黑体" w:eastAsia="黑体" w:cs="宋体"/>
          <w:sz w:val="44"/>
        </w:rPr>
        <w:t>目录</w:t>
      </w:r>
    </w:p>
    <w:p w14:paraId="1883451D">
      <w:pPr>
        <w:ind w:firstLine="3200"/>
        <w:rPr>
          <w:rFonts w:ascii="仿宋" w:hAnsi="仿宋" w:eastAsia="仿宋" w:cs="仿宋"/>
          <w:sz w:val="32"/>
        </w:rPr>
      </w:pPr>
    </w:p>
    <w:p w14:paraId="1C4D5E4B">
      <w:pPr>
        <w:rPr>
          <w:rFonts w:ascii="黑体" w:hAnsi="黑体" w:eastAsia="黑体"/>
          <w:sz w:val="32"/>
        </w:rPr>
      </w:pPr>
      <w:r>
        <w:rPr>
          <w:rFonts w:ascii="黑体" w:hAnsi="黑体" w:eastAsia="黑体"/>
          <w:sz w:val="32"/>
        </w:rPr>
        <w:t>第一部分</w:t>
      </w:r>
      <w:r>
        <w:rPr>
          <w:rFonts w:hint="eastAsia" w:ascii="黑体" w:hAnsi="黑体" w:eastAsia="黑体"/>
          <w:sz w:val="32"/>
        </w:rPr>
        <w:t xml:space="preserve">  益阳市政务中心</w:t>
      </w:r>
      <w:r>
        <w:rPr>
          <w:rFonts w:ascii="黑体" w:hAnsi="黑体" w:eastAsia="黑体"/>
          <w:sz w:val="32"/>
        </w:rPr>
        <w:t xml:space="preserve">概况 </w:t>
      </w:r>
    </w:p>
    <w:p w14:paraId="55AA9EAD">
      <w:pPr>
        <w:rPr>
          <w:rFonts w:ascii="仿宋" w:hAnsi="仿宋" w:eastAsia="仿宋" w:cs="楷体"/>
          <w:sz w:val="32"/>
        </w:rPr>
      </w:pPr>
      <w:r>
        <w:rPr>
          <w:rFonts w:ascii="仿宋" w:hAnsi="仿宋" w:eastAsia="仿宋" w:cs="楷体"/>
          <w:sz w:val="32"/>
        </w:rPr>
        <w:t>一、</w:t>
      </w:r>
      <w:r>
        <w:rPr>
          <w:rFonts w:hint="eastAsia" w:ascii="仿宋" w:hAnsi="仿宋" w:eastAsia="仿宋" w:cs="楷体"/>
          <w:sz w:val="32"/>
        </w:rPr>
        <w:t>部门职责</w:t>
      </w:r>
    </w:p>
    <w:p w14:paraId="73C522CC">
      <w:pPr>
        <w:rPr>
          <w:rFonts w:ascii="仿宋" w:hAnsi="仿宋" w:eastAsia="仿宋" w:cs="楷体"/>
          <w:sz w:val="32"/>
        </w:rPr>
      </w:pPr>
      <w:r>
        <w:rPr>
          <w:rFonts w:ascii="仿宋" w:hAnsi="仿宋" w:eastAsia="仿宋" w:cs="楷体"/>
          <w:sz w:val="32"/>
        </w:rPr>
        <w:t>二、机构设置</w:t>
      </w:r>
    </w:p>
    <w:p w14:paraId="4CE3D4DD">
      <w:pPr>
        <w:rPr>
          <w:rFonts w:ascii="仿宋" w:hAnsi="仿宋" w:eastAsia="仿宋" w:cs="楷体"/>
          <w:sz w:val="32"/>
        </w:rPr>
      </w:pPr>
      <w:r>
        <w:rPr>
          <w:rFonts w:ascii="仿宋" w:hAnsi="仿宋" w:eastAsia="仿宋" w:cs="楷体"/>
          <w:sz w:val="32"/>
        </w:rPr>
        <w:t>三、部门决算单位构成</w:t>
      </w:r>
    </w:p>
    <w:p w14:paraId="7215E7D1">
      <w:pPr>
        <w:rPr>
          <w:rFonts w:ascii="仿宋" w:hAnsi="仿宋" w:eastAsia="仿宋" w:cs="楷体"/>
          <w:sz w:val="32"/>
        </w:rPr>
      </w:pPr>
    </w:p>
    <w:p w14:paraId="70F2B0A0">
      <w:pPr>
        <w:rPr>
          <w:rFonts w:ascii="黑体" w:hAnsi="黑体" w:eastAsia="黑体"/>
          <w:sz w:val="32"/>
        </w:rPr>
      </w:pPr>
      <w:r>
        <w:rPr>
          <w:rFonts w:ascii="黑体" w:hAnsi="黑体" w:eastAsia="黑体"/>
          <w:sz w:val="32"/>
        </w:rPr>
        <w:t>第二部分</w:t>
      </w:r>
      <w:r>
        <w:rPr>
          <w:rFonts w:hint="eastAsia" w:ascii="黑体" w:hAnsi="黑体" w:eastAsia="黑体"/>
          <w:sz w:val="32"/>
        </w:rPr>
        <w:t xml:space="preserve">  益阳市政务中心</w:t>
      </w:r>
      <w:r>
        <w:rPr>
          <w:rFonts w:ascii="黑体" w:hAnsi="黑体" w:eastAsia="黑体"/>
          <w:sz w:val="32"/>
        </w:rPr>
        <w:t>201</w:t>
      </w:r>
      <w:r>
        <w:rPr>
          <w:rFonts w:hint="eastAsia" w:ascii="黑体" w:hAnsi="黑体" w:eastAsia="黑体"/>
          <w:sz w:val="32"/>
        </w:rPr>
        <w:t>8</w:t>
      </w:r>
      <w:r>
        <w:rPr>
          <w:rFonts w:ascii="黑体" w:hAnsi="黑体" w:eastAsia="黑体"/>
          <w:sz w:val="32"/>
        </w:rPr>
        <w:t xml:space="preserve">年度部门决算表 </w:t>
      </w:r>
    </w:p>
    <w:p w14:paraId="7E146DBD">
      <w:pPr>
        <w:rPr>
          <w:rFonts w:ascii="仿宋" w:hAnsi="仿宋" w:eastAsia="仿宋" w:cs="楷体"/>
          <w:sz w:val="32"/>
        </w:rPr>
      </w:pPr>
      <w:r>
        <w:rPr>
          <w:rFonts w:ascii="仿宋" w:hAnsi="仿宋" w:eastAsia="仿宋" w:cs="楷体"/>
          <w:sz w:val="32"/>
        </w:rPr>
        <w:t xml:space="preserve">一、收入支出决算总表 </w:t>
      </w:r>
    </w:p>
    <w:p w14:paraId="224E803A">
      <w:pPr>
        <w:rPr>
          <w:rFonts w:ascii="仿宋" w:hAnsi="仿宋" w:eastAsia="仿宋" w:cs="楷体"/>
          <w:sz w:val="32"/>
        </w:rPr>
      </w:pPr>
      <w:r>
        <w:rPr>
          <w:rFonts w:ascii="仿宋" w:hAnsi="仿宋" w:eastAsia="仿宋" w:cs="楷体"/>
          <w:sz w:val="32"/>
        </w:rPr>
        <w:t xml:space="preserve">二、收入决算表 </w:t>
      </w:r>
    </w:p>
    <w:p w14:paraId="62C4C298">
      <w:pPr>
        <w:rPr>
          <w:rFonts w:ascii="仿宋" w:hAnsi="仿宋" w:eastAsia="仿宋" w:cs="楷体"/>
          <w:sz w:val="32"/>
        </w:rPr>
      </w:pPr>
      <w:r>
        <w:rPr>
          <w:rFonts w:ascii="仿宋" w:hAnsi="仿宋" w:eastAsia="仿宋" w:cs="楷体"/>
          <w:sz w:val="32"/>
        </w:rPr>
        <w:t xml:space="preserve">三、支出决算表 </w:t>
      </w:r>
    </w:p>
    <w:p w14:paraId="43B44D5F">
      <w:pPr>
        <w:rPr>
          <w:rFonts w:ascii="仿宋" w:hAnsi="仿宋" w:eastAsia="仿宋" w:cs="楷体"/>
          <w:sz w:val="32"/>
        </w:rPr>
      </w:pPr>
      <w:r>
        <w:rPr>
          <w:rFonts w:ascii="仿宋" w:hAnsi="仿宋" w:eastAsia="仿宋" w:cs="楷体"/>
          <w:sz w:val="32"/>
        </w:rPr>
        <w:t xml:space="preserve">四、财政拨款收入支出决算总表 </w:t>
      </w:r>
    </w:p>
    <w:p w14:paraId="35C053F5">
      <w:pPr>
        <w:rPr>
          <w:rFonts w:ascii="仿宋" w:hAnsi="仿宋" w:eastAsia="仿宋" w:cs="楷体"/>
          <w:sz w:val="32"/>
        </w:rPr>
      </w:pPr>
      <w:r>
        <w:rPr>
          <w:rFonts w:ascii="仿宋" w:hAnsi="仿宋" w:eastAsia="仿宋" w:cs="楷体"/>
          <w:sz w:val="32"/>
        </w:rPr>
        <w:t xml:space="preserve">五、一般公共预算财政拨款支出决算表 </w:t>
      </w:r>
    </w:p>
    <w:p w14:paraId="58527CC5">
      <w:pPr>
        <w:rPr>
          <w:rFonts w:ascii="仿宋" w:hAnsi="仿宋" w:eastAsia="仿宋" w:cs="楷体"/>
          <w:sz w:val="32"/>
        </w:rPr>
      </w:pPr>
      <w:r>
        <w:rPr>
          <w:rFonts w:ascii="仿宋" w:hAnsi="仿宋" w:eastAsia="仿宋" w:cs="楷体"/>
          <w:sz w:val="32"/>
        </w:rPr>
        <w:t xml:space="preserve">六、一般公共预算财政拨款基本支出决算表 </w:t>
      </w:r>
    </w:p>
    <w:p w14:paraId="1A97ADC9">
      <w:pPr>
        <w:rPr>
          <w:rFonts w:ascii="仿宋" w:hAnsi="仿宋" w:eastAsia="仿宋" w:cs="楷体"/>
          <w:sz w:val="32"/>
        </w:rPr>
      </w:pPr>
      <w:r>
        <w:rPr>
          <w:rFonts w:ascii="仿宋" w:hAnsi="仿宋" w:eastAsia="仿宋" w:cs="楷体"/>
          <w:sz w:val="32"/>
        </w:rPr>
        <w:t xml:space="preserve">七、一般公共预算财政拨款“三公”经费支出决算表 </w:t>
      </w:r>
    </w:p>
    <w:p w14:paraId="25846DEF">
      <w:pPr>
        <w:rPr>
          <w:rFonts w:ascii="仿宋" w:hAnsi="仿宋" w:eastAsia="仿宋" w:cs="楷体"/>
          <w:sz w:val="32"/>
        </w:rPr>
      </w:pPr>
      <w:r>
        <w:rPr>
          <w:rFonts w:ascii="仿宋" w:hAnsi="仿宋" w:eastAsia="仿宋" w:cs="楷体"/>
          <w:sz w:val="32"/>
        </w:rPr>
        <w:t xml:space="preserve">八、政府性基金预算财政拨款收入支出决算表 </w:t>
      </w:r>
    </w:p>
    <w:p w14:paraId="7A15FC78">
      <w:pPr>
        <w:rPr>
          <w:rFonts w:ascii="楷体" w:hAnsi="楷体" w:eastAsia="楷体" w:cs="楷体"/>
          <w:sz w:val="32"/>
        </w:rPr>
      </w:pPr>
    </w:p>
    <w:p w14:paraId="35FDC0EB">
      <w:pPr>
        <w:rPr>
          <w:rFonts w:ascii="黑体" w:hAnsi="黑体" w:eastAsia="黑体"/>
          <w:sz w:val="32"/>
        </w:rPr>
      </w:pPr>
      <w:r>
        <w:rPr>
          <w:rFonts w:ascii="黑体" w:hAnsi="黑体" w:eastAsia="黑体"/>
          <w:sz w:val="32"/>
        </w:rPr>
        <w:t>第三部分</w:t>
      </w:r>
      <w:r>
        <w:rPr>
          <w:rFonts w:hint="eastAsia" w:ascii="黑体" w:hAnsi="黑体" w:eastAsia="黑体"/>
          <w:sz w:val="32"/>
        </w:rPr>
        <w:t xml:space="preserve">  益阳市政务中心</w:t>
      </w:r>
      <w:r>
        <w:rPr>
          <w:rFonts w:ascii="黑体" w:hAnsi="黑体" w:eastAsia="黑体"/>
          <w:sz w:val="32"/>
        </w:rPr>
        <w:t>201</w:t>
      </w:r>
      <w:r>
        <w:rPr>
          <w:rFonts w:hint="eastAsia" w:ascii="黑体" w:hAnsi="黑体" w:eastAsia="黑体"/>
          <w:sz w:val="32"/>
        </w:rPr>
        <w:t>8</w:t>
      </w:r>
      <w:r>
        <w:rPr>
          <w:rFonts w:ascii="黑体" w:hAnsi="黑体" w:eastAsia="黑体"/>
          <w:sz w:val="32"/>
        </w:rPr>
        <w:t>年度部门决算情况说明</w:t>
      </w:r>
    </w:p>
    <w:p w14:paraId="5110A6CF">
      <w:pPr>
        <w:rPr>
          <w:rFonts w:ascii="仿宋" w:hAnsi="仿宋" w:eastAsia="仿宋" w:cs="楷体"/>
          <w:sz w:val="32"/>
        </w:rPr>
      </w:pPr>
      <w:r>
        <w:rPr>
          <w:rFonts w:hint="eastAsia" w:ascii="仿宋" w:hAnsi="仿宋" w:eastAsia="仿宋" w:cs="楷体"/>
          <w:sz w:val="32"/>
        </w:rPr>
        <w:t>一、收入支出决算总体情况说明</w:t>
      </w:r>
    </w:p>
    <w:p w14:paraId="55EDF823">
      <w:pPr>
        <w:rPr>
          <w:rFonts w:ascii="仿宋" w:hAnsi="仿宋" w:eastAsia="仿宋" w:cs="楷体"/>
          <w:sz w:val="32"/>
        </w:rPr>
      </w:pPr>
      <w:r>
        <w:rPr>
          <w:rFonts w:hint="eastAsia" w:ascii="仿宋" w:hAnsi="仿宋" w:eastAsia="仿宋" w:cs="楷体"/>
          <w:sz w:val="32"/>
        </w:rPr>
        <w:t>二、收入决算情况说明</w:t>
      </w:r>
    </w:p>
    <w:p w14:paraId="4F0B9AD8">
      <w:pPr>
        <w:rPr>
          <w:rFonts w:ascii="仿宋" w:hAnsi="仿宋" w:eastAsia="仿宋" w:cs="楷体"/>
          <w:sz w:val="32"/>
        </w:rPr>
      </w:pPr>
      <w:r>
        <w:rPr>
          <w:rFonts w:hint="eastAsia" w:ascii="仿宋" w:hAnsi="仿宋" w:eastAsia="仿宋" w:cs="楷体"/>
          <w:sz w:val="32"/>
        </w:rPr>
        <w:t>三、支出决算情况说明</w:t>
      </w:r>
    </w:p>
    <w:p w14:paraId="299BBD78">
      <w:pPr>
        <w:rPr>
          <w:rFonts w:ascii="仿宋" w:hAnsi="仿宋" w:eastAsia="仿宋" w:cs="楷体"/>
          <w:sz w:val="32"/>
        </w:rPr>
      </w:pPr>
      <w:r>
        <w:rPr>
          <w:rFonts w:hint="eastAsia" w:ascii="仿宋" w:hAnsi="仿宋" w:eastAsia="仿宋" w:cs="楷体"/>
          <w:sz w:val="32"/>
        </w:rPr>
        <w:t>四、财政拨款收入支出决算总体情况说明</w:t>
      </w:r>
    </w:p>
    <w:p w14:paraId="126F9221">
      <w:pPr>
        <w:rPr>
          <w:rFonts w:ascii="仿宋" w:hAnsi="仿宋" w:eastAsia="仿宋" w:cs="楷体"/>
          <w:sz w:val="32"/>
        </w:rPr>
      </w:pPr>
      <w:r>
        <w:rPr>
          <w:rFonts w:hint="eastAsia" w:ascii="仿宋" w:hAnsi="仿宋" w:eastAsia="仿宋" w:cs="楷体"/>
          <w:sz w:val="32"/>
        </w:rPr>
        <w:t>五、一般公共预算财政拨款支出决算情况说明</w:t>
      </w:r>
    </w:p>
    <w:p w14:paraId="0C302B3E">
      <w:pPr>
        <w:rPr>
          <w:rFonts w:ascii="仿宋" w:hAnsi="仿宋" w:eastAsia="仿宋" w:cs="楷体"/>
          <w:sz w:val="32"/>
        </w:rPr>
      </w:pPr>
      <w:r>
        <w:rPr>
          <w:rFonts w:hint="eastAsia" w:ascii="仿宋" w:hAnsi="仿宋" w:eastAsia="仿宋" w:cs="楷体"/>
          <w:sz w:val="32"/>
        </w:rPr>
        <w:t xml:space="preserve">六、一般公共预算财政拨款基本支出决算情况说明 </w:t>
      </w:r>
    </w:p>
    <w:p w14:paraId="3369C38F">
      <w:pPr>
        <w:rPr>
          <w:rFonts w:ascii="仿宋" w:hAnsi="仿宋" w:eastAsia="仿宋" w:cs="楷体"/>
          <w:sz w:val="32"/>
        </w:rPr>
      </w:pPr>
      <w:r>
        <w:rPr>
          <w:rFonts w:hint="eastAsia" w:ascii="仿宋" w:hAnsi="仿宋" w:eastAsia="仿宋" w:cs="楷体"/>
          <w:sz w:val="32"/>
        </w:rPr>
        <w:t>七</w:t>
      </w:r>
      <w:r>
        <w:rPr>
          <w:rFonts w:ascii="仿宋" w:hAnsi="仿宋" w:eastAsia="仿宋" w:cs="楷体"/>
          <w:sz w:val="32"/>
        </w:rPr>
        <w:t>、政府性基金预算财政拨款支出决算情况说明</w:t>
      </w:r>
    </w:p>
    <w:p w14:paraId="6C60F43D">
      <w:pPr>
        <w:rPr>
          <w:rFonts w:ascii="仿宋" w:hAnsi="仿宋" w:eastAsia="仿宋" w:cs="楷体"/>
          <w:sz w:val="32"/>
        </w:rPr>
      </w:pPr>
      <w:r>
        <w:rPr>
          <w:rFonts w:hint="eastAsia" w:ascii="仿宋" w:hAnsi="仿宋" w:eastAsia="仿宋" w:cs="楷体"/>
          <w:sz w:val="32"/>
        </w:rPr>
        <w:t>八、一般公共预算财政拨款“三公”经费支出决算情况说明</w:t>
      </w:r>
    </w:p>
    <w:p w14:paraId="4E71AEBD">
      <w:pPr>
        <w:rPr>
          <w:rFonts w:ascii="仿宋" w:hAnsi="仿宋" w:eastAsia="仿宋" w:cs="楷体"/>
          <w:sz w:val="32"/>
        </w:rPr>
      </w:pPr>
      <w:r>
        <w:rPr>
          <w:rFonts w:hint="eastAsia" w:ascii="仿宋" w:hAnsi="仿宋" w:eastAsia="仿宋" w:cs="楷体"/>
          <w:sz w:val="32"/>
        </w:rPr>
        <w:t>九、预算绩效情况说明</w:t>
      </w:r>
    </w:p>
    <w:p w14:paraId="0903A522">
      <w:pPr>
        <w:rPr>
          <w:rFonts w:ascii="仿宋" w:hAnsi="仿宋" w:eastAsia="仿宋" w:cs="楷体"/>
          <w:sz w:val="32"/>
        </w:rPr>
      </w:pPr>
      <w:r>
        <w:rPr>
          <w:rFonts w:hint="eastAsia" w:ascii="仿宋" w:hAnsi="仿宋" w:eastAsia="仿宋" w:cs="楷体"/>
          <w:sz w:val="32"/>
        </w:rPr>
        <w:t xml:space="preserve">十、其他重要事项情况说明 </w:t>
      </w:r>
    </w:p>
    <w:p w14:paraId="6CDF02A8">
      <w:pPr>
        <w:ind w:firstLine="645"/>
        <w:rPr>
          <w:rFonts w:ascii="仿宋" w:hAnsi="仿宋" w:eastAsia="仿宋"/>
          <w:sz w:val="32"/>
        </w:rPr>
      </w:pPr>
      <w:r>
        <w:rPr>
          <w:rFonts w:hint="eastAsia" w:ascii="仿宋" w:hAnsi="仿宋" w:eastAsia="仿宋"/>
          <w:sz w:val="32"/>
        </w:rPr>
        <w:t>注：以上部门决算报表中，空表表示本部门无相关收支情况。</w:t>
      </w:r>
    </w:p>
    <w:p w14:paraId="653EB532">
      <w:pPr>
        <w:ind w:firstLine="645"/>
        <w:rPr>
          <w:rFonts w:ascii="黑体" w:hAnsi="黑体" w:eastAsia="黑体"/>
          <w:sz w:val="32"/>
        </w:rPr>
      </w:pPr>
    </w:p>
    <w:p w14:paraId="537237DF">
      <w:pPr>
        <w:rPr>
          <w:rFonts w:ascii="黑体" w:hAnsi="黑体" w:eastAsia="黑体"/>
          <w:sz w:val="32"/>
        </w:rPr>
      </w:pPr>
      <w:r>
        <w:rPr>
          <w:rFonts w:ascii="黑体" w:hAnsi="黑体" w:eastAsia="黑体"/>
          <w:sz w:val="32"/>
        </w:rPr>
        <w:t>第四部分 名词解释</w:t>
      </w:r>
    </w:p>
    <w:p w14:paraId="16FE5287">
      <w:pPr>
        <w:rPr>
          <w:rFonts w:ascii="黑体" w:hAnsi="黑体" w:eastAsia="黑体"/>
          <w:sz w:val="32"/>
        </w:rPr>
      </w:pPr>
    </w:p>
    <w:p w14:paraId="351D0CDB">
      <w:pPr>
        <w:rPr>
          <w:rFonts w:ascii="黑体" w:hAnsi="黑体" w:eastAsia="黑体"/>
          <w:sz w:val="32"/>
        </w:rPr>
      </w:pPr>
      <w:r>
        <w:rPr>
          <w:rFonts w:ascii="黑体" w:hAnsi="黑体" w:eastAsia="黑体"/>
          <w:sz w:val="32"/>
        </w:rPr>
        <w:t>第</w:t>
      </w:r>
      <w:r>
        <w:rPr>
          <w:rFonts w:hint="eastAsia" w:ascii="黑体" w:hAnsi="黑体" w:eastAsia="黑体"/>
          <w:sz w:val="32"/>
        </w:rPr>
        <w:t>五</w:t>
      </w:r>
      <w:r>
        <w:rPr>
          <w:rFonts w:ascii="黑体" w:hAnsi="黑体" w:eastAsia="黑体"/>
          <w:sz w:val="32"/>
        </w:rPr>
        <w:t xml:space="preserve">部分 </w:t>
      </w:r>
      <w:r>
        <w:rPr>
          <w:rFonts w:hint="eastAsia" w:ascii="黑体" w:hAnsi="黑体" w:eastAsia="黑体"/>
          <w:sz w:val="32"/>
        </w:rPr>
        <w:t>附件</w:t>
      </w:r>
    </w:p>
    <w:p w14:paraId="111D99CB">
      <w:pPr>
        <w:jc w:val="center"/>
        <w:rPr>
          <w:rFonts w:ascii="宋体" w:hAnsi="宋体" w:cs="宋体"/>
          <w:sz w:val="44"/>
        </w:rPr>
      </w:pPr>
    </w:p>
    <w:p w14:paraId="295DB020">
      <w:pPr>
        <w:jc w:val="center"/>
        <w:rPr>
          <w:rFonts w:ascii="宋体" w:hAnsi="宋体" w:cs="宋体"/>
          <w:sz w:val="44"/>
        </w:rPr>
      </w:pPr>
    </w:p>
    <w:p w14:paraId="43B918A1">
      <w:pPr>
        <w:jc w:val="center"/>
        <w:rPr>
          <w:rFonts w:ascii="宋体" w:hAnsi="宋体" w:cs="宋体"/>
          <w:sz w:val="44"/>
        </w:rPr>
      </w:pPr>
    </w:p>
    <w:p w14:paraId="3BD5BCAE">
      <w:pPr>
        <w:jc w:val="center"/>
        <w:rPr>
          <w:rFonts w:ascii="宋体" w:hAnsi="宋体" w:cs="宋体"/>
          <w:sz w:val="44"/>
        </w:rPr>
      </w:pPr>
    </w:p>
    <w:p w14:paraId="6EDE5EA0">
      <w:pPr>
        <w:jc w:val="center"/>
        <w:rPr>
          <w:rFonts w:ascii="宋体" w:hAnsi="宋体" w:cs="宋体"/>
          <w:sz w:val="44"/>
        </w:rPr>
      </w:pPr>
    </w:p>
    <w:p w14:paraId="2B4C5947">
      <w:pPr>
        <w:jc w:val="center"/>
        <w:rPr>
          <w:rFonts w:ascii="宋体" w:hAnsi="宋体" w:cs="宋体"/>
          <w:sz w:val="44"/>
        </w:rPr>
      </w:pPr>
    </w:p>
    <w:p w14:paraId="70CA9FA8">
      <w:pPr>
        <w:shd w:val="clear" w:color="auto" w:fill="FFFFFF"/>
        <w:adjustRightInd/>
        <w:snapToGrid/>
        <w:spacing w:after="0" w:line="480" w:lineRule="auto"/>
        <w:ind w:firstLine="480"/>
        <w:jc w:val="center"/>
        <w:rPr>
          <w:rFonts w:hint="eastAsia" w:ascii="微软雅黑" w:hAnsi="微软雅黑" w:eastAsia="宋体" w:cs="宋体"/>
          <w:color w:val="062D3C"/>
          <w:sz w:val="24"/>
          <w:szCs w:val="24"/>
        </w:rPr>
      </w:pPr>
    </w:p>
    <w:p w14:paraId="46CBB9A3">
      <w:pPr>
        <w:shd w:val="clear" w:color="auto" w:fill="FFFFFF"/>
        <w:adjustRightInd/>
        <w:snapToGrid/>
        <w:spacing w:after="0" w:line="480" w:lineRule="auto"/>
        <w:ind w:firstLine="480"/>
        <w:jc w:val="center"/>
        <w:rPr>
          <w:rFonts w:hint="eastAsia" w:ascii="微软雅黑" w:hAnsi="微软雅黑" w:eastAsia="宋体" w:cs="宋体"/>
          <w:color w:val="062D3C"/>
          <w:sz w:val="24"/>
          <w:szCs w:val="24"/>
        </w:rPr>
      </w:pPr>
    </w:p>
    <w:p w14:paraId="32058536">
      <w:pPr>
        <w:shd w:val="clear" w:color="auto" w:fill="FFFFFF"/>
        <w:adjustRightInd/>
        <w:snapToGrid/>
        <w:spacing w:after="0" w:line="480" w:lineRule="auto"/>
        <w:ind w:firstLine="480"/>
        <w:jc w:val="center"/>
        <w:rPr>
          <w:rFonts w:hint="eastAsia" w:ascii="微软雅黑" w:hAnsi="微软雅黑" w:eastAsia="宋体" w:cs="宋体"/>
          <w:color w:val="062D3C"/>
          <w:sz w:val="24"/>
          <w:szCs w:val="24"/>
        </w:rPr>
      </w:pPr>
    </w:p>
    <w:p w14:paraId="0BA5FFE6">
      <w:pPr>
        <w:spacing w:line="560" w:lineRule="exact"/>
        <w:ind w:firstLine="1760" w:firstLineChars="550"/>
        <w:contextualSpacing/>
        <w:rPr>
          <w:rFonts w:ascii="黑体" w:hAnsi="黑体" w:eastAsia="黑体"/>
          <w:sz w:val="32"/>
          <w:szCs w:val="32"/>
        </w:rPr>
      </w:pPr>
      <w:r>
        <w:rPr>
          <w:rFonts w:ascii="黑体" w:hAnsi="黑体" w:eastAsia="黑体"/>
          <w:sz w:val="32"/>
          <w:szCs w:val="32"/>
        </w:rPr>
        <w:t>第一部分</w:t>
      </w:r>
      <w:r>
        <w:rPr>
          <w:rFonts w:hint="eastAsia" w:ascii="黑体" w:hAnsi="黑体" w:eastAsia="黑体"/>
          <w:sz w:val="32"/>
          <w:szCs w:val="32"/>
        </w:rPr>
        <w:t xml:space="preserve">  益阳市政务中心</w:t>
      </w:r>
      <w:r>
        <w:rPr>
          <w:rFonts w:ascii="黑体" w:hAnsi="黑体" w:eastAsia="黑体"/>
          <w:sz w:val="32"/>
          <w:szCs w:val="32"/>
        </w:rPr>
        <w:t xml:space="preserve">概况 </w:t>
      </w:r>
    </w:p>
    <w:p w14:paraId="5FAEBC26">
      <w:pPr>
        <w:spacing w:line="560" w:lineRule="exact"/>
        <w:ind w:firstLine="1760" w:firstLineChars="550"/>
        <w:contextualSpacing/>
        <w:rPr>
          <w:rFonts w:ascii="黑体" w:hAnsi="黑体" w:eastAsia="黑体"/>
          <w:sz w:val="32"/>
          <w:szCs w:val="32"/>
        </w:rPr>
      </w:pPr>
    </w:p>
    <w:p w14:paraId="365F2668">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一、</w:t>
      </w:r>
      <w:r>
        <w:rPr>
          <w:rFonts w:hint="eastAsia" w:ascii="仿宋" w:hAnsi="仿宋" w:eastAsia="仿宋" w:cs="宋体"/>
          <w:b/>
          <w:color w:val="062D3C"/>
          <w:sz w:val="32"/>
          <w:szCs w:val="32"/>
        </w:rPr>
        <w:t>部门职责</w:t>
      </w:r>
    </w:p>
    <w:p w14:paraId="7328032E">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（一）贯彻执行中央、省有关政务中心建设和政府信息公开工作方针、政策，研究拟定全市政务中心建设和政务公开工作规划，经批准后组织实施；</w:t>
      </w:r>
    </w:p>
    <w:p w14:paraId="72EDAC30">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（二）负责指导、协调、监督市直部门集中办理行政许可、非行政许可审批、行政事业和服务性收费；负责组织提供有关公共便民服务；</w:t>
      </w:r>
    </w:p>
    <w:p w14:paraId="2FF68D54">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（三）负责政务窗口工作人员的管理、监督和考核工作。会同有关部门负责受理、交办、督办政务窗口行政效能投诉；</w:t>
      </w:r>
    </w:p>
    <w:p w14:paraId="29422D92">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（四）负责提供有关行政审批事项及服务事项的代理代办服务；</w:t>
      </w:r>
    </w:p>
    <w:p w14:paraId="71E0987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（五）负责组织编制市人民政府及政府部门的政府信息公开指南、公开目录和公开年度工作报告；具体承办市人民政府的政府信息公开事宜；</w:t>
      </w:r>
    </w:p>
    <w:p w14:paraId="57075A55">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（六）负责指导协调区县（市）和市直部门的政务服务和政务公开工作；</w:t>
      </w:r>
    </w:p>
    <w:p w14:paraId="686AD50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（七）承办市政务公开领导小组的其他具体工作；</w:t>
      </w:r>
    </w:p>
    <w:p w14:paraId="538D9596">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（八）承办市委、市政府交办的其他事项。</w:t>
      </w:r>
    </w:p>
    <w:p w14:paraId="0ED0E100">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二、机构设置</w:t>
      </w:r>
    </w:p>
    <w:p w14:paraId="240D2EC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市政务中心（市政务公开领导小组办公室）内设5个职能科室：</w:t>
      </w:r>
    </w:p>
    <w:p w14:paraId="04D3B41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（一）综合科</w:t>
      </w:r>
    </w:p>
    <w:p w14:paraId="43FE663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（二）窗口管理科</w:t>
      </w:r>
    </w:p>
    <w:p w14:paraId="02EC8F6D">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（三）政务公开科</w:t>
      </w:r>
    </w:p>
    <w:p w14:paraId="5B7AFBC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（四）信息网络管理科</w:t>
      </w:r>
    </w:p>
    <w:p w14:paraId="7F7A3AC2">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（五）业务监督科</w:t>
      </w:r>
    </w:p>
    <w:p w14:paraId="601EF608">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三、部门决算单位构成</w:t>
      </w:r>
    </w:p>
    <w:p w14:paraId="2DFABA8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hint="eastAsia" w:ascii="仿宋" w:hAnsi="仿宋" w:eastAsia="仿宋" w:cs="宋体"/>
          <w:color w:val="062D3C"/>
          <w:sz w:val="32"/>
          <w:szCs w:val="32"/>
        </w:rPr>
        <w:t>从决算单位构成看，益阳市政务中心只有本级，没有其他决算单位，因此本部门决算只含本级决算。</w:t>
      </w:r>
    </w:p>
    <w:tbl>
      <w:tblPr>
        <w:tblStyle w:val="6"/>
        <w:tblW w:w="8424" w:type="dxa"/>
        <w:tblInd w:w="98" w:type="dxa"/>
        <w:shd w:val="clear" w:color="auto" w:fill="FFFFFF"/>
        <w:tblLayout w:type="autofit"/>
        <w:tblCellMar>
          <w:top w:w="15" w:type="dxa"/>
          <w:left w:w="15" w:type="dxa"/>
          <w:bottom w:w="15" w:type="dxa"/>
          <w:right w:w="15" w:type="dxa"/>
        </w:tblCellMar>
      </w:tblPr>
      <w:tblGrid>
        <w:gridCol w:w="2212"/>
        <w:gridCol w:w="6212"/>
      </w:tblGrid>
      <w:tr w14:paraId="3D3D1F84">
        <w:tblPrEx>
          <w:shd w:val="clear" w:color="auto" w:fill="FFFFFF"/>
          <w:tblCellMar>
            <w:top w:w="15" w:type="dxa"/>
            <w:left w:w="15" w:type="dxa"/>
            <w:bottom w:w="15" w:type="dxa"/>
            <w:right w:w="15" w:type="dxa"/>
          </w:tblCellMar>
        </w:tblPrEx>
        <w:trPr>
          <w:trHeight w:val="488" w:hRule="atLeast"/>
        </w:trPr>
        <w:tc>
          <w:tcPr>
            <w:tcW w:w="221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2DE4BCD">
            <w:pPr>
              <w:adjustRightInd/>
              <w:snapToGrid/>
              <w:spacing w:after="0" w:line="560" w:lineRule="exact"/>
              <w:ind w:firstLine="480"/>
              <w:contextualSpacing/>
              <w:jc w:val="center"/>
              <w:rPr>
                <w:rFonts w:ascii="仿宋" w:hAnsi="仿宋" w:eastAsia="仿宋" w:cs="宋体"/>
                <w:color w:val="062D3C"/>
                <w:sz w:val="32"/>
                <w:szCs w:val="32"/>
              </w:rPr>
            </w:pPr>
            <w:r>
              <w:rPr>
                <w:rFonts w:hint="eastAsia" w:ascii="仿宋" w:hAnsi="仿宋" w:eastAsia="仿宋" w:cs="宋体"/>
                <w:b/>
                <w:bCs/>
                <w:color w:val="062D3C"/>
                <w:sz w:val="32"/>
                <w:szCs w:val="32"/>
              </w:rPr>
              <w:t>序号</w:t>
            </w:r>
          </w:p>
        </w:tc>
        <w:tc>
          <w:tcPr>
            <w:tcW w:w="62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F6BFC85">
            <w:pPr>
              <w:adjustRightInd/>
              <w:snapToGrid/>
              <w:spacing w:after="0" w:line="560" w:lineRule="exact"/>
              <w:ind w:firstLine="480"/>
              <w:contextualSpacing/>
              <w:jc w:val="center"/>
              <w:rPr>
                <w:rFonts w:ascii="仿宋" w:hAnsi="仿宋" w:eastAsia="仿宋" w:cs="宋体"/>
                <w:color w:val="062D3C"/>
                <w:sz w:val="32"/>
                <w:szCs w:val="32"/>
              </w:rPr>
            </w:pPr>
            <w:r>
              <w:rPr>
                <w:rFonts w:hint="eastAsia" w:ascii="仿宋" w:hAnsi="仿宋" w:eastAsia="仿宋" w:cs="宋体"/>
                <w:b/>
                <w:bCs/>
                <w:color w:val="062D3C"/>
                <w:sz w:val="32"/>
                <w:szCs w:val="32"/>
              </w:rPr>
              <w:t>单位名称</w:t>
            </w:r>
          </w:p>
        </w:tc>
      </w:tr>
      <w:tr w14:paraId="3DCA4D20">
        <w:tblPrEx>
          <w:tblCellMar>
            <w:top w:w="15" w:type="dxa"/>
            <w:left w:w="15" w:type="dxa"/>
            <w:bottom w:w="15" w:type="dxa"/>
            <w:right w:w="15" w:type="dxa"/>
          </w:tblCellMar>
        </w:tblPrEx>
        <w:trPr>
          <w:trHeight w:val="468" w:hRule="atLeast"/>
        </w:trPr>
        <w:tc>
          <w:tcPr>
            <w:tcW w:w="2212"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56D4E01">
            <w:pPr>
              <w:adjustRightInd/>
              <w:snapToGrid/>
              <w:spacing w:after="0" w:line="560" w:lineRule="exact"/>
              <w:ind w:firstLine="480"/>
              <w:contextualSpacing/>
              <w:jc w:val="center"/>
              <w:rPr>
                <w:rFonts w:ascii="仿宋" w:hAnsi="仿宋" w:eastAsia="仿宋" w:cs="宋体"/>
                <w:color w:val="062D3C"/>
                <w:sz w:val="32"/>
                <w:szCs w:val="32"/>
              </w:rPr>
            </w:pPr>
            <w:r>
              <w:rPr>
                <w:rFonts w:hint="eastAsia" w:ascii="仿宋" w:hAnsi="仿宋" w:eastAsia="仿宋" w:cs="宋体"/>
                <w:b/>
                <w:bCs/>
                <w:color w:val="062D3C"/>
                <w:sz w:val="32"/>
                <w:szCs w:val="32"/>
              </w:rPr>
              <w:t>1</w:t>
            </w:r>
          </w:p>
        </w:tc>
        <w:tc>
          <w:tcPr>
            <w:tcW w:w="62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D03E4D">
            <w:pPr>
              <w:adjustRightInd/>
              <w:snapToGrid/>
              <w:spacing w:after="0" w:line="560" w:lineRule="exact"/>
              <w:ind w:firstLine="480"/>
              <w:contextualSpacing/>
              <w:jc w:val="center"/>
              <w:rPr>
                <w:rFonts w:ascii="仿宋" w:hAnsi="仿宋" w:eastAsia="仿宋" w:cs="宋体"/>
                <w:color w:val="062D3C"/>
                <w:sz w:val="32"/>
                <w:szCs w:val="32"/>
              </w:rPr>
            </w:pPr>
            <w:r>
              <w:rPr>
                <w:rFonts w:hint="eastAsia" w:ascii="仿宋" w:hAnsi="仿宋" w:eastAsia="仿宋" w:cs="宋体"/>
                <w:color w:val="062D3C"/>
                <w:sz w:val="32"/>
                <w:szCs w:val="32"/>
              </w:rPr>
              <w:t>益阳市政务中心</w:t>
            </w:r>
          </w:p>
        </w:tc>
      </w:tr>
    </w:tbl>
    <w:p w14:paraId="7F990557">
      <w:pPr>
        <w:adjustRightInd/>
        <w:snapToGrid/>
        <w:spacing w:after="0" w:line="560" w:lineRule="exact"/>
        <w:contextualSpacing/>
        <w:rPr>
          <w:rFonts w:ascii="仿宋" w:hAnsi="仿宋" w:eastAsia="仿宋" w:cs="宋体"/>
          <w:sz w:val="32"/>
          <w:szCs w:val="32"/>
        </w:rPr>
      </w:pPr>
      <w:r>
        <w:rPr>
          <w:rFonts w:ascii="仿宋" w:hAnsi="仿宋" w:eastAsia="仿宋" w:cs="宋体"/>
          <w:color w:val="062D3C"/>
          <w:sz w:val="32"/>
          <w:szCs w:val="32"/>
        </w:rPr>
        <w:br w:type="textWrapping"/>
      </w:r>
    </w:p>
    <w:p w14:paraId="6F6B66DD">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033AE336">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6B464A82">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74925A25">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162FCE67">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744E8D32">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46F06FE8">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5904CAE2">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59173FD4">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71A5E24E">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4A3A363B">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38B13C81">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603B1BC1">
      <w:pPr>
        <w:shd w:val="clear" w:color="auto" w:fill="FFFFFF"/>
        <w:adjustRightInd/>
        <w:snapToGrid/>
        <w:spacing w:after="0" w:line="560" w:lineRule="exact"/>
        <w:ind w:firstLine="480"/>
        <w:contextualSpacing/>
        <w:jc w:val="center"/>
        <w:rPr>
          <w:rFonts w:ascii="黑体" w:hAnsi="黑体" w:eastAsia="黑体" w:cs="宋体"/>
          <w:color w:val="062D3C"/>
          <w:sz w:val="32"/>
          <w:szCs w:val="32"/>
        </w:rPr>
      </w:pPr>
      <w:r>
        <w:rPr>
          <w:rFonts w:ascii="黑体" w:hAnsi="黑体" w:eastAsia="黑体" w:cs="宋体"/>
          <w:color w:val="062D3C"/>
          <w:sz w:val="32"/>
          <w:szCs w:val="32"/>
        </w:rPr>
        <w:t>第二部分</w:t>
      </w:r>
      <w:r>
        <w:rPr>
          <w:rFonts w:hint="eastAsia" w:ascii="黑体" w:hAnsi="黑体" w:eastAsia="黑体" w:cs="宋体"/>
          <w:color w:val="062D3C"/>
          <w:sz w:val="32"/>
          <w:szCs w:val="32"/>
        </w:rPr>
        <w:t xml:space="preserve"> </w:t>
      </w:r>
      <w:r>
        <w:rPr>
          <w:rFonts w:ascii="微软雅黑" w:hAnsi="微软雅黑" w:eastAsia="黑体" w:cs="宋体"/>
          <w:color w:val="062D3C"/>
          <w:sz w:val="32"/>
          <w:szCs w:val="32"/>
        </w:rPr>
        <w:t> </w:t>
      </w:r>
      <w:r>
        <w:rPr>
          <w:rFonts w:ascii="黑体" w:hAnsi="黑体" w:eastAsia="黑体" w:cs="宋体"/>
          <w:color w:val="062D3C"/>
          <w:sz w:val="32"/>
          <w:szCs w:val="32"/>
        </w:rPr>
        <w:t>益阳市政务中心2018 年度部门决算表</w:t>
      </w:r>
    </w:p>
    <w:p w14:paraId="2322CC8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02425B31">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表1：收入支出决算总表</w:t>
      </w:r>
    </w:p>
    <w:p w14:paraId="5A968B2A">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表2：收入决算表</w:t>
      </w:r>
    </w:p>
    <w:p w14:paraId="16E91152">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表3：支出决算表</w:t>
      </w:r>
    </w:p>
    <w:p w14:paraId="314A621D">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表4：财政拨款收入支出决算总表</w:t>
      </w:r>
    </w:p>
    <w:p w14:paraId="230B9B34">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表5：一般公共预算财政拨款支出决算表</w:t>
      </w:r>
    </w:p>
    <w:p w14:paraId="176D096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表6：一般公共预算财政拨款基本支出决算表</w:t>
      </w:r>
    </w:p>
    <w:p w14:paraId="2B917FA3">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表7：一般公共预算财政拨款“三公”经费支出决算表</w:t>
      </w:r>
    </w:p>
    <w:p w14:paraId="7BFF5B39">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表8：政府性基金预算财政拨款收入支出决算表</w:t>
      </w:r>
    </w:p>
    <w:p w14:paraId="562B271E">
      <w:pPr>
        <w:shd w:val="clear" w:color="auto" w:fill="FFFFFF"/>
        <w:adjustRightInd/>
        <w:snapToGrid/>
        <w:spacing w:after="0" w:line="560" w:lineRule="exact"/>
        <w:ind w:firstLine="480"/>
        <w:contextualSpacing/>
        <w:jc w:val="both"/>
        <w:rPr>
          <w:rFonts w:hint="eastAsia" w:ascii="仿宋" w:hAnsi="仿宋" w:eastAsia="仿宋" w:cs="宋体"/>
          <w:b/>
          <w:color w:val="062D3C"/>
          <w:sz w:val="32"/>
          <w:szCs w:val="32"/>
        </w:rPr>
      </w:pPr>
    </w:p>
    <w:p w14:paraId="06FF0333">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w:t>
      </w:r>
      <w:r>
        <w:rPr>
          <w:rFonts w:hint="eastAsia" w:ascii="仿宋" w:hAnsi="仿宋" w:eastAsia="仿宋" w:cs="宋体"/>
          <w:b/>
          <w:color w:val="062D3C"/>
          <w:sz w:val="32"/>
          <w:szCs w:val="32"/>
        </w:rPr>
        <w:t>注：以上部门决算报表中，空表表示本部门无相关收支情况，详见附件1）</w:t>
      </w:r>
    </w:p>
    <w:p w14:paraId="2050AAD3">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p>
    <w:p w14:paraId="260C86F2">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52C2F290">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5F2BE26E">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36000363">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11999FBD">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387D2662">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6149F06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3F056792">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1D206344">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50FC06BD">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p>
    <w:p w14:paraId="2B2494AF">
      <w:pPr>
        <w:shd w:val="clear" w:color="auto" w:fill="FFFFFF"/>
        <w:adjustRightInd/>
        <w:snapToGrid/>
        <w:spacing w:after="0" w:line="560" w:lineRule="exact"/>
        <w:ind w:firstLine="160" w:firstLineChars="50"/>
        <w:contextualSpacing/>
        <w:rPr>
          <w:rFonts w:ascii="黑体" w:hAnsi="黑体" w:eastAsia="黑体" w:cs="宋体"/>
          <w:color w:val="062D3C"/>
          <w:sz w:val="32"/>
          <w:szCs w:val="32"/>
        </w:rPr>
      </w:pPr>
      <w:r>
        <w:rPr>
          <w:rFonts w:ascii="黑体" w:hAnsi="黑体" w:eastAsia="黑体" w:cs="宋体"/>
          <w:color w:val="062D3C"/>
          <w:sz w:val="32"/>
          <w:szCs w:val="32"/>
        </w:rPr>
        <w:t>第三部分</w:t>
      </w:r>
      <w:r>
        <w:rPr>
          <w:rFonts w:hint="eastAsia" w:ascii="黑体" w:hAnsi="黑体" w:eastAsia="黑体" w:cs="宋体"/>
          <w:color w:val="062D3C"/>
          <w:sz w:val="32"/>
          <w:szCs w:val="32"/>
        </w:rPr>
        <w:t xml:space="preserve"> </w:t>
      </w:r>
      <w:r>
        <w:rPr>
          <w:rFonts w:ascii="微软雅黑" w:hAnsi="微软雅黑" w:eastAsia="黑体" w:cs="宋体"/>
          <w:color w:val="062D3C"/>
          <w:sz w:val="32"/>
          <w:szCs w:val="32"/>
        </w:rPr>
        <w:t> </w:t>
      </w:r>
      <w:r>
        <w:rPr>
          <w:rFonts w:ascii="黑体" w:hAnsi="黑体" w:eastAsia="黑体" w:cs="宋体"/>
          <w:color w:val="062D3C"/>
          <w:sz w:val="32"/>
          <w:szCs w:val="32"/>
        </w:rPr>
        <w:t>益阳市政务中心2018年度部门决算情况说明</w:t>
      </w:r>
    </w:p>
    <w:p w14:paraId="780396DA">
      <w:pPr>
        <w:shd w:val="clear" w:color="auto" w:fill="FFFFFF"/>
        <w:adjustRightInd/>
        <w:snapToGrid/>
        <w:spacing w:after="0" w:line="560" w:lineRule="exact"/>
        <w:ind w:firstLine="160" w:firstLineChars="50"/>
        <w:contextualSpacing/>
        <w:rPr>
          <w:rFonts w:ascii="黑体" w:hAnsi="黑体" w:eastAsia="黑体" w:cs="宋体"/>
          <w:color w:val="062D3C"/>
          <w:sz w:val="32"/>
          <w:szCs w:val="32"/>
        </w:rPr>
      </w:pPr>
    </w:p>
    <w:p w14:paraId="2ED9A9AD">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一、关于益阳市政务中心2018年度收入支出决算总体情况说明</w:t>
      </w:r>
    </w:p>
    <w:p w14:paraId="0B62A971">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益阳市政务中心2018年度收入总计1009.84万元，比上年同期增加110.95万元，增长12.34%；支出总计879.98万元，比上年同期减少 48.17万元，下降5.19%。主要原因：2018年启用综合受理窗口服务和自助服务区建设项目，故收入</w:t>
      </w:r>
      <w:r>
        <w:rPr>
          <w:rFonts w:hint="eastAsia" w:ascii="仿宋" w:hAnsi="仿宋" w:eastAsia="仿宋" w:cs="宋体"/>
          <w:color w:val="062D3C"/>
          <w:sz w:val="32"/>
          <w:szCs w:val="32"/>
        </w:rPr>
        <w:t>相比2017年</w:t>
      </w:r>
      <w:r>
        <w:rPr>
          <w:rFonts w:ascii="仿宋" w:hAnsi="仿宋" w:eastAsia="仿宋" w:cs="宋体"/>
          <w:color w:val="062D3C"/>
          <w:sz w:val="32"/>
          <w:szCs w:val="32"/>
        </w:rPr>
        <w:t>同期增加；因房屋租赁费在年底未能提供发票，没有全额支付房租费，故支出</w:t>
      </w:r>
      <w:r>
        <w:rPr>
          <w:rFonts w:hint="eastAsia" w:ascii="仿宋" w:hAnsi="仿宋" w:eastAsia="仿宋" w:cs="宋体"/>
          <w:color w:val="062D3C"/>
          <w:sz w:val="32"/>
          <w:szCs w:val="32"/>
        </w:rPr>
        <w:t>相</w:t>
      </w:r>
      <w:r>
        <w:rPr>
          <w:rFonts w:ascii="仿宋" w:hAnsi="仿宋" w:eastAsia="仿宋" w:cs="宋体"/>
          <w:color w:val="062D3C"/>
          <w:sz w:val="32"/>
          <w:szCs w:val="32"/>
        </w:rPr>
        <w:t>比2017年同期减少。</w:t>
      </w:r>
    </w:p>
    <w:p w14:paraId="4E0FE79E">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二、关于益阳市政务中心2018年度收入决算情况说明</w:t>
      </w:r>
    </w:p>
    <w:p w14:paraId="4710806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2018年度收入合计1009.84万元，其中：财政拨款收入1009.84万元，占100%。</w:t>
      </w:r>
      <w:r>
        <w:rPr>
          <w:rFonts w:hint="eastAsia" w:ascii="仿宋" w:hAnsi="仿宋" w:eastAsia="仿宋" w:cs="宋体"/>
          <w:color w:val="062D3C"/>
          <w:sz w:val="32"/>
          <w:szCs w:val="32"/>
        </w:rPr>
        <w:t>事业收入0万元，占比0%；经营收入0万元，占比0%。</w:t>
      </w:r>
    </w:p>
    <w:p w14:paraId="44378691">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三、关于益阳市政务中心2018年度支出决算情况说明</w:t>
      </w:r>
    </w:p>
    <w:p w14:paraId="1672C8B9">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2018年度支出合计879.98万元，其中：基本支出810.98万元，占92.16%</w:t>
      </w:r>
      <w:r>
        <w:rPr>
          <w:rFonts w:hint="eastAsia" w:ascii="仿宋" w:hAnsi="仿宋" w:eastAsia="仿宋" w:cs="宋体"/>
          <w:color w:val="062D3C"/>
          <w:sz w:val="32"/>
          <w:szCs w:val="32"/>
        </w:rPr>
        <w:t>；</w:t>
      </w:r>
      <w:r>
        <w:rPr>
          <w:rFonts w:ascii="仿宋" w:hAnsi="仿宋" w:eastAsia="仿宋" w:cs="宋体"/>
          <w:color w:val="062D3C"/>
          <w:sz w:val="32"/>
          <w:szCs w:val="32"/>
        </w:rPr>
        <w:t>项目支出69万元，占7.84%</w:t>
      </w:r>
      <w:r>
        <w:rPr>
          <w:rFonts w:hint="eastAsia" w:ascii="仿宋" w:hAnsi="仿宋" w:eastAsia="仿宋" w:cs="宋体"/>
          <w:color w:val="062D3C"/>
          <w:sz w:val="32"/>
          <w:szCs w:val="32"/>
        </w:rPr>
        <w:t>；经营支出0万元，占0%。</w:t>
      </w:r>
    </w:p>
    <w:p w14:paraId="66336A59">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四、关于益阳市政务中心2018年度财政拨款收入支出决算总体情况说明</w:t>
      </w:r>
    </w:p>
    <w:p w14:paraId="0A90B305">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2018年度财政拨款收入总计1009.84万元，比上年同期增加116.6万元，增长13.05%；财政拨款支出总计874.33万元，比上年同期减少53.82万元，下降5.8%。</w:t>
      </w:r>
      <w:r>
        <w:rPr>
          <w:rFonts w:hint="eastAsia" w:ascii="仿宋" w:hAnsi="仿宋" w:eastAsia="仿宋" w:cs="宋体"/>
          <w:color w:val="062D3C"/>
          <w:sz w:val="32"/>
          <w:szCs w:val="32"/>
        </w:rPr>
        <w:t>主要原因：当</w:t>
      </w:r>
      <w:r>
        <w:rPr>
          <w:rFonts w:ascii="仿宋" w:hAnsi="仿宋" w:eastAsia="仿宋" w:cs="宋体"/>
          <w:color w:val="062D3C"/>
          <w:sz w:val="32"/>
          <w:szCs w:val="32"/>
        </w:rPr>
        <w:t>年启用综合受理窗口服务和自助服务区建设项目，</w:t>
      </w:r>
      <w:r>
        <w:rPr>
          <w:rFonts w:hint="eastAsia" w:ascii="仿宋" w:hAnsi="仿宋" w:eastAsia="仿宋" w:cs="宋体"/>
          <w:color w:val="062D3C"/>
          <w:sz w:val="32"/>
          <w:szCs w:val="32"/>
        </w:rPr>
        <w:t>财政拨款同比增加，</w:t>
      </w:r>
      <w:r>
        <w:rPr>
          <w:rFonts w:ascii="仿宋" w:hAnsi="仿宋" w:eastAsia="仿宋" w:cs="宋体"/>
          <w:color w:val="062D3C"/>
          <w:sz w:val="32"/>
          <w:szCs w:val="32"/>
        </w:rPr>
        <w:t>房屋租赁费</w:t>
      </w:r>
      <w:r>
        <w:rPr>
          <w:rFonts w:hint="eastAsia" w:ascii="仿宋" w:hAnsi="仿宋" w:eastAsia="仿宋" w:cs="宋体"/>
          <w:color w:val="062D3C"/>
          <w:sz w:val="32"/>
          <w:szCs w:val="32"/>
        </w:rPr>
        <w:t>当年</w:t>
      </w:r>
      <w:r>
        <w:rPr>
          <w:rFonts w:ascii="仿宋" w:hAnsi="仿宋" w:eastAsia="仿宋" w:cs="宋体"/>
          <w:color w:val="062D3C"/>
          <w:sz w:val="32"/>
          <w:szCs w:val="32"/>
        </w:rPr>
        <w:t>没有全额支付，</w:t>
      </w:r>
      <w:r>
        <w:rPr>
          <w:rFonts w:hint="eastAsia" w:ascii="仿宋" w:hAnsi="仿宋" w:eastAsia="仿宋" w:cs="宋体"/>
          <w:color w:val="062D3C"/>
          <w:sz w:val="32"/>
          <w:szCs w:val="32"/>
        </w:rPr>
        <w:t>支出同比</w:t>
      </w:r>
      <w:r>
        <w:rPr>
          <w:rFonts w:ascii="仿宋" w:hAnsi="仿宋" w:eastAsia="仿宋" w:cs="宋体"/>
          <w:color w:val="062D3C"/>
          <w:sz w:val="32"/>
          <w:szCs w:val="32"/>
        </w:rPr>
        <w:t>减少。</w:t>
      </w:r>
    </w:p>
    <w:p w14:paraId="555788C8">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五、关于益阳市政务中心2018年度一般公共预算财政拨款收入支出决算情况说明</w:t>
      </w:r>
    </w:p>
    <w:p w14:paraId="33E12DD5">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（一）一般公共预算财政拨款收入支出决算总体情况。</w:t>
      </w:r>
    </w:p>
    <w:p w14:paraId="6F29BCAC">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2018年度一般公共预算财政拨款收入总计1009.84万元，比上年同期增加116.6万元，增长13.05%；一般公共预算财政拨款支出总计874.33万元，比上年同期减少53.82万元，下降5.8%。</w:t>
      </w:r>
      <w:r>
        <w:rPr>
          <w:rFonts w:hint="eastAsia" w:ascii="仿宋" w:hAnsi="仿宋" w:eastAsia="仿宋" w:cs="宋体"/>
          <w:color w:val="062D3C"/>
          <w:sz w:val="32"/>
          <w:szCs w:val="32"/>
        </w:rPr>
        <w:t>主要原因：当</w:t>
      </w:r>
      <w:r>
        <w:rPr>
          <w:rFonts w:ascii="仿宋" w:hAnsi="仿宋" w:eastAsia="仿宋" w:cs="宋体"/>
          <w:color w:val="062D3C"/>
          <w:sz w:val="32"/>
          <w:szCs w:val="32"/>
        </w:rPr>
        <w:t>年启用综合受理窗口服务和自助服务区建设项目，</w:t>
      </w:r>
      <w:r>
        <w:rPr>
          <w:rFonts w:hint="eastAsia" w:ascii="仿宋" w:hAnsi="仿宋" w:eastAsia="仿宋" w:cs="宋体"/>
          <w:color w:val="062D3C"/>
          <w:sz w:val="32"/>
          <w:szCs w:val="32"/>
        </w:rPr>
        <w:t>财政拨款同比增加，</w:t>
      </w:r>
      <w:r>
        <w:rPr>
          <w:rFonts w:ascii="仿宋" w:hAnsi="仿宋" w:eastAsia="仿宋" w:cs="宋体"/>
          <w:color w:val="062D3C"/>
          <w:sz w:val="32"/>
          <w:szCs w:val="32"/>
        </w:rPr>
        <w:t>房屋租赁费</w:t>
      </w:r>
      <w:r>
        <w:rPr>
          <w:rFonts w:hint="eastAsia" w:ascii="仿宋" w:hAnsi="仿宋" w:eastAsia="仿宋" w:cs="宋体"/>
          <w:color w:val="062D3C"/>
          <w:sz w:val="32"/>
          <w:szCs w:val="32"/>
        </w:rPr>
        <w:t>当年</w:t>
      </w:r>
      <w:r>
        <w:rPr>
          <w:rFonts w:ascii="仿宋" w:hAnsi="仿宋" w:eastAsia="仿宋" w:cs="宋体"/>
          <w:color w:val="062D3C"/>
          <w:sz w:val="32"/>
          <w:szCs w:val="32"/>
        </w:rPr>
        <w:t>没有全额支付，</w:t>
      </w:r>
      <w:r>
        <w:rPr>
          <w:rFonts w:hint="eastAsia" w:ascii="仿宋" w:hAnsi="仿宋" w:eastAsia="仿宋" w:cs="宋体"/>
          <w:color w:val="062D3C"/>
          <w:sz w:val="32"/>
          <w:szCs w:val="32"/>
        </w:rPr>
        <w:t>支出同比</w:t>
      </w:r>
      <w:r>
        <w:rPr>
          <w:rFonts w:ascii="仿宋" w:hAnsi="仿宋" w:eastAsia="仿宋" w:cs="宋体"/>
          <w:color w:val="062D3C"/>
          <w:sz w:val="32"/>
          <w:szCs w:val="32"/>
        </w:rPr>
        <w:t>减少。</w:t>
      </w:r>
    </w:p>
    <w:p w14:paraId="1C235A4A">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（二）一般公共预算财政拨款支出决算构成情况。</w:t>
      </w:r>
    </w:p>
    <w:p w14:paraId="211A23C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一般公共服务（类）支出775.74万元，占 88.72%；</w:t>
      </w:r>
    </w:p>
    <w:p w14:paraId="7A520DDE">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社会保障和就业（类）支出30.89万元，占3.53%；</w:t>
      </w:r>
    </w:p>
    <w:p w14:paraId="4F7A5233">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医疗卫生与计划生育（类）支出15.45万元，占1.77%；</w:t>
      </w:r>
    </w:p>
    <w:p w14:paraId="7B9F83C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住房保障（类）支出18.54万元，占2.12%。</w:t>
      </w:r>
    </w:p>
    <w:p w14:paraId="38516509">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文化体育和传媒支出（类）支出33.71万元，占3.86%。</w:t>
      </w:r>
    </w:p>
    <w:p w14:paraId="5D995CA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（三）一般公共预算财政拨款支出决算具体情况。</w:t>
      </w:r>
    </w:p>
    <w:p w14:paraId="2A2B8E31">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1. 一般公共服务支出（类）政府办公厅（室）及相关机构事务（款）行政运行（项）财政拨款支出687.2万元，主要用于市政务中心大厅正常运转、工作人员工资福利等。</w:t>
      </w:r>
    </w:p>
    <w:p w14:paraId="3AAE506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 一般公共服务支出（类）政府办公厅（室）及相关机构事务（款）一般行政管理事务（项）财政拨款支出20万元，主要用于市政务中心大厅地税窗口人员工资。</w:t>
      </w:r>
    </w:p>
    <w:p w14:paraId="03352332">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3. 一般公共服务支出（类）政府办公厅（室）及相关机构事务（款）政务公开审批（项）财政拨款支出18.84万元，主要用于大厅政务审批工作、政务公开工作、会议、培训费等。</w:t>
      </w:r>
    </w:p>
    <w:p w14:paraId="58219999">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4. 一般公共服务支出（类）政府办公厅（室）及相关机构事务（款）其他政府办公厅（室）及相关机构事务支出（项）财政拨款支出49万元，主要用于市政务中心大厅正常运转。</w:t>
      </w:r>
    </w:p>
    <w:p w14:paraId="6D58C89A">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5. 一般公共服务支出（类）其他一般公共服务支出（款）其他一般公共服务支出（项）财政拨款支出0.7万元，主要用于市政务中心大厅正常运转。</w:t>
      </w:r>
    </w:p>
    <w:p w14:paraId="270AE09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6.社会保障和就业支出（类）行政事业单位离退休（款）机关事业单位基本养老保险缴费支出（项）财政拨款支出30.89万元，主要用于养老保险缴费。</w:t>
      </w:r>
    </w:p>
    <w:p w14:paraId="62232481">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7.医疗卫生与计划生育支出（类）行政事业单位医疗（款）行政单位医疗（项）财政拨款支出15.45万元，主要用于机关工作人员购买医疗保险。</w:t>
      </w:r>
    </w:p>
    <w:p w14:paraId="776DC4CD">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8.住房保障支出（类）住房改革支出（款）住房公积金（项）财政拨款支出18.54万元，主要用于机关工作人员公积金单位部分缴纳。</w:t>
      </w:r>
    </w:p>
    <w:p w14:paraId="55BADFD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9.文化体育与传媒支出（类）文化（款）其他文化支出（项）财政拨款支出33.71万元，主要用于机关购置专用材料。</w:t>
      </w:r>
    </w:p>
    <w:p w14:paraId="03C628AC">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六、关于益阳市政务中心2018年度一般公共预算财政拨款基本支出决算情况说明</w:t>
      </w:r>
    </w:p>
    <w:p w14:paraId="4E761CDD">
      <w:pPr>
        <w:shd w:val="clear" w:color="auto" w:fill="FFFFFF"/>
        <w:adjustRightInd/>
        <w:snapToGrid/>
        <w:spacing w:after="0" w:line="560" w:lineRule="exact"/>
        <w:ind w:firstLine="640" w:firstLineChars="200"/>
        <w:contextualSpacing/>
        <w:jc w:val="both"/>
        <w:rPr>
          <w:rFonts w:ascii="仿宋" w:hAnsi="仿宋" w:eastAsia="仿宋" w:cs="宋体"/>
          <w:color w:val="062D3C"/>
          <w:sz w:val="32"/>
          <w:szCs w:val="32"/>
        </w:rPr>
      </w:pPr>
      <w:r>
        <w:rPr>
          <w:rFonts w:ascii="仿宋" w:hAnsi="仿宋" w:eastAsia="仿宋" w:cs="宋体"/>
          <w:color w:val="062D3C"/>
          <w:sz w:val="32"/>
          <w:szCs w:val="32"/>
        </w:rPr>
        <w:t>2018 年度一般公共预算财政拨款基本支出805.33万元，其中：人员经费434.33万元，主要包括基本工资、津贴补贴、其他社会保障缴费、绩效工资、机关事 业单位基本养老金保险缴费、其他工资福利支出、生活补助、奖励金、住房公积金、其他对个人和家庭的补助支出；公用经费371万元，主要包括：办公费、印刷 费、水费、电费、邮电费、物业管理费、差旅费、维修（护）费、租赁费、会议费、培训费、公务接待费、专用材料费、劳务费、工会经费、公务用车运行维护费、 其他商品和服务支出、信息网络及软件购置更新、其他资本性支出。</w:t>
      </w:r>
    </w:p>
    <w:p w14:paraId="1DEDB1A5">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七、关于益阳市政务中心2018年度政府性基金预算财政拨款支出决算情况说明</w:t>
      </w:r>
    </w:p>
    <w:p w14:paraId="0082AD85">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益阳市政务中心</w:t>
      </w:r>
      <w:r>
        <w:rPr>
          <w:rFonts w:hint="eastAsia" w:ascii="仿宋" w:hAnsi="仿宋" w:eastAsia="仿宋" w:cs="宋体"/>
          <w:color w:val="062D3C"/>
          <w:sz w:val="32"/>
          <w:szCs w:val="32"/>
        </w:rPr>
        <w:t>2018年度</w:t>
      </w:r>
      <w:r>
        <w:rPr>
          <w:rFonts w:ascii="仿宋" w:hAnsi="仿宋" w:eastAsia="仿宋" w:cs="宋体"/>
          <w:color w:val="062D3C"/>
          <w:sz w:val="32"/>
          <w:szCs w:val="32"/>
        </w:rPr>
        <w:t>没有政府性基金收入，也没有政府性基金安排的支出。</w:t>
      </w:r>
    </w:p>
    <w:p w14:paraId="166306D6">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八、关于益阳市政务中心2018年度一般公共预算财政拨款“三公”经费支出决算情况说明</w:t>
      </w:r>
    </w:p>
    <w:p w14:paraId="296FFCCE">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（一）“三公”经费财政拨款支出决算总体情况说明。</w:t>
      </w:r>
    </w:p>
    <w:p w14:paraId="5579776D">
      <w:pPr>
        <w:shd w:val="clear" w:color="auto" w:fill="FFFFFF"/>
        <w:adjustRightInd/>
        <w:snapToGrid/>
        <w:spacing w:after="0" w:line="560" w:lineRule="exact"/>
        <w:ind w:firstLine="800" w:firstLineChars="250"/>
        <w:contextualSpacing/>
        <w:jc w:val="both"/>
        <w:rPr>
          <w:rFonts w:ascii="仿宋" w:hAnsi="仿宋" w:eastAsia="仿宋" w:cs="宋体"/>
          <w:color w:val="062D3C"/>
          <w:sz w:val="32"/>
          <w:szCs w:val="32"/>
        </w:rPr>
      </w:pPr>
      <w:r>
        <w:rPr>
          <w:rFonts w:ascii="仿宋" w:hAnsi="仿宋" w:eastAsia="仿宋" w:cs="宋体"/>
          <w:color w:val="062D3C"/>
          <w:sz w:val="32"/>
          <w:szCs w:val="32"/>
        </w:rPr>
        <w:t>2018 年度“三公”经费财政拨款支出预算为10.86万元，支出决算为2.4万元，完成预算的22.1%，其中：</w:t>
      </w:r>
      <w:r>
        <w:rPr>
          <w:rFonts w:hint="eastAsia" w:ascii="仿宋" w:hAnsi="仿宋" w:eastAsia="仿宋" w:cs="宋体"/>
          <w:color w:val="062D3C"/>
          <w:sz w:val="32"/>
          <w:szCs w:val="32"/>
        </w:rPr>
        <w:t>因公出国（境）费支出决算0万元；</w:t>
      </w:r>
      <w:r>
        <w:rPr>
          <w:rFonts w:ascii="仿宋" w:hAnsi="仿宋" w:eastAsia="仿宋" w:cs="宋体"/>
          <w:color w:val="062D3C"/>
          <w:sz w:val="32"/>
          <w:szCs w:val="32"/>
        </w:rPr>
        <w:t>公务用车购置及运行费支出决算为1.63万元</w:t>
      </w:r>
      <w:r>
        <w:rPr>
          <w:rFonts w:hint="eastAsia" w:ascii="仿宋" w:hAnsi="仿宋" w:eastAsia="仿宋" w:cs="宋体"/>
          <w:color w:val="062D3C"/>
          <w:sz w:val="32"/>
          <w:szCs w:val="32"/>
        </w:rPr>
        <w:t>(公务用车购置费0万元，公务用车运行费1.63万元）</w:t>
      </w:r>
      <w:r>
        <w:rPr>
          <w:rFonts w:ascii="仿宋" w:hAnsi="仿宋" w:eastAsia="仿宋" w:cs="宋体"/>
          <w:color w:val="062D3C"/>
          <w:sz w:val="32"/>
          <w:szCs w:val="32"/>
        </w:rPr>
        <w:t>， 完成预算的23.28%；公务接待费支出决算为0.77万元，完成预算的19.95%。2018年度“三公”经费支出决算数小于预算数的主要原因：认真贯彻落实中央</w:t>
      </w:r>
      <w:bookmarkStart w:id="0" w:name="_GoBack"/>
      <w:bookmarkEnd w:id="0"/>
      <w:r>
        <w:rPr>
          <w:rFonts w:ascii="仿宋" w:hAnsi="仿宋" w:eastAsia="仿宋" w:cs="宋体"/>
          <w:color w:val="062D3C"/>
          <w:sz w:val="32"/>
          <w:szCs w:val="32"/>
        </w:rPr>
        <w:t>八项规定和省委市委的规定办法精神和厉行节约要求，进一步从严控制“三公”经费开支，全年实际支出</w:t>
      </w:r>
      <w:r>
        <w:rPr>
          <w:rFonts w:hint="eastAsia" w:ascii="仿宋" w:hAnsi="仿宋" w:eastAsia="仿宋" w:cs="宋体"/>
          <w:color w:val="062D3C"/>
          <w:sz w:val="32"/>
          <w:szCs w:val="32"/>
        </w:rPr>
        <w:t>较</w:t>
      </w:r>
      <w:r>
        <w:rPr>
          <w:rFonts w:ascii="仿宋" w:hAnsi="仿宋" w:eastAsia="仿宋" w:cs="宋体"/>
          <w:color w:val="062D3C"/>
          <w:sz w:val="32"/>
          <w:szCs w:val="32"/>
        </w:rPr>
        <w:t>预算</w:t>
      </w:r>
      <w:r>
        <w:rPr>
          <w:rFonts w:hint="eastAsia" w:ascii="仿宋" w:hAnsi="仿宋" w:eastAsia="仿宋" w:cs="宋体"/>
          <w:color w:val="062D3C"/>
          <w:sz w:val="32"/>
          <w:szCs w:val="32"/>
        </w:rPr>
        <w:t>大幅减少</w:t>
      </w:r>
      <w:r>
        <w:rPr>
          <w:rFonts w:ascii="仿宋" w:hAnsi="仿宋" w:eastAsia="仿宋" w:cs="宋体"/>
          <w:color w:val="062D3C"/>
          <w:sz w:val="32"/>
          <w:szCs w:val="32"/>
        </w:rPr>
        <w:t>。</w:t>
      </w:r>
    </w:p>
    <w:p w14:paraId="2BFA5121">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（二）“三公”经费财政拨款支出决算具体情况说明。</w:t>
      </w:r>
    </w:p>
    <w:p w14:paraId="23A59E35">
      <w:pPr>
        <w:shd w:val="clear" w:color="auto" w:fill="FFFFFF"/>
        <w:adjustRightInd/>
        <w:snapToGrid/>
        <w:spacing w:after="0" w:line="560" w:lineRule="exact"/>
        <w:ind w:firstLine="640" w:firstLineChars="200"/>
        <w:contextualSpacing/>
        <w:jc w:val="both"/>
        <w:rPr>
          <w:rFonts w:ascii="仿宋" w:hAnsi="仿宋" w:eastAsia="仿宋" w:cs="宋体"/>
          <w:color w:val="062D3C"/>
          <w:sz w:val="32"/>
          <w:szCs w:val="32"/>
        </w:rPr>
      </w:pPr>
      <w:r>
        <w:rPr>
          <w:rFonts w:ascii="仿宋" w:hAnsi="仿宋" w:eastAsia="仿宋" w:cs="宋体"/>
          <w:color w:val="062D3C"/>
          <w:sz w:val="32"/>
          <w:szCs w:val="32"/>
        </w:rPr>
        <w:t>2018 年度“三公”经费财政拨款支出决算为2.4万元，其中：因公出国（境）费支出决算为 0万元；公务用车购置及运行费支出决算为1.63万元</w:t>
      </w:r>
      <w:r>
        <w:rPr>
          <w:rFonts w:hint="eastAsia" w:ascii="仿宋" w:hAnsi="仿宋" w:eastAsia="仿宋" w:cs="宋体"/>
          <w:color w:val="062D3C"/>
          <w:sz w:val="32"/>
          <w:szCs w:val="32"/>
        </w:rPr>
        <w:t>(公务用车购置费0万元，公务用车运行费1.63万元）</w:t>
      </w:r>
      <w:r>
        <w:rPr>
          <w:rFonts w:ascii="仿宋" w:hAnsi="仿宋" w:eastAsia="仿宋" w:cs="宋体"/>
          <w:color w:val="062D3C"/>
          <w:sz w:val="32"/>
          <w:szCs w:val="32"/>
        </w:rPr>
        <w:t>，占67.92%；公务接待费支出决算为0.77万元，占32.08%。2018年度“三公”经费支 出决算数小于上年决算数的主要原因：公务用车购置及运行费支出减少的主要原因是贯彻落实中央和国家机关公务用车制度改革精神，公务用车数量减少；公务接待 费支出决算减少的主要原因是积极贯彻落实中央、省委、市委关于厉行节约的要求，从严控制公务接待行为。</w:t>
      </w:r>
    </w:p>
    <w:p w14:paraId="0318DE6E">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1、因公出国（境）情况说明</w:t>
      </w:r>
    </w:p>
    <w:p w14:paraId="0AB3E16A">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2018年市政务中心无因公出国（境）情况。</w:t>
      </w:r>
    </w:p>
    <w:p w14:paraId="5CD231C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2、公务用车购置及运行经费情况说明</w:t>
      </w:r>
    </w:p>
    <w:p w14:paraId="46B6C5BA">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公务用车购置支出</w:t>
      </w:r>
      <w:r>
        <w:rPr>
          <w:rFonts w:hint="eastAsia" w:ascii="仿宋" w:hAnsi="仿宋" w:eastAsia="仿宋" w:cs="宋体"/>
          <w:color w:val="062D3C"/>
          <w:sz w:val="32"/>
          <w:szCs w:val="32"/>
        </w:rPr>
        <w:t>0万元，购置数0台，保有量1台</w:t>
      </w:r>
      <w:r>
        <w:rPr>
          <w:rFonts w:ascii="仿宋" w:hAnsi="仿宋" w:eastAsia="仿宋" w:cs="宋体"/>
          <w:color w:val="062D3C"/>
          <w:sz w:val="32"/>
          <w:szCs w:val="32"/>
        </w:rPr>
        <w:t>。</w:t>
      </w:r>
    </w:p>
    <w:p w14:paraId="230C19D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运行经费支出:1.63万元，主要用于机要文件传送、开展区（县）政务公开检查、省政务公开工作联系、车辆燃料费、维修费、过桥过路费、保险费等。</w:t>
      </w:r>
    </w:p>
    <w:p w14:paraId="01791620">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3、公务接待情况说明</w:t>
      </w:r>
    </w:p>
    <w:p w14:paraId="481BECC7">
      <w:pPr>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公务接待支出0.77万元，国内公务接待5批次，接待30人。接待支出主要用于</w:t>
      </w:r>
      <w:r>
        <w:rPr>
          <w:rFonts w:hint="eastAsia" w:ascii="仿宋" w:hAnsi="仿宋" w:eastAsia="仿宋" w:cs="宋体"/>
          <w:color w:val="062D3C"/>
          <w:sz w:val="32"/>
          <w:szCs w:val="32"/>
        </w:rPr>
        <w:t>友邻</w:t>
      </w:r>
      <w:r>
        <w:rPr>
          <w:rFonts w:ascii="仿宋" w:hAnsi="仿宋" w:eastAsia="仿宋" w:cs="宋体"/>
          <w:color w:val="062D3C"/>
          <w:sz w:val="32"/>
          <w:szCs w:val="32"/>
        </w:rPr>
        <w:t>市州</w:t>
      </w:r>
      <w:r>
        <w:rPr>
          <w:rFonts w:hint="eastAsia" w:ascii="仿宋" w:hAnsi="仿宋" w:eastAsia="仿宋" w:cs="宋体"/>
          <w:color w:val="062D3C"/>
          <w:sz w:val="32"/>
          <w:szCs w:val="32"/>
        </w:rPr>
        <w:t>来益调研及</w:t>
      </w:r>
      <w:r>
        <w:rPr>
          <w:rFonts w:ascii="仿宋" w:hAnsi="仿宋" w:eastAsia="仿宋" w:cs="宋体"/>
          <w:color w:val="062D3C"/>
          <w:sz w:val="32"/>
          <w:szCs w:val="32"/>
        </w:rPr>
        <w:t>学习交流。</w:t>
      </w:r>
    </w:p>
    <w:p w14:paraId="26A11DA8">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九、关于 2018 年度预算绩效情况说明</w:t>
      </w:r>
    </w:p>
    <w:p w14:paraId="2806D20D">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（一）绩效管理工作开展情况 。</w:t>
      </w:r>
    </w:p>
    <w:p w14:paraId="46357B35">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预算绩效管理是深化部门预算改革的必然要求，是加强财政支出管理、提高财政资金使用效益的有效途径。为推进预算绩效管理工作的开展，2018年来</w:t>
      </w:r>
      <w:r>
        <w:rPr>
          <w:rFonts w:hint="eastAsia" w:ascii="仿宋" w:hAnsi="仿宋" w:eastAsia="仿宋" w:cs="宋体"/>
          <w:color w:val="062D3C"/>
          <w:sz w:val="32"/>
          <w:szCs w:val="32"/>
        </w:rPr>
        <w:t>本</w:t>
      </w:r>
      <w:r>
        <w:rPr>
          <w:rFonts w:ascii="仿宋" w:hAnsi="仿宋" w:eastAsia="仿宋" w:cs="宋体"/>
          <w:color w:val="062D3C"/>
          <w:sz w:val="32"/>
          <w:szCs w:val="32"/>
        </w:rPr>
        <w:t>中心建立健全了工作机制。为顺利推进预算绩效管理工作实施，分管领导及相关科室参与。在具体工作中，综合科负责预算支出绩效考评相关政策的制定，牵头组织项目绩效考评工作，下达项目绩效考评通知，跟踪了解项目绩效考评工作实施情况，做好项目绩效考评经验总结及交流宣传工作，探索绩效考评结果公示及应用机制。</w:t>
      </w:r>
    </w:p>
    <w:p w14:paraId="672A4ED3">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（二）部门决算中项目绩效自评结果 。</w:t>
      </w:r>
    </w:p>
    <w:p w14:paraId="4D0752D5">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1、 严格按照财政财务管理有关规定开展日常工作开支，不在开支范围的决不能搞特殊，在规定支出范围的尽量减少开支，厉行节约，确保全年预算支出不能突破指标， 不给财政增加负担。对三公经费公开、因公临时出国出境、公务接待和因公出差费用标准和报账管理等进行严格把关，切实抓实内控工作。2018年的部门预算编 制中，除法定支出和政策性支出按有关规定安排外，一般性支出安排实行“零增长”。公费出境和公费旅游经费支出为零。</w:t>
      </w:r>
    </w:p>
    <w:p w14:paraId="0AD849C1">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在《益阳市财政局关于2018年市本级部门预算的批复》下达后，政务中心在20个工作日内将部门预算支出情况、“三公”经费预算在政务中心网站进行了公开，同时就本单位公开情况进行了说明，提高了预算透明度，切实保障群众的知情权、参与权和监督权。</w:t>
      </w:r>
    </w:p>
    <w:p w14:paraId="5B264AA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3、按照市财政局统一要求，于规定时间在财政局网站上统一进行了2017年度部门决算公开、“三公”经费公开，同时就本单位公开情况进行了说明。并且在政务中心网站对《2017年度部门整体支出绩效评价报告》进行了公开。</w:t>
      </w:r>
    </w:p>
    <w:p w14:paraId="62A7198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（三）以部门为主体开展的重点绩效评价结果</w:t>
      </w:r>
    </w:p>
    <w:p w14:paraId="28B742AA">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严格落实《预算法》及省、市绩效管理工作的有关规定，进一步规范财政资金的管理，牢固树立预算绩效理念，强化部门支出责任，提高财政资金使用效益，促进全市政务公开、政务服务工作的发展。</w:t>
      </w:r>
    </w:p>
    <w:p w14:paraId="254B459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1、经济性评价。本年预算安排控制较好，财政供养人员、编制内在职人员控制在预算编制以内；预算执行方面，支出总额控制在预算总额以内；本年无转移资金支付，不存在截留或滞留专项资金情况。</w:t>
      </w:r>
    </w:p>
    <w:p w14:paraId="56F368D2">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2、效率性评价。强化部门整体支出，加强国有资产管理，提高资金使用效益，提升财务管理，建立节约型机关，我中心在强化业务管理、财务管理和厉行节约方面开展了大量工作，效率提升显著：</w:t>
      </w:r>
    </w:p>
    <w:p w14:paraId="4907B5B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hint="eastAsia" w:ascii="仿宋" w:hAnsi="仿宋" w:eastAsia="仿宋" w:cs="宋体"/>
          <w:color w:val="062D3C"/>
          <w:sz w:val="32"/>
          <w:szCs w:val="32"/>
        </w:rPr>
        <w:t>①</w:t>
      </w:r>
      <w:r>
        <w:rPr>
          <w:rFonts w:ascii="仿宋" w:hAnsi="仿宋" w:eastAsia="仿宋" w:cs="宋体"/>
          <w:color w:val="062D3C"/>
          <w:sz w:val="32"/>
          <w:szCs w:val="32"/>
        </w:rPr>
        <w:t>在原有相对健全的财务管理制度基础上，适时地、针对性的进行了相关制度的增补，制度的建立更为完善；</w:t>
      </w:r>
    </w:p>
    <w:p w14:paraId="59B9C0F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hint="eastAsia" w:ascii="仿宋" w:hAnsi="仿宋" w:eastAsia="仿宋" w:cs="宋体"/>
          <w:color w:val="062D3C"/>
          <w:sz w:val="32"/>
          <w:szCs w:val="32"/>
        </w:rPr>
        <w:t>②</w:t>
      </w:r>
      <w:r>
        <w:rPr>
          <w:rFonts w:ascii="仿宋" w:hAnsi="仿宋" w:eastAsia="仿宋" w:cs="宋体"/>
          <w:color w:val="062D3C"/>
          <w:sz w:val="32"/>
          <w:szCs w:val="32"/>
        </w:rPr>
        <w:t>重视制度的学习和宣讲工作，组织机关人员学习中央、湖南省人民政府下发的《党政机关厉行节约反对浪费条例》、《关于厉行节约反对浪费的实施意见》等一系列 文件精神，并结合“两学一做”学习教育的开展，将厉行节约反对浪费教育作为机关作风建设的重要内容，极大强化了机关厉行节约管理意识；</w:t>
      </w:r>
    </w:p>
    <w:p w14:paraId="7FFF052C">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3、严格执行了国库集中支付、公务卡结算制度、政府采购等有关规定，政府采购目录内的货物与服务全部按要求实施了政府采购，确保了支出管理流程、审批手续的完整。</w:t>
      </w:r>
    </w:p>
    <w:p w14:paraId="74F8B3FC">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（四）预算绩效情况的说明。</w:t>
      </w:r>
    </w:p>
    <w:p w14:paraId="142FB92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为进一步规范财政资金管理，强化绩效和责任意识，切实提高财政资金使用效益，根据根据湖南省人民政府《关于全面推进预算绩效管理的意见》（湘政发 [2012]33号）和《湖南省预算绩效管理工作规程（试行）》湘财绩[2013]28号）的要求，我中心认真组织对2018年度部门整体支出开展绩效自评，按财政要求及时报送了《益阳市政务中心2018年度部门整体支出绩效评价报告》。</w:t>
      </w:r>
    </w:p>
    <w:p w14:paraId="2F761A8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2018年，我中心严格落实市委、市政府关于党政机关厉行节约的有关要求，既有效保障机关运转，又坚决制止铺张浪费，切实规范公务消费行为，努力降低行政成本，压减一般性支出，保障重点支出，不断优化支出结构，圆满完成了全年任务。</w:t>
      </w:r>
    </w:p>
    <w:p w14:paraId="7BBE71D4">
      <w:pPr>
        <w:shd w:val="clear" w:color="auto" w:fill="FFFFFF"/>
        <w:adjustRightInd/>
        <w:snapToGrid/>
        <w:spacing w:after="0" w:line="560" w:lineRule="exact"/>
        <w:ind w:firstLine="480"/>
        <w:contextualSpacing/>
        <w:jc w:val="both"/>
        <w:rPr>
          <w:rFonts w:ascii="仿宋" w:hAnsi="仿宋" w:eastAsia="仿宋" w:cs="宋体"/>
          <w:b/>
          <w:color w:val="062D3C"/>
          <w:sz w:val="32"/>
          <w:szCs w:val="32"/>
        </w:rPr>
      </w:pPr>
      <w:r>
        <w:rPr>
          <w:rFonts w:ascii="仿宋" w:hAnsi="仿宋" w:eastAsia="仿宋" w:cs="宋体"/>
          <w:b/>
          <w:color w:val="062D3C"/>
          <w:sz w:val="32"/>
          <w:szCs w:val="32"/>
        </w:rPr>
        <w:t>十、其他重要事项的情况说明</w:t>
      </w:r>
    </w:p>
    <w:p w14:paraId="3BFB971D">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（一）预决算收支增减变化情况。</w:t>
      </w:r>
    </w:p>
    <w:p w14:paraId="30306AB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2018年部门预算编报范围为益阳市政务中心。收入来源主要为公共财政预算拨款。支出既包括保障部门单位行政运行的经费，也包括政务公开、大厅学习培训、启用省市网上政务服务和电子监察系统优化改造升级项目建设、窗口工作人员绩效考核奖励、综合受理窗口工作等专项经费。</w:t>
      </w:r>
    </w:p>
    <w:p w14:paraId="07F5E7D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1.收入预决算，2018年年初收入预算数839.03万元，其中，一般公共预算拨款839.03万元；2018年收入决算数1,009.84万元，其中，财政拨款收入1,009.84万元，年初结转和结余18.84万元。</w:t>
      </w:r>
      <w:r>
        <w:rPr>
          <w:rFonts w:hint="eastAsia" w:ascii="仿宋" w:hAnsi="仿宋" w:eastAsia="仿宋" w:cs="宋体"/>
          <w:color w:val="062D3C"/>
          <w:sz w:val="32"/>
          <w:szCs w:val="32"/>
        </w:rPr>
        <w:t>决算数较预算数增加170.81万元，主要原因是年中追加了部分市级重点项目预算资金。</w:t>
      </w:r>
    </w:p>
    <w:p w14:paraId="50694441">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2.支出预决算，2018年年初支出预算数839.03万元；2018年支出决算数879.98万元，其中年末结转和结余154.35万元。</w:t>
      </w:r>
      <w:r>
        <w:rPr>
          <w:rFonts w:hint="eastAsia" w:ascii="仿宋" w:hAnsi="仿宋" w:eastAsia="仿宋" w:cs="宋体"/>
          <w:color w:val="062D3C"/>
          <w:sz w:val="32"/>
          <w:szCs w:val="32"/>
        </w:rPr>
        <w:t>支出决算数超预算数40.95万元，主要是</w:t>
      </w:r>
      <w:r>
        <w:rPr>
          <w:rFonts w:ascii="仿宋" w:hAnsi="仿宋" w:eastAsia="仿宋" w:cs="宋体"/>
          <w:color w:val="062D3C"/>
          <w:sz w:val="32"/>
          <w:szCs w:val="32"/>
        </w:rPr>
        <w:t>综合受理窗口服务</w:t>
      </w:r>
      <w:r>
        <w:rPr>
          <w:rFonts w:hint="eastAsia" w:ascii="仿宋" w:hAnsi="仿宋" w:eastAsia="仿宋" w:cs="宋体"/>
          <w:color w:val="062D3C"/>
          <w:sz w:val="32"/>
          <w:szCs w:val="32"/>
        </w:rPr>
        <w:t>及</w:t>
      </w:r>
      <w:r>
        <w:rPr>
          <w:rFonts w:ascii="仿宋" w:hAnsi="仿宋" w:eastAsia="仿宋" w:cs="宋体"/>
          <w:color w:val="062D3C"/>
          <w:sz w:val="32"/>
          <w:szCs w:val="32"/>
        </w:rPr>
        <w:t>自助服务区建设</w:t>
      </w:r>
      <w:r>
        <w:rPr>
          <w:rFonts w:hint="eastAsia" w:ascii="仿宋" w:hAnsi="仿宋" w:eastAsia="仿宋" w:cs="宋体"/>
          <w:color w:val="062D3C"/>
          <w:sz w:val="32"/>
          <w:szCs w:val="32"/>
        </w:rPr>
        <w:t>支出增加。</w:t>
      </w:r>
    </w:p>
    <w:p w14:paraId="2B5CDDED">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（二）机关运行经费支出情况。</w:t>
      </w:r>
    </w:p>
    <w:p w14:paraId="0DAC5D42">
      <w:pPr>
        <w:shd w:val="clear" w:color="auto" w:fill="FFFFFF"/>
        <w:adjustRightInd/>
        <w:snapToGrid/>
        <w:spacing w:after="0" w:line="560" w:lineRule="exact"/>
        <w:ind w:firstLine="640" w:firstLineChars="200"/>
        <w:contextualSpacing/>
        <w:jc w:val="both"/>
        <w:rPr>
          <w:rFonts w:ascii="仿宋" w:hAnsi="仿宋" w:eastAsia="仿宋" w:cs="宋体"/>
          <w:color w:val="062D3C"/>
          <w:sz w:val="32"/>
          <w:szCs w:val="32"/>
        </w:rPr>
      </w:pPr>
      <w:r>
        <w:rPr>
          <w:rFonts w:ascii="仿宋" w:hAnsi="仿宋" w:eastAsia="仿宋" w:cs="宋体"/>
          <w:color w:val="062D3C"/>
          <w:sz w:val="32"/>
          <w:szCs w:val="32"/>
        </w:rPr>
        <w:t>本部门2018年度机关运行经费支出370.99万元，较上年增加177.68万元，增加47.89%，主要原因是：“互联网+政务服务”一体化平台建设的专用设备购置、大厅窗口重新调整布局、增设综合受理服务窗口、自助服务区的设置等支出增加。</w:t>
      </w:r>
    </w:p>
    <w:p w14:paraId="56AA103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（三）政府采购支出情况。</w:t>
      </w:r>
    </w:p>
    <w:p w14:paraId="3D454F30">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本部门2018年度政府采购302.03万元，其中，政府采购货物支出0万元，</w:t>
      </w:r>
      <w:r>
        <w:rPr>
          <w:rFonts w:hint="eastAsia" w:ascii="仿宋" w:hAnsi="仿宋" w:eastAsia="仿宋" w:cs="宋体"/>
          <w:color w:val="062D3C"/>
          <w:sz w:val="32"/>
          <w:szCs w:val="32"/>
        </w:rPr>
        <w:t>占政府采购支出总额的0%；</w:t>
      </w:r>
      <w:r>
        <w:rPr>
          <w:rFonts w:ascii="仿宋" w:hAnsi="仿宋" w:eastAsia="仿宋" w:cs="宋体"/>
          <w:color w:val="062D3C"/>
          <w:sz w:val="32"/>
          <w:szCs w:val="32"/>
        </w:rPr>
        <w:t>政府采购工程支出0万元，</w:t>
      </w:r>
      <w:r>
        <w:rPr>
          <w:rFonts w:hint="eastAsia" w:ascii="仿宋" w:hAnsi="仿宋" w:eastAsia="仿宋" w:cs="宋体"/>
          <w:color w:val="062D3C"/>
          <w:sz w:val="32"/>
          <w:szCs w:val="32"/>
        </w:rPr>
        <w:t>占政府采购支出总额的0%；</w:t>
      </w:r>
      <w:r>
        <w:rPr>
          <w:rFonts w:ascii="仿宋" w:hAnsi="仿宋" w:eastAsia="仿宋" w:cs="宋体"/>
          <w:color w:val="062D3C"/>
          <w:sz w:val="32"/>
          <w:szCs w:val="32"/>
        </w:rPr>
        <w:t>政府采购服务支出302.02万元</w:t>
      </w:r>
      <w:r>
        <w:rPr>
          <w:rFonts w:hint="eastAsia" w:ascii="仿宋" w:hAnsi="仿宋" w:eastAsia="仿宋" w:cs="宋体"/>
          <w:color w:val="062D3C"/>
          <w:sz w:val="32"/>
          <w:szCs w:val="32"/>
        </w:rPr>
        <w:t>，占政府采购支出总额的100%。</w:t>
      </w:r>
    </w:p>
    <w:p w14:paraId="54CA954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（四）国有资产占用情况。</w:t>
      </w:r>
    </w:p>
    <w:p w14:paraId="0B148C34">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截至2018年12月31日，本部门共有车辆1辆，</w:t>
      </w:r>
      <w:r>
        <w:rPr>
          <w:rFonts w:hint="eastAsia" w:ascii="仿宋" w:hAnsi="仿宋" w:eastAsia="仿宋" w:cs="宋体"/>
          <w:color w:val="062D3C"/>
          <w:sz w:val="32"/>
          <w:szCs w:val="32"/>
        </w:rPr>
        <w:t>其中，领导干部用车0辆、</w:t>
      </w:r>
      <w:r>
        <w:rPr>
          <w:rFonts w:ascii="仿宋" w:hAnsi="仿宋" w:eastAsia="仿宋" w:cs="宋体"/>
          <w:color w:val="062D3C"/>
          <w:sz w:val="32"/>
          <w:szCs w:val="32"/>
        </w:rPr>
        <w:t>一般公务用车1辆</w:t>
      </w:r>
      <w:r>
        <w:rPr>
          <w:rFonts w:hint="eastAsia" w:ascii="仿宋" w:hAnsi="仿宋" w:eastAsia="仿宋" w:cs="宋体"/>
          <w:color w:val="062D3C"/>
          <w:sz w:val="32"/>
          <w:szCs w:val="32"/>
        </w:rPr>
        <w:t>、一般执法执勤用车0辆、特种专业技术用车0辆、其他用车0辆</w:t>
      </w:r>
      <w:r>
        <w:rPr>
          <w:rFonts w:ascii="仿宋" w:hAnsi="仿宋" w:eastAsia="仿宋" w:cs="宋体"/>
          <w:color w:val="062D3C"/>
          <w:sz w:val="32"/>
          <w:szCs w:val="32"/>
        </w:rPr>
        <w:t>；单位价值50万元以上的软件加密卡一个、硬件防火墙一个。</w:t>
      </w:r>
    </w:p>
    <w:p w14:paraId="2DC0AE60">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430CAD7A">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3A238F50">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4D4011C6">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189BE04B">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42732F19">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1BDC52A6">
      <w:pPr>
        <w:shd w:val="clear" w:color="auto" w:fill="FFFFFF"/>
        <w:adjustRightInd/>
        <w:snapToGrid/>
        <w:spacing w:after="0" w:line="560" w:lineRule="exact"/>
        <w:ind w:firstLine="480"/>
        <w:contextualSpacing/>
        <w:jc w:val="center"/>
        <w:rPr>
          <w:rFonts w:hint="eastAsia" w:ascii="仿宋" w:hAnsi="仿宋" w:eastAsia="仿宋" w:cs="宋体"/>
          <w:color w:val="062D3C"/>
          <w:sz w:val="32"/>
          <w:szCs w:val="32"/>
        </w:rPr>
      </w:pPr>
    </w:p>
    <w:p w14:paraId="1F6B9E0B">
      <w:pPr>
        <w:shd w:val="clear" w:color="auto" w:fill="FFFFFF"/>
        <w:adjustRightInd/>
        <w:snapToGrid/>
        <w:spacing w:after="0" w:line="560" w:lineRule="exact"/>
        <w:ind w:firstLine="480"/>
        <w:contextualSpacing/>
        <w:jc w:val="center"/>
        <w:rPr>
          <w:rFonts w:hint="eastAsia" w:ascii="仿宋" w:hAnsi="仿宋" w:eastAsia="仿宋" w:cs="宋体"/>
          <w:color w:val="062D3C"/>
          <w:sz w:val="32"/>
          <w:szCs w:val="32"/>
        </w:rPr>
      </w:pPr>
    </w:p>
    <w:p w14:paraId="20C554ED">
      <w:pPr>
        <w:shd w:val="clear" w:color="auto" w:fill="FFFFFF"/>
        <w:adjustRightInd/>
        <w:snapToGrid/>
        <w:spacing w:after="0" w:line="560" w:lineRule="exact"/>
        <w:ind w:firstLine="480"/>
        <w:contextualSpacing/>
        <w:jc w:val="center"/>
        <w:rPr>
          <w:rFonts w:hint="eastAsia" w:ascii="仿宋" w:hAnsi="仿宋" w:eastAsia="仿宋" w:cs="宋体"/>
          <w:color w:val="062D3C"/>
          <w:sz w:val="32"/>
          <w:szCs w:val="32"/>
        </w:rPr>
      </w:pPr>
    </w:p>
    <w:p w14:paraId="213CD73A">
      <w:pPr>
        <w:shd w:val="clear" w:color="auto" w:fill="FFFFFF"/>
        <w:adjustRightInd/>
        <w:snapToGrid/>
        <w:spacing w:after="0" w:line="560" w:lineRule="exact"/>
        <w:ind w:firstLine="480"/>
        <w:contextualSpacing/>
        <w:jc w:val="center"/>
        <w:rPr>
          <w:rFonts w:hint="eastAsia" w:ascii="仿宋" w:hAnsi="仿宋" w:eastAsia="仿宋" w:cs="宋体"/>
          <w:color w:val="062D3C"/>
          <w:sz w:val="32"/>
          <w:szCs w:val="32"/>
        </w:rPr>
      </w:pPr>
    </w:p>
    <w:p w14:paraId="10F8312F">
      <w:pPr>
        <w:shd w:val="clear" w:color="auto" w:fill="FFFFFF"/>
        <w:adjustRightInd/>
        <w:snapToGrid/>
        <w:spacing w:after="0" w:line="560" w:lineRule="exact"/>
        <w:ind w:firstLine="480"/>
        <w:contextualSpacing/>
        <w:jc w:val="center"/>
        <w:rPr>
          <w:rFonts w:hint="eastAsia" w:ascii="仿宋" w:hAnsi="仿宋" w:eastAsia="仿宋" w:cs="宋体"/>
          <w:color w:val="062D3C"/>
          <w:sz w:val="32"/>
          <w:szCs w:val="32"/>
        </w:rPr>
      </w:pPr>
    </w:p>
    <w:p w14:paraId="0DC3D18C">
      <w:pPr>
        <w:shd w:val="clear" w:color="auto" w:fill="FFFFFF"/>
        <w:adjustRightInd/>
        <w:snapToGrid/>
        <w:spacing w:after="0" w:line="560" w:lineRule="exact"/>
        <w:ind w:firstLine="480"/>
        <w:contextualSpacing/>
        <w:jc w:val="center"/>
        <w:rPr>
          <w:rFonts w:hint="eastAsia" w:ascii="仿宋" w:hAnsi="仿宋" w:eastAsia="仿宋" w:cs="宋体"/>
          <w:color w:val="062D3C"/>
          <w:sz w:val="32"/>
          <w:szCs w:val="32"/>
        </w:rPr>
      </w:pPr>
    </w:p>
    <w:p w14:paraId="7A7D82B6">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13742177">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5F10A442">
      <w:pPr>
        <w:shd w:val="clear" w:color="auto" w:fill="FFFFFF"/>
        <w:adjustRightInd/>
        <w:snapToGrid/>
        <w:spacing w:after="0" w:line="560" w:lineRule="exact"/>
        <w:ind w:firstLine="480"/>
        <w:contextualSpacing/>
        <w:jc w:val="center"/>
        <w:rPr>
          <w:rFonts w:ascii="黑体" w:hAnsi="黑体" w:eastAsia="黑体" w:cs="宋体"/>
          <w:color w:val="062D3C"/>
          <w:sz w:val="32"/>
          <w:szCs w:val="32"/>
        </w:rPr>
      </w:pPr>
      <w:r>
        <w:rPr>
          <w:rFonts w:ascii="黑体" w:hAnsi="黑体" w:eastAsia="黑体" w:cs="宋体"/>
          <w:color w:val="062D3C"/>
          <w:sz w:val="32"/>
          <w:szCs w:val="32"/>
        </w:rPr>
        <w:t>第四部分</w:t>
      </w:r>
      <w:r>
        <w:rPr>
          <w:rFonts w:hint="eastAsia" w:ascii="黑体" w:hAnsi="黑体" w:eastAsia="黑体" w:cs="宋体"/>
          <w:color w:val="062D3C"/>
          <w:sz w:val="32"/>
          <w:szCs w:val="32"/>
        </w:rPr>
        <w:t xml:space="preserve">  </w:t>
      </w:r>
      <w:r>
        <w:rPr>
          <w:rFonts w:ascii="黑体" w:hAnsi="黑体" w:eastAsia="黑体" w:cs="宋体"/>
          <w:color w:val="062D3C"/>
          <w:sz w:val="32"/>
          <w:szCs w:val="32"/>
        </w:rPr>
        <w:t>名词解释</w:t>
      </w:r>
    </w:p>
    <w:p w14:paraId="04EB6EF8">
      <w:pPr>
        <w:shd w:val="clear" w:color="auto" w:fill="FFFFFF"/>
        <w:adjustRightInd/>
        <w:snapToGrid/>
        <w:spacing w:after="0" w:line="560" w:lineRule="exact"/>
        <w:ind w:firstLine="480"/>
        <w:contextualSpacing/>
        <w:jc w:val="center"/>
        <w:rPr>
          <w:rFonts w:ascii="黑体" w:hAnsi="黑体" w:eastAsia="黑体" w:cs="宋体"/>
          <w:color w:val="062D3C"/>
          <w:sz w:val="32"/>
          <w:szCs w:val="32"/>
        </w:rPr>
      </w:pPr>
    </w:p>
    <w:p w14:paraId="5A48499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一、财政拨款收入：指中央财政当年拨付的资金。</w:t>
      </w:r>
    </w:p>
    <w:p w14:paraId="2D3A3033">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二、事业收入：指事业单位开展专业业务活动及辅助活动所取得的收入。</w:t>
      </w:r>
    </w:p>
    <w:p w14:paraId="508C6DE1">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三、经营收入：指事业单位在专业业务活动及其辅助活动之外开展非独立核算经营活动取得的收入。</w:t>
      </w:r>
    </w:p>
    <w:p w14:paraId="1E4C811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四、其他收入：指除上述“财政拨款收入”、“事业收入”、“经营收入”等以外的收入。主要是按规定动用的售房收入、存款利息收入等。</w:t>
      </w:r>
    </w:p>
    <w:p w14:paraId="519FF7CB">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C0A42A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六、年初结转和结余：指以前年度尚未完成、结转到本年按有关规定继续使用的资金。</w:t>
      </w:r>
    </w:p>
    <w:p w14:paraId="700F8006">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七、结余分配：指事业单位按规定提取的职工福利基金、事业基金和缴纳的所得税，以及建设单位按规定应交回的基本建设竣工项目结余资金。</w:t>
      </w:r>
    </w:p>
    <w:p w14:paraId="7282258C">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八、年末结转和结余：指本年度或以前年度预算安排、因客观条件发生变化无法按原计划实施，需要延迟到以后年度按有关规定继续使用的资金。</w:t>
      </w:r>
    </w:p>
    <w:p w14:paraId="6466ABDF">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九、基本支出：指为保障机构正常运转、完成日常工</w:t>
      </w:r>
    </w:p>
    <w:p w14:paraId="2CC809D8">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作任务而发生的人员支出和公用支出。</w:t>
      </w:r>
    </w:p>
    <w:p w14:paraId="20F0B4AA">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十、项目支出：指在基本支出之外为完成特定行政任务和事业发展目标所发生的支出。</w:t>
      </w:r>
    </w:p>
    <w:p w14:paraId="1FAD4767">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十一、经营支出：指事业单位在专业业务活动及其辅助活动之外开展非独立核算经营活动发生的支出。</w:t>
      </w:r>
    </w:p>
    <w:p w14:paraId="04CDA853">
      <w:pPr>
        <w:shd w:val="clear" w:color="auto" w:fill="FFFFFF"/>
        <w:adjustRightInd/>
        <w:snapToGrid/>
        <w:spacing w:after="0" w:line="560" w:lineRule="exact"/>
        <w:ind w:firstLine="480"/>
        <w:contextualSpacing/>
        <w:jc w:val="both"/>
        <w:rPr>
          <w:rFonts w:ascii="仿宋" w:hAnsi="仿宋" w:eastAsia="仿宋" w:cs="宋体"/>
          <w:color w:val="062D3C"/>
          <w:sz w:val="32"/>
          <w:szCs w:val="32"/>
        </w:rPr>
      </w:pPr>
      <w:r>
        <w:rPr>
          <w:rFonts w:ascii="仿宋" w:hAnsi="仿宋" w:eastAsia="仿宋" w:cs="宋体"/>
          <w:color w:val="062D3C"/>
          <w:sz w:val="32"/>
          <w:szCs w:val="32"/>
        </w:rPr>
        <w:t>十 二、“三公”经费：纳入中央财政预决算管理的“三公”经费，是指中央部门用财政拨款安排的因公出国（境）费、公务用车购置及运行费和公务接待费。其中，因 公出国（境）费反映单位公务出国（境）的国际旅费、国外城市间交通费、住宿费、伙食费、培训费、公杂费等支出；公务用车购置及运行费反映单位公务用车车辆 购置支出（含车辆购置税）及租用费、燃料费、维修费、过路过桥费、保险费、安全奖励费用等支出；公务接待费反映单位按规定开支的各类公务接待（含外宾接 待）支出。</w:t>
      </w:r>
    </w:p>
    <w:p w14:paraId="2BF2D73B">
      <w:pPr>
        <w:shd w:val="clear" w:color="auto" w:fill="FFFFFF"/>
        <w:adjustRightInd/>
        <w:snapToGrid/>
        <w:spacing w:after="0" w:line="560" w:lineRule="exact"/>
        <w:ind w:firstLine="640" w:firstLineChars="200"/>
        <w:contextualSpacing/>
        <w:rPr>
          <w:rFonts w:ascii="仿宋" w:hAnsi="仿宋" w:eastAsia="仿宋" w:cs="宋体"/>
          <w:color w:val="062D3C"/>
          <w:sz w:val="32"/>
          <w:szCs w:val="32"/>
        </w:rPr>
      </w:pPr>
      <w:r>
        <w:rPr>
          <w:rFonts w:ascii="仿宋" w:hAnsi="仿宋" w:eastAsia="仿宋" w:cs="宋体"/>
          <w:color w:val="062D3C"/>
          <w:sz w:val="32"/>
          <w:szCs w:val="32"/>
        </w:rPr>
        <w:t>十三、机关运行经费：为保障行政单位（含参照公务员法管理的事业单位）运行用于购买货物和服务的各项资金，包括办公及印刷费、邮电费、差旅费、会议费、福利 费、日常维修费、专用材料及一般设备购置费、办公用房水电费、办公用房取暖费、办公用房物业管理费、公务用车运行维护费以及其他费用。</w:t>
      </w:r>
    </w:p>
    <w:p w14:paraId="65C6E0E2">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574BD73F">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707BA45F">
      <w:pPr>
        <w:shd w:val="clear" w:color="auto" w:fill="FFFFFF"/>
        <w:adjustRightInd/>
        <w:snapToGrid/>
        <w:spacing w:after="0" w:line="560" w:lineRule="exact"/>
        <w:ind w:firstLine="480"/>
        <w:contextualSpacing/>
        <w:jc w:val="center"/>
        <w:rPr>
          <w:rFonts w:ascii="仿宋" w:hAnsi="仿宋" w:eastAsia="仿宋" w:cs="宋体"/>
          <w:color w:val="062D3C"/>
          <w:sz w:val="32"/>
          <w:szCs w:val="32"/>
        </w:rPr>
      </w:pPr>
    </w:p>
    <w:p w14:paraId="23032E2D">
      <w:pPr>
        <w:shd w:val="clear" w:color="auto" w:fill="FFFFFF"/>
        <w:adjustRightInd/>
        <w:snapToGrid/>
        <w:spacing w:after="0" w:line="560" w:lineRule="exact"/>
        <w:contextualSpacing/>
        <w:rPr>
          <w:rFonts w:ascii="黑体" w:hAnsi="黑体" w:eastAsia="黑体" w:cs="宋体"/>
          <w:color w:val="062D3C"/>
          <w:sz w:val="32"/>
          <w:szCs w:val="32"/>
        </w:rPr>
      </w:pPr>
      <w:r>
        <w:rPr>
          <w:rFonts w:hint="eastAsia" w:ascii="黑体" w:hAnsi="黑体" w:eastAsia="黑体" w:cs="宋体"/>
          <w:color w:val="062D3C"/>
          <w:sz w:val="32"/>
          <w:szCs w:val="32"/>
        </w:rPr>
        <w:t xml:space="preserve">                  第五部分  附件</w:t>
      </w:r>
    </w:p>
    <w:p w14:paraId="3C5E7667">
      <w:pPr>
        <w:shd w:val="clear" w:color="auto" w:fill="FFFFFF"/>
        <w:adjustRightInd/>
        <w:snapToGrid/>
        <w:spacing w:after="0" w:line="560" w:lineRule="exact"/>
        <w:ind w:firstLine="2700" w:firstLineChars="900"/>
        <w:contextualSpacing/>
        <w:rPr>
          <w:rFonts w:ascii="仿宋" w:hAnsi="仿宋" w:eastAsia="仿宋" w:cs="宋体"/>
          <w:color w:val="062D3C"/>
          <w:sz w:val="30"/>
          <w:szCs w:val="30"/>
        </w:rPr>
      </w:pPr>
    </w:p>
    <w:p w14:paraId="3C26F947">
      <w:pPr>
        <w:pStyle w:val="5"/>
        <w:shd w:val="clear" w:color="auto" w:fill="FFFFFF"/>
        <w:spacing w:before="0" w:beforeAutospacing="0" w:after="0" w:afterAutospacing="0" w:line="600" w:lineRule="exact"/>
        <w:contextualSpacing/>
        <w:jc w:val="both"/>
        <w:rPr>
          <w:rFonts w:ascii="仿宋" w:hAnsi="仿宋" w:eastAsia="仿宋"/>
          <w:color w:val="062D3C"/>
          <w:sz w:val="30"/>
          <w:szCs w:val="30"/>
        </w:rPr>
      </w:pPr>
      <w:r>
        <w:rPr>
          <w:rFonts w:ascii="仿宋" w:hAnsi="仿宋" w:eastAsia="仿宋"/>
          <w:color w:val="062D3C"/>
          <w:sz w:val="30"/>
          <w:szCs w:val="30"/>
        </w:rPr>
        <w:t>附</w:t>
      </w:r>
      <w:r>
        <w:rPr>
          <w:rFonts w:hint="eastAsia" w:ascii="仿宋" w:hAnsi="仿宋" w:eastAsia="仿宋"/>
          <w:color w:val="062D3C"/>
          <w:sz w:val="30"/>
          <w:szCs w:val="30"/>
        </w:rPr>
        <w:t>件</w:t>
      </w:r>
      <w:r>
        <w:rPr>
          <w:rFonts w:ascii="仿宋" w:hAnsi="仿宋" w:eastAsia="仿宋"/>
          <w:color w:val="062D3C"/>
          <w:sz w:val="30"/>
          <w:szCs w:val="30"/>
        </w:rPr>
        <w:t>：</w:t>
      </w:r>
    </w:p>
    <w:p w14:paraId="75E9FA19">
      <w:pPr>
        <w:pStyle w:val="5"/>
        <w:shd w:val="clear" w:color="auto" w:fill="FFFFFF"/>
        <w:spacing w:before="0" w:beforeAutospacing="0" w:after="0" w:afterAutospacing="0" w:line="600" w:lineRule="exact"/>
        <w:contextualSpacing/>
        <w:jc w:val="both"/>
        <w:rPr>
          <w:rFonts w:ascii="仿宋" w:hAnsi="仿宋" w:eastAsia="仿宋"/>
          <w:color w:val="062D3C"/>
          <w:sz w:val="30"/>
          <w:szCs w:val="30"/>
        </w:rPr>
      </w:pPr>
      <w:r>
        <w:rPr>
          <w:rFonts w:hint="eastAsia" w:ascii="仿宋" w:hAnsi="仿宋" w:eastAsia="仿宋"/>
          <w:color w:val="062D3C"/>
          <w:sz w:val="30"/>
          <w:szCs w:val="30"/>
        </w:rPr>
        <w:t xml:space="preserve"> 1.</w:t>
      </w:r>
      <w:r>
        <w:rPr>
          <w:rFonts w:ascii="仿宋" w:hAnsi="仿宋" w:eastAsia="仿宋"/>
          <w:sz w:val="30"/>
          <w:szCs w:val="30"/>
        </w:rPr>
        <w:t xml:space="preserve"> </w:t>
      </w:r>
      <w:r>
        <w:fldChar w:fldCharType="begin"/>
      </w:r>
      <w:r>
        <w:instrText xml:space="preserve"> HYPERLINK "http://xzsp.yiyang.gov.cn/uploadfiles/201912/20191216122853103.xls" \t "_blank" </w:instrText>
      </w:r>
      <w:r>
        <w:fldChar w:fldCharType="separate"/>
      </w:r>
      <w:r>
        <w:rPr>
          <w:rStyle w:val="8"/>
          <w:rFonts w:ascii="仿宋" w:hAnsi="仿宋" w:eastAsia="仿宋"/>
          <w:color w:val="062D3C"/>
          <w:sz w:val="30"/>
          <w:szCs w:val="30"/>
          <w:u w:val="none"/>
        </w:rPr>
        <w:t>2018年度部门决算公开表</w:t>
      </w:r>
      <w:r>
        <w:rPr>
          <w:rStyle w:val="8"/>
          <w:rFonts w:ascii="仿宋" w:hAnsi="仿宋" w:eastAsia="仿宋"/>
          <w:color w:val="062D3C"/>
          <w:sz w:val="30"/>
          <w:szCs w:val="30"/>
          <w:u w:val="none"/>
        </w:rPr>
        <w:fldChar w:fldCharType="end"/>
      </w:r>
    </w:p>
    <w:p w14:paraId="450C758E">
      <w:pPr>
        <w:pStyle w:val="5"/>
        <w:shd w:val="clear" w:color="auto" w:fill="FFFFFF"/>
        <w:spacing w:before="0" w:beforeAutospacing="0" w:after="0" w:afterAutospacing="0" w:line="600" w:lineRule="exact"/>
        <w:contextualSpacing/>
        <w:jc w:val="both"/>
        <w:rPr>
          <w:rFonts w:ascii="仿宋" w:hAnsi="仿宋" w:eastAsia="仿宋"/>
          <w:color w:val="062D3C"/>
          <w:sz w:val="30"/>
          <w:szCs w:val="30"/>
        </w:rPr>
      </w:pPr>
      <w:r>
        <w:rPr>
          <w:rFonts w:hint="eastAsia" w:ascii="仿宋" w:hAnsi="仿宋" w:eastAsia="仿宋"/>
          <w:color w:val="062D3C"/>
          <w:sz w:val="30"/>
          <w:szCs w:val="30"/>
        </w:rPr>
        <w:t xml:space="preserve"> 2.</w:t>
      </w:r>
      <w:r>
        <w:fldChar w:fldCharType="begin"/>
      </w:r>
      <w:r>
        <w:instrText xml:space="preserve"> HYPERLINK "http://xzsp.yiyang.gov.cn/uploadfiles/201912/20191216122903167.xls" \t "_blank" </w:instrText>
      </w:r>
      <w:r>
        <w:fldChar w:fldCharType="separate"/>
      </w:r>
      <w:r>
        <w:rPr>
          <w:rStyle w:val="8"/>
          <w:rFonts w:ascii="仿宋" w:hAnsi="仿宋" w:eastAsia="仿宋"/>
          <w:color w:val="062D3C"/>
          <w:sz w:val="30"/>
          <w:szCs w:val="30"/>
          <w:u w:val="none"/>
        </w:rPr>
        <w:t>2018年度部门决算数据过渡表</w:t>
      </w:r>
      <w:r>
        <w:rPr>
          <w:rStyle w:val="8"/>
          <w:rFonts w:ascii="仿宋" w:hAnsi="仿宋" w:eastAsia="仿宋"/>
          <w:color w:val="062D3C"/>
          <w:sz w:val="30"/>
          <w:szCs w:val="30"/>
          <w:u w:val="none"/>
        </w:rPr>
        <w:fldChar w:fldCharType="end"/>
      </w:r>
    </w:p>
    <w:p w14:paraId="6ABFF3C1">
      <w:pPr>
        <w:shd w:val="clear" w:color="auto" w:fill="FFFFFF"/>
        <w:adjustRightInd/>
        <w:snapToGrid/>
        <w:spacing w:after="0" w:line="600" w:lineRule="exact"/>
        <w:jc w:val="both"/>
        <w:rPr>
          <w:rFonts w:ascii="仿宋" w:hAnsi="仿宋" w:eastAsia="仿宋" w:cs="宋体"/>
          <w:color w:val="062D3C"/>
          <w:sz w:val="30"/>
          <w:szCs w:val="30"/>
        </w:rPr>
      </w:pPr>
      <w:r>
        <w:rPr>
          <w:rFonts w:hint="eastAsia" w:ascii="仿宋" w:hAnsi="仿宋" w:eastAsia="仿宋"/>
          <w:sz w:val="30"/>
          <w:szCs w:val="30"/>
        </w:rPr>
        <w:t xml:space="preserve"> 3.</w:t>
      </w:r>
      <w:r>
        <w:rPr>
          <w:rFonts w:hint="eastAsia"/>
        </w:rPr>
        <w:t xml:space="preserve"> </w:t>
      </w:r>
      <w:r>
        <w:rPr>
          <w:rFonts w:hint="eastAsia" w:ascii="仿宋" w:hAnsi="仿宋" w:eastAsia="仿宋"/>
          <w:sz w:val="30"/>
          <w:szCs w:val="30"/>
        </w:rPr>
        <w:t>益阳市政务中心2018年部门整体支出绩效评价报告</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59517"/>
      <w:docPartObj>
        <w:docPartGallery w:val="autotext"/>
      </w:docPartObj>
    </w:sdtPr>
    <w:sdtContent>
      <w:p w14:paraId="26F7BA8A">
        <w:pPr>
          <w:pStyle w:val="3"/>
          <w:jc w:val="center"/>
        </w:pPr>
        <w:r>
          <w:fldChar w:fldCharType="begin"/>
        </w:r>
        <w:r>
          <w:instrText xml:space="preserve"> PAGE   \* MERGEFORMAT </w:instrText>
        </w:r>
        <w:r>
          <w:fldChar w:fldCharType="separate"/>
        </w:r>
        <w:r>
          <w:rPr>
            <w:lang w:val="zh-CN"/>
          </w:rPr>
          <w:t>16</w:t>
        </w:r>
        <w:r>
          <w:rPr>
            <w:lang w:val="zh-CN"/>
          </w:rPr>
          <w:fldChar w:fldCharType="end"/>
        </w:r>
      </w:p>
    </w:sdtContent>
  </w:sdt>
  <w:p w14:paraId="72E314E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YWY5Y2MxYTI0MDdjMDcyMGU4OTY0YzhiZGZhYzcifQ=="/>
  </w:docVars>
  <w:rsids>
    <w:rsidRoot w:val="00D31D50"/>
    <w:rsid w:val="00074663"/>
    <w:rsid w:val="00097E99"/>
    <w:rsid w:val="000A157D"/>
    <w:rsid w:val="001B1060"/>
    <w:rsid w:val="00240232"/>
    <w:rsid w:val="0025295D"/>
    <w:rsid w:val="0025521B"/>
    <w:rsid w:val="003115BF"/>
    <w:rsid w:val="00323B43"/>
    <w:rsid w:val="003A7ACF"/>
    <w:rsid w:val="003D37D8"/>
    <w:rsid w:val="003F25A1"/>
    <w:rsid w:val="00426133"/>
    <w:rsid w:val="004358AB"/>
    <w:rsid w:val="004715F5"/>
    <w:rsid w:val="00476E7C"/>
    <w:rsid w:val="004839FE"/>
    <w:rsid w:val="005271AF"/>
    <w:rsid w:val="005645D4"/>
    <w:rsid w:val="00622ECD"/>
    <w:rsid w:val="00632680"/>
    <w:rsid w:val="00644CB1"/>
    <w:rsid w:val="006745F8"/>
    <w:rsid w:val="006A210B"/>
    <w:rsid w:val="006E6B30"/>
    <w:rsid w:val="007042D3"/>
    <w:rsid w:val="00791DF2"/>
    <w:rsid w:val="00860FE8"/>
    <w:rsid w:val="00870287"/>
    <w:rsid w:val="008B7726"/>
    <w:rsid w:val="008E7ABB"/>
    <w:rsid w:val="0095472D"/>
    <w:rsid w:val="009A1141"/>
    <w:rsid w:val="009E05CB"/>
    <w:rsid w:val="00AA02F2"/>
    <w:rsid w:val="00AA06C5"/>
    <w:rsid w:val="00AC3645"/>
    <w:rsid w:val="00AD0A72"/>
    <w:rsid w:val="00AF1184"/>
    <w:rsid w:val="00B157FB"/>
    <w:rsid w:val="00BA75E4"/>
    <w:rsid w:val="00BB3D2C"/>
    <w:rsid w:val="00BF0EA5"/>
    <w:rsid w:val="00C40465"/>
    <w:rsid w:val="00C440D4"/>
    <w:rsid w:val="00CE6231"/>
    <w:rsid w:val="00D31D50"/>
    <w:rsid w:val="00DB7A18"/>
    <w:rsid w:val="00E23F15"/>
    <w:rsid w:val="00EB16F2"/>
    <w:rsid w:val="00ED7806"/>
    <w:rsid w:val="00F56AAB"/>
    <w:rsid w:val="00F77B6B"/>
    <w:rsid w:val="00F91389"/>
    <w:rsid w:val="00FC6166"/>
    <w:rsid w:val="00FD6972"/>
    <w:rsid w:val="00FE7D28"/>
    <w:rsid w:val="6F545CD5"/>
    <w:rsid w:val="799C9102"/>
    <w:rsid w:val="F3FECE84"/>
    <w:rsid w:val="FFFF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Hyperlink"/>
    <w:basedOn w:val="7"/>
    <w:unhideWhenUsed/>
    <w:qFormat/>
    <w:uiPriority w:val="99"/>
    <w:rPr>
      <w:color w:val="0000FF"/>
      <w:u w:val="single"/>
    </w:rPr>
  </w:style>
  <w:style w:type="character" w:customStyle="1" w:styleId="9">
    <w:name w:val="批注框文本 Char"/>
    <w:basedOn w:val="7"/>
    <w:link w:val="2"/>
    <w:semiHidden/>
    <w:qFormat/>
    <w:uiPriority w:val="99"/>
    <w:rPr>
      <w:rFonts w:ascii="Tahoma" w:hAnsi="Tahoma"/>
      <w:sz w:val="18"/>
      <w:szCs w:val="18"/>
    </w:rPr>
  </w:style>
  <w:style w:type="character" w:customStyle="1" w:styleId="10">
    <w:name w:val="页眉 Char"/>
    <w:basedOn w:val="7"/>
    <w:link w:val="4"/>
    <w:semiHidden/>
    <w:qFormat/>
    <w:uiPriority w:val="99"/>
    <w:rPr>
      <w:rFonts w:ascii="Tahoma" w:hAnsi="Tahoma"/>
      <w:sz w:val="18"/>
      <w:szCs w:val="18"/>
    </w:rPr>
  </w:style>
  <w:style w:type="character" w:customStyle="1" w:styleId="11">
    <w:name w:val="页脚 Char"/>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6696</Words>
  <Characters>7216</Characters>
  <Lines>54</Lines>
  <Paragraphs>15</Paragraphs>
  <TotalTime>0</TotalTime>
  <ScaleCrop>false</ScaleCrop>
  <LinksUpToDate>false</LinksUpToDate>
  <CharactersWithSpaces>7302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kylin</dc:creator>
  <cp:lastModifiedBy>夏天</cp:lastModifiedBy>
  <cp:lastPrinted>2021-06-18T09:19:00Z</cp:lastPrinted>
  <dcterms:modified xsi:type="dcterms:W3CDTF">2024-10-16T07:42:31Z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4B5057BDACE748BCA4769FE79BD1F522_13</vt:lpwstr>
  </property>
</Properties>
</file>